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227F" w:rsidR="00A828E3" w:rsidRDefault="00E02D08">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 xml:space="preserve">Commissie </w:t>
                            </w:r>
                            <w:r w:rsidR="00736908">
                              <w:t>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D14A89">
                            <w:pPr>
                              <w:pStyle w:val="Huisstijl-Agendatitel"/>
                              <w:ind w:left="0" w:firstLine="0"/>
                              <w:jc w:val="right"/>
                            </w:pPr>
                            <w:r>
                              <w:t>2</w:t>
                            </w:r>
                            <w:r w:rsidR="00356869">
                              <w:t>0</w:t>
                            </w:r>
                            <w:bookmarkStart w:name="_GoBack" w:id="0"/>
                            <w:bookmarkEnd w:id="0"/>
                            <w:r>
                              <w:t xml:space="preserve"> </w:t>
                            </w:r>
                            <w:r w:rsidR="00E95AAA">
                              <w:t>januari 2023</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 xml:space="preserve">Commissie </w:t>
                      </w:r>
                      <w:r w:rsidR="00736908">
                        <w:t>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D14A89">
                      <w:pPr>
                        <w:pStyle w:val="Huisstijl-Agendatitel"/>
                        <w:ind w:left="0" w:firstLine="0"/>
                        <w:jc w:val="right"/>
                      </w:pPr>
                      <w:r>
                        <w:t>2</w:t>
                      </w:r>
                      <w:r w:rsidR="00356869">
                        <w:t>0</w:t>
                      </w:r>
                      <w:bookmarkStart w:name="_GoBack" w:id="1"/>
                      <w:bookmarkEnd w:id="1"/>
                      <w:r>
                        <w:t xml:space="preserve"> </w:t>
                      </w:r>
                      <w:r w:rsidR="00E95AAA">
                        <w:t>januari 2023</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txbxContent>
                </v:textbox>
                <w10:wrap anchory="page"/>
              </v:shape>
            </w:pict>
          </mc:Fallback>
        </mc:AlternateContent>
      </w:r>
    </w:p>
    <w:p w:rsidRPr="00A9227F" w:rsidR="00E02D08" w:rsidP="00C727FA" w:rsidRDefault="00E02D08">
      <w:pPr>
        <w:rPr>
          <w:b/>
          <w:szCs w:val="18"/>
        </w:rPr>
      </w:pPr>
      <w:r w:rsidRPr="00A9227F">
        <w:rPr>
          <w:b/>
          <w:szCs w:val="18"/>
        </w:rPr>
        <w:t xml:space="preserve">Lijst van nieuwe EU-voorstellen </w:t>
      </w:r>
    </w:p>
    <w:p w:rsidRPr="00A9227F" w:rsidR="00E02D08" w:rsidP="00C727FA" w:rsidRDefault="00E02D08">
      <w:pPr>
        <w:rPr>
          <w:b/>
          <w:szCs w:val="18"/>
        </w:rPr>
      </w:pPr>
    </w:p>
    <w:p w:rsidRPr="00A9227F" w:rsidR="005115F8" w:rsidP="005115F8" w:rsidRDefault="005115F8">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pPr>
        <w:rPr>
          <w:szCs w:val="18"/>
        </w:rPr>
      </w:pPr>
    </w:p>
    <w:p w:rsidRPr="00A9227F" w:rsidR="00820149" w:rsidP="00820149" w:rsidRDefault="00D27FE7">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Pr="00A9227F" w:rsidR="00970CA0" w:rsidP="00C727FA" w:rsidRDefault="00970CA0">
      <w:pPr>
        <w:rPr>
          <w:szCs w:val="18"/>
        </w:rPr>
      </w:pPr>
    </w:p>
    <w:p w:rsidRPr="00A9227F" w:rsidR="006E5214" w:rsidP="002A4BD8" w:rsidRDefault="006E5214">
      <w:pPr>
        <w:rPr>
          <w:szCs w:val="18"/>
        </w:rPr>
      </w:pPr>
    </w:p>
    <w:p w:rsidRPr="00A9227F" w:rsidR="00820149" w:rsidP="00820149" w:rsidRDefault="00D27FE7">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820149" w:rsidP="00970CA0" w:rsidRDefault="0082014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75535"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75535" w:rsidP="002A4BD8" w:rsidRDefault="00D75535">
            <w:pPr>
              <w:pStyle w:val="Lijstalinea"/>
              <w:numPr>
                <w:ilvl w:val="0"/>
                <w:numId w:val="10"/>
              </w:numPr>
              <w:spacing w:after="240"/>
              <w:ind w:left="312"/>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Titel</w:t>
            </w:r>
          </w:p>
        </w:tc>
        <w:tc>
          <w:tcPr>
            <w:tcW w:w="6529" w:type="dxa"/>
          </w:tcPr>
          <w:p w:rsidR="00CE5B08" w:rsidP="00CE5B08" w:rsidRDefault="00CE5B08">
            <w:pPr>
              <w:shd w:val="clear" w:color="auto" w:fill="FFFFFF"/>
              <w:spacing w:after="75"/>
              <w:rPr>
                <w:szCs w:val="18"/>
                <w:lang w:eastAsia="nl-NL"/>
              </w:rPr>
            </w:pPr>
            <w:r>
              <w:rPr>
                <w:szCs w:val="18"/>
              </w:rPr>
              <w:t xml:space="preserve">VERSLAG VAN DE COMMISSIE AAN HET EUROPEES PARLEMENT EN DE RAAD over de eindevaluatie van het </w:t>
            </w:r>
            <w:proofErr w:type="spellStart"/>
            <w:r>
              <w:rPr>
                <w:szCs w:val="18"/>
              </w:rPr>
              <w:t>Fiscalis</w:t>
            </w:r>
            <w:proofErr w:type="spellEnd"/>
            <w:r>
              <w:rPr>
                <w:szCs w:val="18"/>
              </w:rPr>
              <w:t xml:space="preserve"> 2020-programma</w:t>
            </w:r>
          </w:p>
          <w:p w:rsidRPr="00A9227F" w:rsidR="00D75535" w:rsidP="00CE5B08" w:rsidRDefault="00356869">
            <w:pPr>
              <w:spacing w:after="240"/>
              <w:rPr>
                <w:b/>
                <w:color w:val="595959" w:themeColor="text1" w:themeTint="A6"/>
                <w:szCs w:val="18"/>
              </w:rPr>
            </w:pPr>
            <w:hyperlink w:history="1" r:id="rId15">
              <w:r w:rsidR="00CE5B08">
                <w:rPr>
                  <w:rStyle w:val="Hyperlink"/>
                  <w:szCs w:val="18"/>
                </w:rPr>
                <w:t>COM/2022/717</w:t>
              </w:r>
            </w:hyperlink>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szCs w:val="18"/>
              </w:rPr>
            </w:pPr>
          </w:p>
        </w:tc>
        <w:tc>
          <w:tcPr>
            <w:tcW w:w="1035" w:type="dxa"/>
          </w:tcPr>
          <w:p w:rsidRPr="00A9227F" w:rsidR="00D75535" w:rsidP="002A4BD8" w:rsidRDefault="00D75535">
            <w:pPr>
              <w:spacing w:after="240"/>
              <w:rPr>
                <w:szCs w:val="18"/>
              </w:rPr>
            </w:pPr>
            <w:r w:rsidRPr="00A9227F">
              <w:rPr>
                <w:szCs w:val="18"/>
              </w:rPr>
              <w:t>Voorstel</w:t>
            </w:r>
          </w:p>
        </w:tc>
        <w:tc>
          <w:tcPr>
            <w:tcW w:w="6529" w:type="dxa"/>
          </w:tcPr>
          <w:p w:rsidRPr="00A9227F" w:rsidR="00D75535" w:rsidP="002A4BD8" w:rsidRDefault="00E47C07">
            <w:pPr>
              <w:spacing w:after="240"/>
              <w:rPr>
                <w:szCs w:val="18"/>
              </w:rPr>
            </w:pPr>
            <w:r>
              <w:rPr>
                <w:szCs w:val="18"/>
              </w:rPr>
              <w:t>Voor kennisgeving aannemen.</w:t>
            </w:r>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Noot</w:t>
            </w:r>
          </w:p>
        </w:tc>
        <w:tc>
          <w:tcPr>
            <w:tcW w:w="6529" w:type="dxa"/>
          </w:tcPr>
          <w:p w:rsidRPr="00A9227F" w:rsidR="00D75535" w:rsidP="00E47C07" w:rsidRDefault="00E47C07">
            <w:pPr>
              <w:spacing w:after="240"/>
              <w:rPr>
                <w:color w:val="595959" w:themeColor="text1" w:themeTint="A6"/>
                <w:szCs w:val="18"/>
              </w:rPr>
            </w:pPr>
            <w:r>
              <w:rPr>
                <w:color w:val="595959" w:themeColor="text1" w:themeTint="A6"/>
                <w:szCs w:val="18"/>
              </w:rPr>
              <w:t xml:space="preserve">Dit betreft de eindevaluatie van het </w:t>
            </w:r>
            <w:proofErr w:type="spellStart"/>
            <w:r>
              <w:rPr>
                <w:color w:val="595959" w:themeColor="text1" w:themeTint="A6"/>
                <w:szCs w:val="18"/>
              </w:rPr>
              <w:t>Fiscalis</w:t>
            </w:r>
            <w:proofErr w:type="spellEnd"/>
            <w:r>
              <w:rPr>
                <w:color w:val="595959" w:themeColor="text1" w:themeTint="A6"/>
                <w:szCs w:val="18"/>
              </w:rPr>
              <w:t xml:space="preserve"> 2020-programma, een actieprogramma voor </w:t>
            </w:r>
            <w:r w:rsidRPr="00E47C07">
              <w:rPr>
                <w:color w:val="595959" w:themeColor="text1" w:themeTint="A6"/>
                <w:szCs w:val="18"/>
              </w:rPr>
              <w:t>het verbeteren van het functioneren van de belastingstelsels in de interne markt door de samenwerking tussen de deelnemende landen, hun belastingdiensten en hun ambtenaren te versterken</w:t>
            </w:r>
            <w:r>
              <w:rPr>
                <w:color w:val="595959" w:themeColor="text1" w:themeTint="A6"/>
                <w:szCs w:val="18"/>
              </w:rPr>
              <w:t xml:space="preserve">.  </w:t>
            </w:r>
            <w:r w:rsidRPr="00E47C07">
              <w:rPr>
                <w:color w:val="595959" w:themeColor="text1" w:themeTint="A6"/>
                <w:szCs w:val="18"/>
              </w:rPr>
              <w:t xml:space="preserve">Uit de evaluatie </w:t>
            </w:r>
            <w:r>
              <w:rPr>
                <w:color w:val="595959" w:themeColor="text1" w:themeTint="A6"/>
                <w:szCs w:val="18"/>
              </w:rPr>
              <w:t>blijkt</w:t>
            </w:r>
            <w:r w:rsidRPr="00E47C07">
              <w:rPr>
                <w:color w:val="595959" w:themeColor="text1" w:themeTint="A6"/>
                <w:szCs w:val="18"/>
              </w:rPr>
              <w:t xml:space="preserve"> dat de doelstellingen van het programma om de veilige uitwisseling van gegevens te verzekeren, administratieve samenwerking te ondersteunen en de bestuurlijke capaciteit van de deelnemende landen te versterken, doeltreffend werden behaald.</w:t>
            </w:r>
          </w:p>
        </w:tc>
      </w:tr>
    </w:tbl>
    <w:p w:rsidRPr="00A9227F" w:rsidR="00D75535" w:rsidP="006F2511" w:rsidRDefault="00D7553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9C78F9">
            <w:pPr>
              <w:spacing w:after="240"/>
              <w:rPr>
                <w:b/>
                <w:color w:val="595959" w:themeColor="text1" w:themeTint="A6"/>
                <w:szCs w:val="18"/>
              </w:rPr>
            </w:pPr>
            <w:r>
              <w:rPr>
                <w:szCs w:val="18"/>
              </w:rPr>
              <w:t xml:space="preserve">Voorstel voor een UITVOERINGSBESLUIT VAN DE RAAD tot wijziging van Uitvoeringsbesluit 2013/676/EU waarbij de machtiging van Roemenië om een bijzondere maatregel te blijven toepassen die afwijkt van artikel 193 van Richtlijn 2006/112/EG betreffende het gemeenschappelijke stelsel van belasting over de toegevoegde waarde, wordt verlengd </w:t>
            </w:r>
            <w:hyperlink w:history="1" r:id="rId16">
              <w:r>
                <w:rPr>
                  <w:rStyle w:val="Hyperlink"/>
                  <w:szCs w:val="18"/>
                </w:rPr>
                <w:t>COM/2022/727</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E47C07">
            <w:pPr>
              <w:spacing w:after="240"/>
              <w:rPr>
                <w:szCs w:val="18"/>
              </w:rPr>
            </w:pPr>
            <w:r>
              <w:rPr>
                <w:szCs w:val="18"/>
              </w:rPr>
              <w:t>Voor kennisgeving aannemen.</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E47C07" w:rsidRDefault="00E47C07">
            <w:pPr>
              <w:spacing w:after="240"/>
              <w:rPr>
                <w:color w:val="595959" w:themeColor="text1" w:themeTint="A6"/>
                <w:szCs w:val="18"/>
              </w:rPr>
            </w:pPr>
            <w:r w:rsidRPr="00602161">
              <w:rPr>
                <w:color w:val="595959" w:themeColor="text1" w:themeTint="A6"/>
                <w:szCs w:val="18"/>
              </w:rPr>
              <w:t>Op basis van de btw-richtlijn kan de Raad op voorstel van de Commissie met eenparigheid van stemmen elke lidstaat machtigen bijzondere, van de bepalingen van deze richtlijn afwijkende maatregelen te treffen, teneinde de belastinginning te vereenvoudigen of bepaalde vormen van belastingfraude of -ontwijking te voorkomen.</w:t>
            </w:r>
            <w:r>
              <w:rPr>
                <w:color w:val="595959" w:themeColor="text1" w:themeTint="A6"/>
                <w:szCs w:val="18"/>
              </w:rPr>
              <w:t xml:space="preserve"> Roemenië heeft om een</w:t>
            </w:r>
            <w:r w:rsidRPr="00E47C07">
              <w:rPr>
                <w:color w:val="595959" w:themeColor="text1" w:themeTint="A6"/>
                <w:szCs w:val="18"/>
              </w:rPr>
              <w:t xml:space="preserve"> derogatie verzocht </w:t>
            </w:r>
            <w:r w:rsidRPr="00E47C07">
              <w:rPr>
                <w:color w:val="595959" w:themeColor="text1" w:themeTint="A6"/>
                <w:szCs w:val="18"/>
              </w:rPr>
              <w:lastRenderedPageBreak/>
              <w:t>teneinde de verleggingsregeling te mogen</w:t>
            </w:r>
            <w:r>
              <w:rPr>
                <w:color w:val="595959" w:themeColor="text1" w:themeTint="A6"/>
                <w:szCs w:val="18"/>
              </w:rPr>
              <w:t xml:space="preserve"> blijven</w:t>
            </w:r>
            <w:r w:rsidRPr="00E47C07">
              <w:rPr>
                <w:color w:val="595959" w:themeColor="text1" w:themeTint="A6"/>
                <w:szCs w:val="18"/>
              </w:rPr>
              <w:t xml:space="preserve"> toepassen, onder meer op leveringen van houtproducten.</w:t>
            </w:r>
            <w:r>
              <w:rPr>
                <w:color w:val="595959" w:themeColor="text1" w:themeTint="A6"/>
                <w:szCs w:val="18"/>
              </w:rPr>
              <w:t xml:space="preserve"> </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E47C07" w:rsidR="002A4BD8" w:rsidP="00E47C07" w:rsidRDefault="00C25736">
            <w:pPr>
              <w:shd w:val="clear" w:color="auto" w:fill="FFFFFF"/>
              <w:spacing w:after="75"/>
              <w:rPr>
                <w:szCs w:val="18"/>
                <w:lang w:eastAsia="nl-NL"/>
              </w:rPr>
            </w:pPr>
            <w:r>
              <w:rPr>
                <w:szCs w:val="18"/>
              </w:rPr>
              <w:t xml:space="preserve">VERSLAG VAN DE COMMISSIE AAN HET EUROPEES PARLEMENT EN DE RAAD over de toepassing van Verordening (EU) 2019/516 van het Europees Parlement en de Raad van 19 maart 2019 betreffende de harmonisatie van het bruto nationaal inkomen tegen </w:t>
            </w:r>
            <w:proofErr w:type="spellStart"/>
            <w:r>
              <w:rPr>
                <w:szCs w:val="18"/>
              </w:rPr>
              <w:t>marktprĳzen</w:t>
            </w:r>
            <w:proofErr w:type="spellEnd"/>
            <w:r>
              <w:rPr>
                <w:szCs w:val="18"/>
              </w:rPr>
              <w:t xml:space="preserve"> en tot intrekking van Richtlijn 89/130/EEG, Euratom van de Raad en Verordening (EG, Euratom) nr. 1287/2003 van de Raad (</w:t>
            </w:r>
            <w:proofErr w:type="spellStart"/>
            <w:r>
              <w:rPr>
                <w:szCs w:val="18"/>
              </w:rPr>
              <w:t>bni</w:t>
            </w:r>
            <w:proofErr w:type="spellEnd"/>
            <w:r>
              <w:rPr>
                <w:szCs w:val="18"/>
              </w:rPr>
              <w:t xml:space="preserve">-verordening) </w:t>
            </w:r>
            <w:hyperlink w:history="1" r:id="rId17">
              <w:r>
                <w:rPr>
                  <w:rStyle w:val="Hyperlink"/>
                  <w:szCs w:val="18"/>
                </w:rPr>
                <w:t>COM/2022/733</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E47C07">
            <w:pPr>
              <w:spacing w:after="240"/>
              <w:rPr>
                <w:szCs w:val="18"/>
              </w:rPr>
            </w:pPr>
            <w:r>
              <w:rPr>
                <w:szCs w:val="18"/>
              </w:rPr>
              <w:t>Voor kennisgeving aannemen.</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D37010" w:rsidRDefault="00D37010">
            <w:pPr>
              <w:spacing w:after="240"/>
              <w:rPr>
                <w:color w:val="595959" w:themeColor="text1" w:themeTint="A6"/>
                <w:szCs w:val="18"/>
              </w:rPr>
            </w:pPr>
            <w:r w:rsidRPr="00D37010">
              <w:rPr>
                <w:color w:val="595959" w:themeColor="text1" w:themeTint="A6"/>
                <w:szCs w:val="18"/>
              </w:rPr>
              <w:t xml:space="preserve">In </w:t>
            </w:r>
            <w:r>
              <w:rPr>
                <w:color w:val="595959" w:themeColor="text1" w:themeTint="A6"/>
                <w:szCs w:val="18"/>
              </w:rPr>
              <w:t xml:space="preserve">de betreffende </w:t>
            </w:r>
            <w:proofErr w:type="spellStart"/>
            <w:r>
              <w:rPr>
                <w:color w:val="595959" w:themeColor="text1" w:themeTint="A6"/>
                <w:szCs w:val="18"/>
              </w:rPr>
              <w:t>bni</w:t>
            </w:r>
            <w:proofErr w:type="spellEnd"/>
            <w:r>
              <w:rPr>
                <w:color w:val="595959" w:themeColor="text1" w:themeTint="A6"/>
                <w:szCs w:val="18"/>
              </w:rPr>
              <w:t>-verordening z</w:t>
            </w:r>
            <w:r w:rsidRPr="00D37010">
              <w:rPr>
                <w:color w:val="595959" w:themeColor="text1" w:themeTint="A6"/>
                <w:szCs w:val="18"/>
              </w:rPr>
              <w:t>ijn de procedures voor het vergemakkelijken van de controle, en waar nodig de verbetering, van de vergelijkbaarheid, betrouwbaarheid en volledigheid van de schattingen van het bruto nationaal inkomen (</w:t>
            </w:r>
            <w:proofErr w:type="spellStart"/>
            <w:r w:rsidRPr="00D37010">
              <w:rPr>
                <w:color w:val="595959" w:themeColor="text1" w:themeTint="A6"/>
                <w:szCs w:val="18"/>
              </w:rPr>
              <w:t>bni</w:t>
            </w:r>
            <w:proofErr w:type="spellEnd"/>
            <w:r w:rsidRPr="00D37010">
              <w:rPr>
                <w:color w:val="595959" w:themeColor="text1" w:themeTint="A6"/>
                <w:szCs w:val="18"/>
              </w:rPr>
              <w:t>) van de lidstaten vastgelegd.</w:t>
            </w:r>
            <w:r>
              <w:rPr>
                <w:color w:val="595959" w:themeColor="text1" w:themeTint="A6"/>
                <w:szCs w:val="18"/>
              </w:rPr>
              <w:t xml:space="preserve"> In </w:t>
            </w:r>
            <w:r w:rsidRPr="00D37010">
              <w:rPr>
                <w:color w:val="595959" w:themeColor="text1" w:themeTint="A6"/>
                <w:szCs w:val="18"/>
              </w:rPr>
              <w:t xml:space="preserve">dit verslag wordt de voortgang samengevat die de Commissie en de deskundigengroep inzake bruto nationaal inkomen hebben geboekt bij de harmonisatie van het </w:t>
            </w:r>
            <w:proofErr w:type="spellStart"/>
            <w:r w:rsidRPr="00D37010">
              <w:rPr>
                <w:color w:val="595959" w:themeColor="text1" w:themeTint="A6"/>
                <w:szCs w:val="18"/>
              </w:rPr>
              <w:t>bni</w:t>
            </w:r>
            <w:proofErr w:type="spellEnd"/>
            <w:r w:rsidRPr="00D37010">
              <w:rPr>
                <w:color w:val="595959" w:themeColor="text1" w:themeTint="A6"/>
                <w:szCs w:val="18"/>
              </w:rPr>
              <w:t xml:space="preserve"> en de toepassing van de </w:t>
            </w:r>
            <w:proofErr w:type="spellStart"/>
            <w:r w:rsidRPr="00D37010">
              <w:rPr>
                <w:color w:val="595959" w:themeColor="text1" w:themeTint="A6"/>
                <w:szCs w:val="18"/>
              </w:rPr>
              <w:t>bni</w:t>
            </w:r>
            <w:proofErr w:type="spellEnd"/>
            <w:r w:rsidRPr="00D37010">
              <w:rPr>
                <w:color w:val="595959" w:themeColor="text1" w:themeTint="A6"/>
                <w:szCs w:val="18"/>
              </w:rPr>
              <w:t>-verordening sinds de inwerkingtreding ervan.</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D37010" w:rsidRDefault="00D37010">
            <w:pPr>
              <w:spacing w:after="240"/>
              <w:rPr>
                <w:b/>
                <w:color w:val="595959" w:themeColor="text1" w:themeTint="A6"/>
                <w:szCs w:val="18"/>
              </w:rPr>
            </w:pPr>
            <w:r w:rsidRPr="00D37010">
              <w:rPr>
                <w:szCs w:val="18"/>
              </w:rPr>
              <w:t>VERSLAG VAN DE COMMISSIE</w:t>
            </w:r>
            <w:r>
              <w:rPr>
                <w:szCs w:val="18"/>
              </w:rPr>
              <w:t xml:space="preserve"> </w:t>
            </w:r>
            <w:r w:rsidRPr="00D37010">
              <w:rPr>
                <w:szCs w:val="18"/>
              </w:rPr>
              <w:t>over de beoordeling van inbreuken op de douanewetgeving en douanesancties in de lidstaten</w:t>
            </w:r>
            <w:r>
              <w:rPr>
                <w:szCs w:val="18"/>
              </w:rPr>
              <w:t xml:space="preserve"> D</w:t>
            </w:r>
            <w:r w:rsidRPr="00D37010">
              <w:rPr>
                <w:szCs w:val="18"/>
              </w:rPr>
              <w:t>ouanewetboek van de Unie</w:t>
            </w:r>
            <w:r>
              <w:rPr>
                <w:szCs w:val="18"/>
              </w:rPr>
              <w:t xml:space="preserve"> </w:t>
            </w:r>
            <w:hyperlink w:history="1" r:id="rId18">
              <w:r w:rsidR="00A903CD">
                <w:rPr>
                  <w:rStyle w:val="Hyperlink"/>
                  <w:szCs w:val="18"/>
                </w:rPr>
                <w:t>COM(2023)5</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D37010">
            <w:pPr>
              <w:spacing w:after="240"/>
              <w:rPr>
                <w:szCs w:val="18"/>
              </w:rPr>
            </w:pPr>
            <w:r>
              <w:rPr>
                <w:szCs w:val="18"/>
              </w:rPr>
              <w:t>Voor kennisgeving aannemen.</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32695B" w:rsidRDefault="00D37010">
            <w:pPr>
              <w:spacing w:after="240"/>
              <w:rPr>
                <w:color w:val="595959" w:themeColor="text1" w:themeTint="A6"/>
                <w:szCs w:val="18"/>
              </w:rPr>
            </w:pPr>
            <w:r w:rsidRPr="00D37010">
              <w:rPr>
                <w:color w:val="595959" w:themeColor="text1" w:themeTint="A6"/>
                <w:szCs w:val="18"/>
              </w:rPr>
              <w:t xml:space="preserve">De douanewetgeving van de Europese Unie is geharmoniseerd door middel van het douanewetboek van de Unie (“DWU”). Het DWU bevat de verplichting voor de lidstaten om te voorzien in sancties voor niet-naleving van de douanewetgeving. De keuze van douanesancties ligt </w:t>
            </w:r>
            <w:r>
              <w:rPr>
                <w:color w:val="595959" w:themeColor="text1" w:themeTint="A6"/>
                <w:szCs w:val="18"/>
              </w:rPr>
              <w:t>daarmee</w:t>
            </w:r>
            <w:r w:rsidRPr="00D37010">
              <w:rPr>
                <w:color w:val="595959" w:themeColor="text1" w:themeTint="A6"/>
                <w:szCs w:val="18"/>
              </w:rPr>
              <w:t xml:space="preserve"> bij de lidstaten. De sanctiesystemen vloeien rechtstreeks voort uit de nationale wetgeving van de lidstaten, verschillen van lidstaat tot lidstaat en kunnen mettertijd worden gewijzigd. Dit verslag is bedoeld om een breed overzicht te geven van het individuele sanctiesysteem in elke lidstaat overeenkomstig het DWU.</w:t>
            </w:r>
            <w:r w:rsidR="0032695B">
              <w:rPr>
                <w:color w:val="595959" w:themeColor="text1" w:themeTint="A6"/>
                <w:szCs w:val="18"/>
              </w:rPr>
              <w:t xml:space="preserve"> Het verslag concludeert dat de</w:t>
            </w:r>
            <w:r w:rsidRPr="0032695B" w:rsidR="0032695B">
              <w:rPr>
                <w:color w:val="595959" w:themeColor="text1" w:themeTint="A6"/>
                <w:szCs w:val="18"/>
              </w:rPr>
              <w:t xml:space="preserve"> verschillen in aanpak en methode uiterst groot zijn. De beoordeling laat vanuit dit oogpunt zeer weinig punten van convergentie zien.</w:t>
            </w:r>
          </w:p>
        </w:tc>
      </w:tr>
    </w:tbl>
    <w:p w:rsidRPr="00A9227F" w:rsidR="002A4BD8" w:rsidP="002A4BD8" w:rsidRDefault="002A4BD8">
      <w:pPr>
        <w:rPr>
          <w:szCs w:val="18"/>
        </w:rPr>
      </w:pPr>
    </w:p>
    <w:p w:rsidRPr="00A9227F" w:rsidR="00DF5A2E" w:rsidP="002A4BD8" w:rsidRDefault="00DF5A2E">
      <w:pPr>
        <w:rPr>
          <w:szCs w:val="18"/>
        </w:rPr>
      </w:pPr>
    </w:p>
    <w:p w:rsidRPr="00A9227F" w:rsidR="00DF5A2E" w:rsidP="002A4BD8" w:rsidRDefault="00DF5A2E">
      <w:pPr>
        <w:rPr>
          <w:szCs w:val="18"/>
        </w:rPr>
      </w:pPr>
    </w:p>
    <w:p w:rsidRPr="00A9227F" w:rsidR="006E5214" w:rsidP="002A4BD8" w:rsidRDefault="006E5214">
      <w:pPr>
        <w:rPr>
          <w:szCs w:val="18"/>
        </w:rPr>
      </w:pPr>
    </w:p>
    <w:p w:rsidRPr="00A9227F" w:rsidR="006E5214" w:rsidP="002A4BD8" w:rsidRDefault="006E5214">
      <w:pPr>
        <w:rPr>
          <w:szCs w:val="18"/>
        </w:rPr>
      </w:pPr>
    </w:p>
    <w:sectPr w:rsidRPr="00A9227F" w:rsidR="006E5214" w:rsidSect="00BF62AD">
      <w:headerReference w:type="default" r:id="rId19"/>
      <w:footerReference w:type="default" r:id="rId20"/>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BC5" w:rsidRDefault="00A82BC5">
      <w:r>
        <w:separator/>
      </w:r>
    </w:p>
  </w:endnote>
  <w:endnote w:type="continuationSeparator" w:id="0">
    <w:p w:rsidR="00A82BC5" w:rsidRDefault="00A82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356869">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356869">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356869">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356869">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BC5" w:rsidRDefault="00A82BC5">
      <w:r>
        <w:separator/>
      </w:r>
    </w:p>
  </w:footnote>
  <w:footnote w:type="continuationSeparator" w:id="0">
    <w:p w:rsidR="00A82BC5" w:rsidRDefault="00A82BC5">
      <w:r>
        <w:continuationSeparator/>
      </w:r>
    </w:p>
  </w:footnote>
  <w:footnote w:id="1">
    <w:p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44C7"/>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95B"/>
    <w:rsid w:val="00326A27"/>
    <w:rsid w:val="00326C25"/>
    <w:rsid w:val="00331729"/>
    <w:rsid w:val="00331CCE"/>
    <w:rsid w:val="0033344D"/>
    <w:rsid w:val="003354DB"/>
    <w:rsid w:val="003410ED"/>
    <w:rsid w:val="00346125"/>
    <w:rsid w:val="00352A08"/>
    <w:rsid w:val="00355DCC"/>
    <w:rsid w:val="00356869"/>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C78F9"/>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82BC5"/>
    <w:rsid w:val="00A903CD"/>
    <w:rsid w:val="00A9227F"/>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25736"/>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35D0"/>
    <w:rsid w:val="00CE5B08"/>
    <w:rsid w:val="00CE6987"/>
    <w:rsid w:val="00CF0772"/>
    <w:rsid w:val="00CF7ECD"/>
    <w:rsid w:val="00D03DA0"/>
    <w:rsid w:val="00D04E0E"/>
    <w:rsid w:val="00D05232"/>
    <w:rsid w:val="00D06AD2"/>
    <w:rsid w:val="00D06B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37010"/>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47C07"/>
    <w:rsid w:val="00E53C1E"/>
    <w:rsid w:val="00E63829"/>
    <w:rsid w:val="00E6432B"/>
    <w:rsid w:val="00E666D4"/>
    <w:rsid w:val="00E67989"/>
    <w:rsid w:val="00E80096"/>
    <w:rsid w:val="00E80FBD"/>
    <w:rsid w:val="00E82B47"/>
    <w:rsid w:val="00E84D83"/>
    <w:rsid w:val="00E86E93"/>
    <w:rsid w:val="00E95AAA"/>
    <w:rsid w:val="00EA3A9D"/>
    <w:rsid w:val="00EA4B76"/>
    <w:rsid w:val="00EA546B"/>
    <w:rsid w:val="00EA6FF9"/>
    <w:rsid w:val="00EB409D"/>
    <w:rsid w:val="00EB45B9"/>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A82EA9D"/>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8751">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215196696">
      <w:bodyDiv w:val="1"/>
      <w:marLeft w:val="0"/>
      <w:marRight w:val="0"/>
      <w:marTop w:val="0"/>
      <w:marBottom w:val="0"/>
      <w:divBdr>
        <w:top w:val="none" w:sz="0" w:space="0" w:color="auto"/>
        <w:left w:val="none" w:sz="0" w:space="0" w:color="auto"/>
        <w:bottom w:val="none" w:sz="0" w:space="0" w:color="auto"/>
        <w:right w:val="none" w:sz="0" w:space="0" w:color="auto"/>
      </w:divBdr>
    </w:div>
    <w:div w:id="1264338918">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61310722">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lex.europa.eu/legal-content/EN/TXT/?uri=CELEX%3A52023DC0005&amp;qid=1673254582365" TargetMode="External" Id="rId18"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lex.europa.eu/legal-content/NL/TXT/?uri=COM%3A2022%3A733%3AFIN&amp;qid=1671525896728" TargetMode="External" Id="rId17" /><Relationship Type="http://schemas.openxmlformats.org/officeDocument/2006/relationships/hyperlink" Target="https://eur-lex.europa.eu/legal-content/NL/TXT/?uri=CELEX%3A52022PC0727&amp;qid=1671438556549" TargetMode="External" Id="rId16" /><Relationship Type="http://schemas.openxmlformats.org/officeDocument/2006/relationships/footer" Target="footer2.xml" Id="rId20" /><Relationship Type="http://schemas.openxmlformats.org/officeDocument/2006/relationships/footnotes" Target="footnotes.xml" Id="rId11" /><Relationship Type="http://schemas.openxmlformats.org/officeDocument/2006/relationships/hyperlink" Target="https://eur-lex.europa.eu/legal-content/NL/TXT/?uri=CELEX%3A52022DC0717&amp;qid=1671437637996" TargetMode="External" Id="rId15" /><Relationship Type="http://schemas.openxmlformats.org/officeDocument/2006/relationships/webSettings" Target="webSettings.xml" Id="rId10" /><Relationship Type="http://schemas.openxmlformats.org/officeDocument/2006/relationships/header" Target="header2.xm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559</ap:Words>
  <ap:Characters>3922</ap:Characters>
  <ap:DocSecurity>4</ap:DocSecurity>
  <ap:Lines>32</ap:Lines>
  <ap:Paragraphs>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2023-01-20T12:57:00.0000000Z</dcterms:created>
  <dcterms:modified xsi:type="dcterms:W3CDTF">2023-01-20T12:57:00.0000000Z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db93fa86-4f21-4a05-908a-ea8f326c3f49</vt:lpwstr>
  </property>
</Properties>
</file>