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1185" w:rsidP="00731185" w:rsidRDefault="00731185" w14:paraId="344FDD71" w14:textId="6C61A1DA">
      <w:pPr>
        <w:pStyle w:val="Heading1"/>
        <w:rPr>
          <w:sz w:val="28"/>
          <w:szCs w:val="28"/>
        </w:rPr>
      </w:pPr>
      <w:r w:rsidRPr="008847D4">
        <w:rPr>
          <w:sz w:val="28"/>
          <w:szCs w:val="28"/>
        </w:rPr>
        <w:t>Due Diligence</w:t>
      </w:r>
      <w:r w:rsidRPr="008847D4" w:rsidR="00D67605">
        <w:rPr>
          <w:sz w:val="28"/>
          <w:szCs w:val="28"/>
        </w:rPr>
        <w:t>,</w:t>
      </w:r>
      <w:r w:rsidRPr="008847D4">
        <w:rPr>
          <w:sz w:val="28"/>
          <w:szCs w:val="28"/>
        </w:rPr>
        <w:t xml:space="preserve"> </w:t>
      </w:r>
      <w:r w:rsidRPr="008847D4" w:rsidR="00EE04A8">
        <w:rPr>
          <w:sz w:val="28"/>
          <w:szCs w:val="28"/>
        </w:rPr>
        <w:t>Living Income</w:t>
      </w:r>
      <w:r w:rsidRPr="008847D4" w:rsidR="00D67605">
        <w:rPr>
          <w:sz w:val="28"/>
          <w:szCs w:val="28"/>
        </w:rPr>
        <w:t>, and purchasing practices</w:t>
      </w:r>
    </w:p>
    <w:p w:rsidRPr="008847D4" w:rsidR="005351C1" w:rsidP="001023F1" w:rsidRDefault="005351C1" w14:paraId="527F6FEC" w14:textId="605191B6">
      <w:pPr>
        <w:pStyle w:val="Heading2"/>
        <w:tabs>
          <w:tab w:val="left" w:pos="0"/>
        </w:tabs>
        <w:rPr>
          <w:sz w:val="21"/>
          <w:szCs w:val="21"/>
        </w:rPr>
      </w:pPr>
      <w:r w:rsidRPr="008847D4">
        <w:rPr>
          <w:sz w:val="21"/>
          <w:szCs w:val="21"/>
        </w:rPr>
        <w:t>The chocolate sector is a strong supporter of Due Diligence regulation</w:t>
      </w:r>
    </w:p>
    <w:p w:rsidRPr="008847D4" w:rsidR="00B279F2" w:rsidP="005351C1" w:rsidRDefault="00B279F2" w14:paraId="332B7056" w14:textId="23A50AFC">
      <w:pPr>
        <w:pStyle w:val="NoSpacing"/>
        <w:rPr>
          <w:sz w:val="21"/>
          <w:szCs w:val="21"/>
        </w:rPr>
      </w:pPr>
      <w:r w:rsidRPr="008847D4">
        <w:rPr>
          <w:sz w:val="21"/>
          <w:szCs w:val="21"/>
        </w:rPr>
        <w:t xml:space="preserve">Four </w:t>
      </w:r>
      <w:r w:rsidRPr="008847D4" w:rsidR="00221D1C">
        <w:rPr>
          <w:sz w:val="21"/>
          <w:szCs w:val="21"/>
        </w:rPr>
        <w:t xml:space="preserve">years ago, </w:t>
      </w:r>
      <w:r w:rsidRPr="008847D4" w:rsidR="005351C1">
        <w:rPr>
          <w:sz w:val="21"/>
          <w:szCs w:val="21"/>
        </w:rPr>
        <w:t xml:space="preserve">some of the largest cocoa and chocolate companies in the world </w:t>
      </w:r>
      <w:r w:rsidRPr="008847D4">
        <w:rPr>
          <w:sz w:val="21"/>
          <w:szCs w:val="21"/>
        </w:rPr>
        <w:t>collectively ask</w:t>
      </w:r>
      <w:r w:rsidRPr="008847D4" w:rsidR="005351C1">
        <w:rPr>
          <w:sz w:val="21"/>
          <w:szCs w:val="21"/>
        </w:rPr>
        <w:t xml:space="preserve">ed </w:t>
      </w:r>
      <w:r w:rsidRPr="008847D4">
        <w:rPr>
          <w:sz w:val="21"/>
          <w:szCs w:val="21"/>
        </w:rPr>
        <w:t xml:space="preserve">for mandatory human rights and environmental due diligence </w:t>
      </w:r>
      <w:r w:rsidRPr="008847D4" w:rsidR="00BD50BC">
        <w:rPr>
          <w:sz w:val="21"/>
          <w:szCs w:val="21"/>
        </w:rPr>
        <w:t>(</w:t>
      </w:r>
      <w:proofErr w:type="spellStart"/>
      <w:r w:rsidRPr="008847D4" w:rsidR="00BD50BC">
        <w:rPr>
          <w:sz w:val="21"/>
          <w:szCs w:val="21"/>
        </w:rPr>
        <w:t>mHREDD</w:t>
      </w:r>
      <w:proofErr w:type="spellEnd"/>
      <w:r w:rsidRPr="008847D4" w:rsidR="00BD50BC">
        <w:rPr>
          <w:sz w:val="21"/>
          <w:szCs w:val="21"/>
        </w:rPr>
        <w:t xml:space="preserve">) </w:t>
      </w:r>
      <w:r w:rsidRPr="008847D4">
        <w:rPr>
          <w:sz w:val="21"/>
          <w:szCs w:val="21"/>
        </w:rPr>
        <w:t xml:space="preserve">legislation. </w:t>
      </w:r>
      <w:r w:rsidRPr="008847D4" w:rsidR="005351C1">
        <w:rPr>
          <w:sz w:val="21"/>
          <w:szCs w:val="21"/>
        </w:rPr>
        <w:t>Decades of voluntary initiatives had clearly shown the inability of voluntary initiatives alone to deliver on sustainability promises. The whole cocoa and chocolate sector rallied around this call, and in</w:t>
      </w:r>
      <w:r w:rsidRPr="008847D4">
        <w:rPr>
          <w:sz w:val="21"/>
          <w:szCs w:val="21"/>
        </w:rPr>
        <w:t xml:space="preserve"> the following years, the</w:t>
      </w:r>
      <w:r w:rsidRPr="008847D4" w:rsidR="005351C1">
        <w:rPr>
          <w:sz w:val="21"/>
          <w:szCs w:val="21"/>
        </w:rPr>
        <w:t xml:space="preserve"> joint sector </w:t>
      </w:r>
      <w:r w:rsidRPr="008847D4" w:rsidR="00D67605">
        <w:rPr>
          <w:sz w:val="21"/>
          <w:szCs w:val="21"/>
        </w:rPr>
        <w:t xml:space="preserve">– working in a collaboration called the Cocoa Coalition – </w:t>
      </w:r>
      <w:r w:rsidRPr="008847D4">
        <w:rPr>
          <w:sz w:val="21"/>
          <w:szCs w:val="21"/>
        </w:rPr>
        <w:t>developed</w:t>
      </w:r>
      <w:r w:rsidRPr="008847D4" w:rsidR="00D67605">
        <w:rPr>
          <w:sz w:val="21"/>
          <w:szCs w:val="21"/>
        </w:rPr>
        <w:t xml:space="preserve"> </w:t>
      </w:r>
      <w:r w:rsidRPr="008847D4">
        <w:rPr>
          <w:sz w:val="21"/>
          <w:szCs w:val="21"/>
        </w:rPr>
        <w:t>a series of position papers on why this is necessary, and what elements must be part of such a regulation.</w:t>
      </w:r>
      <w:r w:rsidRPr="008847D4" w:rsidR="005351C1">
        <w:rPr>
          <w:rStyle w:val="FootnoteReference"/>
          <w:sz w:val="21"/>
          <w:szCs w:val="21"/>
        </w:rPr>
        <w:footnoteReference w:id="1"/>
      </w:r>
      <w:r w:rsidRPr="008847D4">
        <w:rPr>
          <w:sz w:val="21"/>
          <w:szCs w:val="21"/>
        </w:rPr>
        <w:t xml:space="preserve"> </w:t>
      </w:r>
    </w:p>
    <w:p w:rsidRPr="008847D4" w:rsidR="00731185" w:rsidP="00731185" w:rsidRDefault="00731185" w14:paraId="08243673" w14:textId="3C49C2DD">
      <w:pPr>
        <w:pStyle w:val="Heading2"/>
        <w:rPr>
          <w:sz w:val="21"/>
          <w:szCs w:val="21"/>
        </w:rPr>
      </w:pPr>
      <w:r w:rsidRPr="008847D4">
        <w:rPr>
          <w:sz w:val="21"/>
          <w:szCs w:val="21"/>
        </w:rPr>
        <w:t xml:space="preserve">OECD </w:t>
      </w:r>
      <w:r w:rsidRPr="008847D4" w:rsidR="00D67605">
        <w:rPr>
          <w:sz w:val="21"/>
          <w:szCs w:val="21"/>
        </w:rPr>
        <w:t>Guidance</w:t>
      </w:r>
    </w:p>
    <w:p w:rsidR="001023F1" w:rsidP="005351C1" w:rsidRDefault="00B279F2" w14:paraId="066A2962" w14:textId="77777777">
      <w:pPr>
        <w:pStyle w:val="NoSpacing"/>
        <w:rPr>
          <w:sz w:val="21"/>
          <w:szCs w:val="21"/>
        </w:rPr>
      </w:pPr>
      <w:r w:rsidRPr="008847D4">
        <w:rPr>
          <w:sz w:val="21"/>
          <w:szCs w:val="21"/>
        </w:rPr>
        <w:t xml:space="preserve">For this, a strong framework of </w:t>
      </w:r>
      <w:proofErr w:type="spellStart"/>
      <w:r w:rsidRPr="008847D4">
        <w:rPr>
          <w:sz w:val="21"/>
          <w:szCs w:val="21"/>
        </w:rPr>
        <w:t>mHREDD</w:t>
      </w:r>
      <w:proofErr w:type="spellEnd"/>
      <w:r w:rsidRPr="008847D4">
        <w:rPr>
          <w:sz w:val="21"/>
          <w:szCs w:val="21"/>
        </w:rPr>
        <w:t xml:space="preserve"> regulations </w:t>
      </w:r>
      <w:r w:rsidRPr="008847D4" w:rsidR="006F49B1">
        <w:rPr>
          <w:sz w:val="21"/>
          <w:szCs w:val="21"/>
        </w:rPr>
        <w:t xml:space="preserve">is necessary </w:t>
      </w:r>
      <w:r w:rsidRPr="008847D4">
        <w:rPr>
          <w:sz w:val="21"/>
          <w:szCs w:val="21"/>
        </w:rPr>
        <w:t>– at</w:t>
      </w:r>
      <w:r w:rsidRPr="008847D4" w:rsidR="006F49B1">
        <w:rPr>
          <w:sz w:val="21"/>
          <w:szCs w:val="21"/>
        </w:rPr>
        <w:t xml:space="preserve"> </w:t>
      </w:r>
      <w:r w:rsidRPr="008847D4">
        <w:rPr>
          <w:sz w:val="21"/>
          <w:szCs w:val="21"/>
        </w:rPr>
        <w:t xml:space="preserve">both EU and at national levels. These regulations should be fully compliant to OECD </w:t>
      </w:r>
      <w:r w:rsidRPr="008847D4" w:rsidR="00731185">
        <w:rPr>
          <w:sz w:val="21"/>
          <w:szCs w:val="21"/>
        </w:rPr>
        <w:t>Due Diligence Guidance</w:t>
      </w:r>
      <w:r w:rsidRPr="008847D4">
        <w:rPr>
          <w:sz w:val="21"/>
          <w:szCs w:val="21"/>
        </w:rPr>
        <w:t xml:space="preserve">, and we note with concern that the EU current drafts – though moving in that direction – are still </w:t>
      </w:r>
      <w:r w:rsidRPr="008847D4" w:rsidR="001072B7">
        <w:rPr>
          <w:sz w:val="21"/>
          <w:szCs w:val="21"/>
        </w:rPr>
        <w:t xml:space="preserve">far from </w:t>
      </w:r>
      <w:r w:rsidRPr="008847D4">
        <w:rPr>
          <w:sz w:val="21"/>
          <w:szCs w:val="21"/>
        </w:rPr>
        <w:t>OECD-compliant</w:t>
      </w:r>
      <w:r w:rsidRPr="008847D4" w:rsidR="001072B7">
        <w:rPr>
          <w:sz w:val="21"/>
          <w:szCs w:val="21"/>
        </w:rPr>
        <w:t xml:space="preserve">. This </w:t>
      </w:r>
      <w:r w:rsidRPr="008847D4">
        <w:rPr>
          <w:sz w:val="21"/>
          <w:szCs w:val="21"/>
        </w:rPr>
        <w:t xml:space="preserve">will cause a </w:t>
      </w:r>
      <w:proofErr w:type="spellStart"/>
      <w:r w:rsidRPr="008847D4">
        <w:rPr>
          <w:sz w:val="21"/>
          <w:szCs w:val="21"/>
        </w:rPr>
        <w:t>lof</w:t>
      </w:r>
      <w:proofErr w:type="spellEnd"/>
      <w:r w:rsidRPr="008847D4">
        <w:rPr>
          <w:sz w:val="21"/>
          <w:szCs w:val="21"/>
        </w:rPr>
        <w:t xml:space="preserve"> of unclarity in the implementation</w:t>
      </w:r>
      <w:r w:rsidRPr="008847D4" w:rsidR="001072B7">
        <w:rPr>
          <w:sz w:val="21"/>
          <w:szCs w:val="21"/>
        </w:rPr>
        <w:t xml:space="preserve">, and for the sake of the businesses that need to comply, all </w:t>
      </w:r>
      <w:proofErr w:type="spellStart"/>
      <w:r w:rsidRPr="008847D4" w:rsidR="001072B7">
        <w:rPr>
          <w:sz w:val="21"/>
          <w:szCs w:val="21"/>
        </w:rPr>
        <w:t>mHREDD</w:t>
      </w:r>
      <w:proofErr w:type="spellEnd"/>
      <w:r w:rsidRPr="008847D4" w:rsidR="001072B7">
        <w:rPr>
          <w:sz w:val="21"/>
          <w:szCs w:val="21"/>
        </w:rPr>
        <w:t xml:space="preserve"> regulations should be brought to full OECD-alignment.</w:t>
      </w:r>
      <w:r w:rsidR="001023F1">
        <w:rPr>
          <w:sz w:val="21"/>
          <w:szCs w:val="21"/>
        </w:rPr>
        <w:t xml:space="preserve"> </w:t>
      </w:r>
    </w:p>
    <w:p w:rsidRPr="008847D4" w:rsidR="00B279F2" w:rsidP="005351C1" w:rsidRDefault="001023F1" w14:paraId="7A50A7DC" w14:textId="4FD43FEB">
      <w:pPr>
        <w:pStyle w:val="NoSpacing"/>
        <w:rPr>
          <w:sz w:val="21"/>
          <w:szCs w:val="21"/>
        </w:rPr>
      </w:pPr>
      <w:r>
        <w:rPr>
          <w:sz w:val="21"/>
          <w:szCs w:val="21"/>
        </w:rPr>
        <w:t xml:space="preserve">The Dutch regulation can receive a much stronger support from </w:t>
      </w:r>
      <w:proofErr w:type="gramStart"/>
      <w:r>
        <w:rPr>
          <w:sz w:val="21"/>
          <w:szCs w:val="21"/>
        </w:rPr>
        <w:t>us, because</w:t>
      </w:r>
      <w:proofErr w:type="gramEnd"/>
      <w:r>
        <w:rPr>
          <w:sz w:val="21"/>
          <w:szCs w:val="21"/>
        </w:rPr>
        <w:t xml:space="preserve"> it is in-line with OECD compliance. However, there are two major components missing in the regulation, two components that build on each other. </w:t>
      </w:r>
    </w:p>
    <w:p w:rsidRPr="008847D4" w:rsidR="005351C1" w:rsidP="005351C1" w:rsidRDefault="001023F1" w14:paraId="03134E82" w14:textId="3A96C3B8">
      <w:pPr>
        <w:pStyle w:val="Heading2"/>
        <w:rPr>
          <w:sz w:val="21"/>
          <w:szCs w:val="21"/>
        </w:rPr>
      </w:pPr>
      <w:r w:rsidRPr="008847D4">
        <w:rPr>
          <w:noProof/>
          <w:sz w:val="21"/>
          <w:szCs w:val="21"/>
        </w:rPr>
        <w:drawing>
          <wp:anchor distT="0" distB="0" distL="114300" distR="114300" simplePos="0" relativeHeight="251658240" behindDoc="0" locked="0" layoutInCell="1" allowOverlap="1" wp14:editId="482929FF" wp14:anchorId="1372D91C">
            <wp:simplePos x="0" y="0"/>
            <wp:positionH relativeFrom="column">
              <wp:posOffset>3707156</wp:posOffset>
            </wp:positionH>
            <wp:positionV relativeFrom="paragraph">
              <wp:posOffset>205216</wp:posOffset>
            </wp:positionV>
            <wp:extent cx="2077278" cy="2069683"/>
            <wp:effectExtent l="0" t="0" r="5715" b="635"/>
            <wp:wrapSquare wrapText="bothSides"/>
            <wp:docPr id="18" name="Picture 18"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businesscar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7278" cy="2069683"/>
                    </a:xfrm>
                    <a:prstGeom prst="rect">
                      <a:avLst/>
                    </a:prstGeom>
                  </pic:spPr>
                </pic:pic>
              </a:graphicData>
            </a:graphic>
            <wp14:sizeRelH relativeFrom="page">
              <wp14:pctWidth>0</wp14:pctWidth>
            </wp14:sizeRelH>
            <wp14:sizeRelV relativeFrom="page">
              <wp14:pctHeight>0</wp14:pctHeight>
            </wp14:sizeRelV>
          </wp:anchor>
        </w:drawing>
      </w:r>
      <w:r w:rsidRPr="008847D4" w:rsidR="005351C1">
        <w:rPr>
          <w:sz w:val="21"/>
          <w:szCs w:val="21"/>
        </w:rPr>
        <w:t>Living Income</w:t>
      </w:r>
    </w:p>
    <w:p w:rsidRPr="008847D4" w:rsidR="00731185" w:rsidP="001072B7" w:rsidRDefault="001072B7" w14:paraId="0CDBC357" w14:textId="2A6688B1">
      <w:pPr>
        <w:pStyle w:val="NoSpacing"/>
        <w:rPr>
          <w:sz w:val="21"/>
          <w:szCs w:val="21"/>
        </w:rPr>
      </w:pPr>
      <w:r w:rsidRPr="008847D4">
        <w:rPr>
          <w:sz w:val="21"/>
          <w:szCs w:val="21"/>
        </w:rPr>
        <w:t xml:space="preserve">At the root of almost all environmental and human rights challenges lies the </w:t>
      </w:r>
      <w:r w:rsidRPr="008847D4">
        <w:rPr>
          <w:sz w:val="21"/>
          <w:szCs w:val="21"/>
        </w:rPr>
        <w:t xml:space="preserve">dire </w:t>
      </w:r>
      <w:r w:rsidRPr="008847D4">
        <w:rPr>
          <w:sz w:val="21"/>
          <w:szCs w:val="21"/>
        </w:rPr>
        <w:t xml:space="preserve">poverty of farmers and wage workers. </w:t>
      </w:r>
      <w:r w:rsidRPr="008847D4" w:rsidR="00731185">
        <w:rPr>
          <w:sz w:val="21"/>
          <w:szCs w:val="21"/>
        </w:rPr>
        <w:t xml:space="preserve">Major threats such as child labour or deforestation are made so much harder to tackle because of the poverty of cocoa growing households. Any strategy to address these challenges, must by default also address the root cause of farmer poverty. </w:t>
      </w:r>
      <w:r w:rsidRPr="008847D4">
        <w:rPr>
          <w:sz w:val="21"/>
          <w:szCs w:val="21"/>
        </w:rPr>
        <w:t xml:space="preserve">As such, for them to be effective, any </w:t>
      </w:r>
      <w:proofErr w:type="spellStart"/>
      <w:r w:rsidRPr="008847D4">
        <w:rPr>
          <w:sz w:val="21"/>
          <w:szCs w:val="21"/>
        </w:rPr>
        <w:t>mHREDD</w:t>
      </w:r>
      <w:proofErr w:type="spellEnd"/>
      <w:r w:rsidRPr="008847D4">
        <w:rPr>
          <w:sz w:val="21"/>
          <w:szCs w:val="21"/>
        </w:rPr>
        <w:t xml:space="preserve"> regulation must include requirements on </w:t>
      </w:r>
      <w:r w:rsidRPr="008847D4" w:rsidR="00B279F2">
        <w:rPr>
          <w:sz w:val="21"/>
          <w:szCs w:val="21"/>
        </w:rPr>
        <w:t>living wage and living income.</w:t>
      </w:r>
      <w:r w:rsidRPr="008847D4">
        <w:rPr>
          <w:sz w:val="21"/>
          <w:szCs w:val="21"/>
          <w:vertAlign w:val="superscript"/>
        </w:rPr>
        <w:footnoteReference w:id="2"/>
      </w:r>
      <w:r w:rsidRPr="008847D4" w:rsidR="00B279F2">
        <w:rPr>
          <w:sz w:val="21"/>
          <w:szCs w:val="21"/>
        </w:rPr>
        <w:t xml:space="preserve"> </w:t>
      </w:r>
    </w:p>
    <w:p w:rsidRPr="008847D4" w:rsidR="00BD50BC" w:rsidP="001072B7" w:rsidRDefault="001072B7" w14:paraId="1BBB4768" w14:textId="45EB2A70">
      <w:pPr>
        <w:pStyle w:val="NoSpacing"/>
        <w:rPr>
          <w:sz w:val="21"/>
          <w:szCs w:val="21"/>
        </w:rPr>
      </w:pPr>
      <w:r w:rsidRPr="008847D4">
        <w:rPr>
          <w:sz w:val="21"/>
          <w:szCs w:val="21"/>
        </w:rPr>
        <w:t xml:space="preserve">This, too, is one of the </w:t>
      </w:r>
      <w:proofErr w:type="gramStart"/>
      <w:r w:rsidRPr="008847D4">
        <w:rPr>
          <w:sz w:val="21"/>
          <w:szCs w:val="21"/>
        </w:rPr>
        <w:t>key</w:t>
      </w:r>
      <w:proofErr w:type="gramEnd"/>
      <w:r w:rsidRPr="008847D4">
        <w:rPr>
          <w:sz w:val="21"/>
          <w:szCs w:val="21"/>
        </w:rPr>
        <w:t xml:space="preserve"> asks of the cocoa sector towards </w:t>
      </w:r>
      <w:proofErr w:type="spellStart"/>
      <w:r w:rsidRPr="008847D4">
        <w:rPr>
          <w:sz w:val="21"/>
          <w:szCs w:val="21"/>
        </w:rPr>
        <w:t>requlators</w:t>
      </w:r>
      <w:proofErr w:type="spellEnd"/>
      <w:r w:rsidRPr="008847D4">
        <w:rPr>
          <w:sz w:val="21"/>
          <w:szCs w:val="21"/>
        </w:rPr>
        <w:t xml:space="preserve">, asking to </w:t>
      </w:r>
      <w:r w:rsidRPr="008847D4">
        <w:rPr>
          <w:i/>
          <w:iCs/>
          <w:sz w:val="21"/>
          <w:szCs w:val="21"/>
        </w:rPr>
        <w:t>“</w:t>
      </w:r>
      <w:r w:rsidRPr="008847D4" w:rsidR="00BD50BC">
        <w:rPr>
          <w:i/>
          <w:iCs/>
          <w:sz w:val="21"/>
          <w:szCs w:val="21"/>
        </w:rPr>
        <w:t>include the right to an adequate standard of living, including a living income, as a fundamental human right, as embedded in Articles 23 and 25 of the Universal Declaration of Human Rights and Articles 7 and 11 of the International Covenant on Economic, Social and Cultural Rights.</w:t>
      </w:r>
      <w:r w:rsidRPr="008847D4" w:rsidR="00731185">
        <w:rPr>
          <w:i/>
          <w:iCs/>
          <w:sz w:val="21"/>
          <w:szCs w:val="21"/>
        </w:rPr>
        <w:t>”</w:t>
      </w:r>
      <w:r w:rsidRPr="008847D4" w:rsidR="00731185">
        <w:rPr>
          <w:rStyle w:val="FootnoteReference"/>
          <w:i/>
          <w:iCs/>
          <w:sz w:val="21"/>
          <w:szCs w:val="21"/>
        </w:rPr>
        <w:footnoteReference w:id="3"/>
      </w:r>
      <w:r w:rsidRPr="008847D4" w:rsidR="00BD50BC">
        <w:rPr>
          <w:i/>
          <w:iCs/>
          <w:sz w:val="21"/>
          <w:szCs w:val="21"/>
        </w:rPr>
        <w:t xml:space="preserve"> </w:t>
      </w:r>
    </w:p>
    <w:p w:rsidRPr="008847D4" w:rsidR="00BD50BC" w:rsidP="00BD50BC" w:rsidRDefault="00EE04A8" w14:paraId="6FCBC21A" w14:textId="3EE6403C">
      <w:pPr>
        <w:pStyle w:val="Heading2"/>
        <w:rPr>
          <w:sz w:val="21"/>
          <w:szCs w:val="21"/>
        </w:rPr>
      </w:pPr>
      <w:r w:rsidRPr="008847D4">
        <w:rPr>
          <w:noProof/>
          <w:sz w:val="21"/>
          <w:szCs w:val="21"/>
        </w:rPr>
        <w:lastRenderedPageBreak/>
        <w:drawing>
          <wp:anchor distT="0" distB="0" distL="114300" distR="114300" simplePos="0" relativeHeight="251659264" behindDoc="0" locked="0" layoutInCell="1" allowOverlap="1" wp14:editId="397B5E08" wp14:anchorId="03DE1E42">
            <wp:simplePos x="0" y="0"/>
            <wp:positionH relativeFrom="column">
              <wp:posOffset>3736947</wp:posOffset>
            </wp:positionH>
            <wp:positionV relativeFrom="paragraph">
              <wp:posOffset>31281</wp:posOffset>
            </wp:positionV>
            <wp:extent cx="2057400" cy="2063750"/>
            <wp:effectExtent l="0" t="0" r="0" b="6350"/>
            <wp:wrapSquare wrapText="bothSides"/>
            <wp:docPr id="12" name="Picture 12"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businesscard&#10;&#10;Description automatically generated"/>
                    <pic:cNvPicPr/>
                  </pic:nvPicPr>
                  <pic:blipFill rotWithShape="1">
                    <a:blip r:embed="rId9" cstate="print">
                      <a:extLst>
                        <a:ext uri="{28A0092B-C50C-407E-A947-70E740481C1C}">
                          <a14:useLocalDpi xmlns:a14="http://schemas.microsoft.com/office/drawing/2010/main" val="0"/>
                        </a:ext>
                      </a:extLst>
                    </a:blip>
                    <a:srcRect l="22819" t="38435" r="21344" b="24241"/>
                    <a:stretch/>
                  </pic:blipFill>
                  <pic:spPr bwMode="auto">
                    <a:xfrm>
                      <a:off x="0" y="0"/>
                      <a:ext cx="2057400" cy="2063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847D4" w:rsidR="00BD50BC">
        <w:rPr>
          <w:sz w:val="21"/>
          <w:szCs w:val="21"/>
        </w:rPr>
        <w:t xml:space="preserve">Purchasing </w:t>
      </w:r>
      <w:r w:rsidRPr="008847D4" w:rsidR="00D67605">
        <w:rPr>
          <w:sz w:val="21"/>
          <w:szCs w:val="21"/>
        </w:rPr>
        <w:t>P</w:t>
      </w:r>
      <w:r w:rsidRPr="008847D4" w:rsidR="00BD50BC">
        <w:rPr>
          <w:sz w:val="21"/>
          <w:szCs w:val="21"/>
        </w:rPr>
        <w:t>ractices</w:t>
      </w:r>
    </w:p>
    <w:p w:rsidRPr="008847D4" w:rsidR="001072B7" w:rsidP="001072B7" w:rsidRDefault="00731185" w14:paraId="60D7D23E" w14:textId="284BF292">
      <w:pPr>
        <w:pStyle w:val="NoSpacing"/>
        <w:rPr>
          <w:sz w:val="21"/>
          <w:szCs w:val="21"/>
        </w:rPr>
      </w:pPr>
      <w:r w:rsidRPr="008847D4">
        <w:rPr>
          <w:sz w:val="21"/>
          <w:szCs w:val="21"/>
        </w:rPr>
        <w:t>Though l</w:t>
      </w:r>
      <w:r w:rsidRPr="008847D4" w:rsidR="001072B7">
        <w:rPr>
          <w:sz w:val="21"/>
          <w:szCs w:val="21"/>
        </w:rPr>
        <w:t>iving income as a concept has become a key objective for the cocoa sector in the past few years, it hasn’t changed core business activities so far. Research from th</w:t>
      </w:r>
      <w:r w:rsidRPr="008847D4" w:rsidR="00EE04A8">
        <w:rPr>
          <w:sz w:val="21"/>
          <w:szCs w:val="21"/>
        </w:rPr>
        <w:t xml:space="preserve">e recently released 2022 </w:t>
      </w:r>
      <w:r w:rsidRPr="008847D4" w:rsidR="00D67605">
        <w:rPr>
          <w:sz w:val="21"/>
          <w:szCs w:val="21"/>
        </w:rPr>
        <w:t>Cocoa Barometer</w:t>
      </w:r>
      <w:r w:rsidRPr="008847D4" w:rsidR="00EE04A8">
        <w:rPr>
          <w:rStyle w:val="FootnoteReference"/>
          <w:sz w:val="21"/>
          <w:szCs w:val="21"/>
        </w:rPr>
        <w:footnoteReference w:id="4"/>
      </w:r>
      <w:r w:rsidRPr="008847D4" w:rsidR="001072B7">
        <w:rPr>
          <w:sz w:val="21"/>
          <w:szCs w:val="21"/>
        </w:rPr>
        <w:t xml:space="preserve"> shows that the favoured approaches so far to raising farmer poverty are not going to bridge the income gap; higher yields do not necessarily lead to increased net income but do lead to greater risks for farmers. </w:t>
      </w:r>
      <w:r w:rsidRPr="008847D4" w:rsidR="00EE04A8">
        <w:rPr>
          <w:sz w:val="21"/>
          <w:szCs w:val="21"/>
        </w:rPr>
        <w:t>The data is clear;</w:t>
      </w:r>
      <w:r w:rsidRPr="008847D4" w:rsidR="00D67605">
        <w:rPr>
          <w:sz w:val="21"/>
          <w:szCs w:val="21"/>
        </w:rPr>
        <w:t xml:space="preserve"> Good Agricultural Practices and Governance Policies alone will not bridge the income gap; Purchasing Practices</w:t>
      </w:r>
      <w:r w:rsidRPr="008847D4" w:rsidR="00EE04A8">
        <w:rPr>
          <w:sz w:val="21"/>
          <w:szCs w:val="21"/>
        </w:rPr>
        <w:t xml:space="preserve"> </w:t>
      </w:r>
      <w:r w:rsidRPr="008847D4" w:rsidR="00D67605">
        <w:rPr>
          <w:sz w:val="21"/>
          <w:szCs w:val="21"/>
        </w:rPr>
        <w:t>need to change as well. In fact, without proper Governance and Purchasing Practices, there often is no business model for Good Agricultural Practices.</w:t>
      </w:r>
    </w:p>
    <w:p w:rsidRPr="008847D4" w:rsidR="008847D4" w:rsidP="001072B7" w:rsidRDefault="008847D4" w14:paraId="04A59226" w14:textId="416116B1">
      <w:pPr>
        <w:pStyle w:val="NoSpacing"/>
        <w:rPr>
          <w:sz w:val="21"/>
          <w:szCs w:val="21"/>
        </w:rPr>
      </w:pPr>
      <w:r w:rsidRPr="008847D4">
        <w:rPr>
          <w:sz w:val="21"/>
          <w:szCs w:val="21"/>
        </w:rPr>
        <w:t xml:space="preserve">These purchasing practices include farm gate prices paid, as well as the way that risk is shared by not just the first producers but also by the often more powerful downstream purchasers. This could include long term asymmetric contracts, giving the farmers more rights and protections, etc… </w:t>
      </w:r>
    </w:p>
    <w:p w:rsidRPr="008847D4" w:rsidR="00AC00E9" w:rsidP="00D67605" w:rsidRDefault="00D67605" w14:paraId="7477E1B8" w14:textId="7B0D5EA6">
      <w:pPr>
        <w:pStyle w:val="NoSpacing"/>
        <w:rPr>
          <w:i/>
          <w:iCs/>
          <w:sz w:val="21"/>
          <w:szCs w:val="21"/>
        </w:rPr>
      </w:pPr>
      <w:r w:rsidRPr="008847D4">
        <w:rPr>
          <w:sz w:val="21"/>
          <w:szCs w:val="21"/>
        </w:rPr>
        <w:t>As the Cocoa Coalition put in her latest position paper on Due Diligence regulations: “</w:t>
      </w:r>
      <w:r w:rsidRPr="008847D4" w:rsidR="00AC00E9">
        <w:rPr>
          <w:i/>
          <w:iCs/>
          <w:sz w:val="21"/>
          <w:szCs w:val="21"/>
        </w:rPr>
        <w:t>Companies’ purchasing practices are critical elements in mitigating against the risk of human rights abuses and environmental harms. This is particularly the case in agricultural supply chains where farmer poverty is prevalent, including cocoa</w:t>
      </w:r>
      <w:r w:rsidRPr="008847D4">
        <w:rPr>
          <w:i/>
          <w:iCs/>
          <w:sz w:val="21"/>
          <w:szCs w:val="21"/>
        </w:rPr>
        <w:t>..</w:t>
      </w:r>
      <w:r w:rsidRPr="008847D4" w:rsidR="00AC00E9">
        <w:rPr>
          <w:i/>
          <w:iCs/>
          <w:sz w:val="21"/>
          <w:szCs w:val="21"/>
        </w:rPr>
        <w:t>.</w:t>
      </w:r>
      <w:r w:rsidRPr="008847D4">
        <w:rPr>
          <w:i/>
          <w:iCs/>
          <w:sz w:val="21"/>
          <w:szCs w:val="21"/>
        </w:rPr>
        <w:t xml:space="preserve">” </w:t>
      </w:r>
      <w:r w:rsidRPr="008847D4">
        <w:rPr>
          <w:sz w:val="21"/>
          <w:szCs w:val="21"/>
        </w:rPr>
        <w:t xml:space="preserve">The Coalition goes on to state that regulation </w:t>
      </w:r>
      <w:r w:rsidRPr="008847D4">
        <w:rPr>
          <w:rFonts w:eastAsiaTheme="minorHAnsi" w:cstheme="minorBidi"/>
          <w:i/>
          <w:iCs/>
          <w:color w:val="auto"/>
          <w:sz w:val="21"/>
          <w:szCs w:val="21"/>
        </w:rPr>
        <w:t>“</w:t>
      </w:r>
      <w:r w:rsidRPr="008847D4" w:rsidR="00AC00E9">
        <w:rPr>
          <w:i/>
          <w:iCs/>
          <w:sz w:val="21"/>
          <w:szCs w:val="21"/>
        </w:rPr>
        <w:t>should incentivise companies regularly to review their purchasing models</w:t>
      </w:r>
      <w:r w:rsidRPr="008847D4">
        <w:rPr>
          <w:i/>
          <w:iCs/>
          <w:sz w:val="21"/>
          <w:szCs w:val="21"/>
        </w:rPr>
        <w:t>”.</w:t>
      </w:r>
    </w:p>
    <w:p w:rsidR="00D67605" w:rsidP="005351C1" w:rsidRDefault="00D67605" w14:paraId="653D2747" w14:textId="4C1B6047">
      <w:pPr>
        <w:pStyle w:val="NoSpacing"/>
        <w:rPr>
          <w:sz w:val="21"/>
          <w:szCs w:val="21"/>
        </w:rPr>
      </w:pPr>
      <w:r w:rsidRPr="008847D4">
        <w:rPr>
          <w:sz w:val="21"/>
          <w:szCs w:val="21"/>
        </w:rPr>
        <w:t>Furthermore, the risk that corporations will transfer the cost of compliance to the first producers – who are generally the most vulnerable as well – can also be mitigated through requiring decent purchasing practices.</w:t>
      </w:r>
    </w:p>
    <w:p w:rsidRPr="008847D4" w:rsidR="001023F1" w:rsidP="001023F1" w:rsidRDefault="001023F1" w14:paraId="0806F11A" w14:textId="77777777">
      <w:pPr>
        <w:pStyle w:val="Heading2"/>
        <w:rPr>
          <w:sz w:val="21"/>
          <w:szCs w:val="21"/>
        </w:rPr>
      </w:pPr>
      <w:r w:rsidRPr="008847D4">
        <w:rPr>
          <w:sz w:val="21"/>
          <w:szCs w:val="21"/>
        </w:rPr>
        <w:t>Enabling Environment</w:t>
      </w:r>
    </w:p>
    <w:p w:rsidRPr="008847D4" w:rsidR="001023F1" w:rsidP="005351C1" w:rsidRDefault="001023F1" w14:paraId="51496726" w14:textId="25246984">
      <w:pPr>
        <w:pStyle w:val="NoSpacing"/>
        <w:rPr>
          <w:sz w:val="21"/>
          <w:szCs w:val="21"/>
        </w:rPr>
      </w:pPr>
      <w:r w:rsidRPr="008847D4">
        <w:rPr>
          <w:sz w:val="21"/>
          <w:szCs w:val="21"/>
        </w:rPr>
        <w:t xml:space="preserve">Though an essential building block, </w:t>
      </w:r>
      <w:proofErr w:type="spellStart"/>
      <w:r w:rsidRPr="008847D4">
        <w:rPr>
          <w:sz w:val="21"/>
          <w:szCs w:val="21"/>
        </w:rPr>
        <w:t>mHREDD</w:t>
      </w:r>
      <w:proofErr w:type="spellEnd"/>
      <w:r w:rsidRPr="008847D4">
        <w:rPr>
          <w:sz w:val="21"/>
          <w:szCs w:val="21"/>
        </w:rPr>
        <w:t xml:space="preserve"> is not a magic bullet and will not solve all the challenges. It must be coupled with strengthening of the enabling environment, such as infrastructure, rule of law, etc. However, the United Nations Guiding Principles on Business and Human Rights are clear; even when the enabling environment is not in place and producing governments are not meeting their responsibilities, corporations must respect human rights – and not trash the environment. </w:t>
      </w:r>
    </w:p>
    <w:p w:rsidRPr="008847D4" w:rsidR="00D67605" w:rsidP="008847D4" w:rsidRDefault="00D67605" w14:paraId="539D0C8C" w14:textId="3C2E1781">
      <w:pPr>
        <w:pStyle w:val="Heading2"/>
        <w:rPr>
          <w:color w:val="E40454"/>
        </w:rPr>
      </w:pPr>
      <w:r w:rsidRPr="008847D4">
        <w:rPr>
          <w:color w:val="E40454"/>
        </w:rPr>
        <w:t>Summary</w:t>
      </w:r>
    </w:p>
    <w:p w:rsidR="008847D4" w:rsidP="005351C1" w:rsidRDefault="008847D4" w14:paraId="41F1B6D4" w14:textId="01713188">
      <w:pPr>
        <w:pStyle w:val="NoSpacing"/>
        <w:rPr>
          <w:color w:val="E40454"/>
          <w:sz w:val="21"/>
          <w:szCs w:val="21"/>
        </w:rPr>
      </w:pPr>
      <w:r w:rsidRPr="008847D4">
        <w:rPr>
          <w:color w:val="E40454"/>
          <w:sz w:val="21"/>
          <w:szCs w:val="21"/>
        </w:rPr>
        <w:t>The cocoa sector is a strong supporter over due diligence regulations. But beyond the standard sustainability approaches, these regulations will have to require tackling the root causes of unsustainability, including providing a living income. This will have to include the requirement to regularly review the purchasing practices</w:t>
      </w:r>
      <w:r>
        <w:rPr>
          <w:color w:val="E40454"/>
          <w:sz w:val="21"/>
          <w:szCs w:val="21"/>
        </w:rPr>
        <w:t>, including the prices paid at farm gate and contractual de-risking of farmers</w:t>
      </w:r>
      <w:r w:rsidRPr="008847D4">
        <w:rPr>
          <w:color w:val="E40454"/>
          <w:sz w:val="21"/>
          <w:szCs w:val="21"/>
        </w:rPr>
        <w:t>.</w:t>
      </w:r>
    </w:p>
    <w:p w:rsidRPr="001023F1" w:rsidR="001023F1" w:rsidP="005351C1" w:rsidRDefault="001023F1" w14:paraId="6E85ECAB" w14:textId="31BECDAE">
      <w:pPr>
        <w:pStyle w:val="NoSpacing"/>
        <w:rPr>
          <w:i/>
          <w:iCs/>
          <w:sz w:val="20"/>
          <w:szCs w:val="20"/>
        </w:rPr>
      </w:pPr>
      <w:r>
        <w:rPr>
          <w:i/>
          <w:iCs/>
          <w:color w:val="E40454"/>
          <w:sz w:val="20"/>
          <w:szCs w:val="20"/>
        </w:rPr>
        <w:br/>
      </w:r>
      <w:r w:rsidRPr="001023F1">
        <w:rPr>
          <w:i/>
          <w:iCs/>
          <w:sz w:val="20"/>
          <w:szCs w:val="20"/>
        </w:rPr>
        <w:t xml:space="preserve">This document was prepared </w:t>
      </w:r>
      <w:r w:rsidRPr="001023F1">
        <w:rPr>
          <w:i/>
          <w:iCs/>
          <w:sz w:val="20"/>
          <w:szCs w:val="20"/>
        </w:rPr>
        <w:t xml:space="preserve">in January 2023 </w:t>
      </w:r>
      <w:r w:rsidRPr="001023F1">
        <w:rPr>
          <w:i/>
          <w:iCs/>
          <w:sz w:val="20"/>
          <w:szCs w:val="20"/>
        </w:rPr>
        <w:t xml:space="preserve">for the Dutch Parliament by </w:t>
      </w:r>
      <w:proofErr w:type="spellStart"/>
      <w:r w:rsidRPr="001023F1">
        <w:rPr>
          <w:i/>
          <w:iCs/>
          <w:sz w:val="20"/>
          <w:szCs w:val="20"/>
        </w:rPr>
        <w:t>Pomasi</w:t>
      </w:r>
      <w:proofErr w:type="spellEnd"/>
      <w:r w:rsidRPr="001023F1">
        <w:rPr>
          <w:i/>
          <w:iCs/>
          <w:sz w:val="20"/>
          <w:szCs w:val="20"/>
        </w:rPr>
        <w:t xml:space="preserve"> Ismaili – Chairman, Cocoa </w:t>
      </w:r>
      <w:proofErr w:type="spellStart"/>
      <w:r w:rsidRPr="001023F1">
        <w:rPr>
          <w:i/>
          <w:iCs/>
          <w:sz w:val="20"/>
          <w:szCs w:val="20"/>
        </w:rPr>
        <w:t>Abrabopa</w:t>
      </w:r>
      <w:proofErr w:type="spellEnd"/>
      <w:r w:rsidRPr="001023F1">
        <w:rPr>
          <w:i/>
          <w:iCs/>
          <w:sz w:val="20"/>
          <w:szCs w:val="20"/>
        </w:rPr>
        <w:t xml:space="preserve"> Farmers Association</w:t>
      </w:r>
      <w:r>
        <w:rPr>
          <w:i/>
          <w:iCs/>
          <w:sz w:val="20"/>
          <w:szCs w:val="20"/>
        </w:rPr>
        <w:t>,</w:t>
      </w:r>
      <w:r w:rsidRPr="001023F1">
        <w:rPr>
          <w:i/>
          <w:iCs/>
          <w:sz w:val="20"/>
          <w:szCs w:val="20"/>
        </w:rPr>
        <w:t xml:space="preserve"> and </w:t>
      </w:r>
      <w:proofErr w:type="spellStart"/>
      <w:r w:rsidRPr="001023F1">
        <w:rPr>
          <w:i/>
          <w:iCs/>
          <w:sz w:val="20"/>
          <w:szCs w:val="20"/>
        </w:rPr>
        <w:t>Antonie</w:t>
      </w:r>
      <w:proofErr w:type="spellEnd"/>
      <w:r w:rsidRPr="001023F1">
        <w:rPr>
          <w:i/>
          <w:iCs/>
          <w:sz w:val="20"/>
          <w:szCs w:val="20"/>
        </w:rPr>
        <w:t xml:space="preserve"> Fountain – Managing Director, VOICE Network.</w:t>
      </w:r>
    </w:p>
    <w:sectPr w:rsidRPr="001023F1" w:rsidR="001023F1" w:rsidSect="001023F1">
      <w:pgSz w:w="11906" w:h="16838"/>
      <w:pgMar w:top="1132" w:right="1110" w:bottom="1017" w:left="1298"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BAD18" w14:textId="77777777" w:rsidR="00F72688" w:rsidRDefault="00F72688" w:rsidP="005351C1">
      <w:r>
        <w:separator/>
      </w:r>
    </w:p>
  </w:endnote>
  <w:endnote w:type="continuationSeparator" w:id="0">
    <w:p w14:paraId="5A8EEFD3" w14:textId="77777777" w:rsidR="00F72688" w:rsidRDefault="00F72688" w:rsidP="0053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w:panose1 w:val="020B0503020202020204"/>
    <w:charset w:val="00"/>
    <w:family w:val="swiss"/>
    <w:pitch w:val="variable"/>
    <w:sig w:usb0="8000002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B6F98" w14:textId="77777777" w:rsidR="00F72688" w:rsidRDefault="00F72688" w:rsidP="005351C1">
      <w:r>
        <w:separator/>
      </w:r>
    </w:p>
  </w:footnote>
  <w:footnote w:type="continuationSeparator" w:id="0">
    <w:p w14:paraId="6C1E35D8" w14:textId="77777777" w:rsidR="00F72688" w:rsidRDefault="00F72688" w:rsidP="005351C1">
      <w:r>
        <w:continuationSeparator/>
      </w:r>
    </w:p>
  </w:footnote>
  <w:footnote w:id="1">
    <w:p w14:paraId="609EA5A4" w14:textId="1D0B12F3" w:rsidR="005351C1" w:rsidRPr="00731185" w:rsidRDefault="005351C1" w:rsidP="00731185">
      <w:pPr>
        <w:pStyle w:val="NoSpacing"/>
        <w:spacing w:after="0"/>
        <w:rPr>
          <w:sz w:val="20"/>
          <w:szCs w:val="20"/>
        </w:rPr>
      </w:pPr>
      <w:r w:rsidRPr="00731185">
        <w:rPr>
          <w:rStyle w:val="FootnoteReference"/>
          <w:sz w:val="20"/>
          <w:szCs w:val="20"/>
        </w:rPr>
        <w:footnoteRef/>
      </w:r>
      <w:r w:rsidRPr="00731185">
        <w:rPr>
          <w:sz w:val="20"/>
          <w:szCs w:val="20"/>
        </w:rPr>
        <w:t xml:space="preserve"> </w:t>
      </w:r>
      <w:r w:rsidR="00D67605">
        <w:rPr>
          <w:sz w:val="20"/>
          <w:szCs w:val="20"/>
        </w:rPr>
        <w:t>An overview of their positions, all the companies involved, etc. can be found at</w:t>
      </w:r>
      <w:r w:rsidRPr="00731185">
        <w:rPr>
          <w:sz w:val="20"/>
          <w:szCs w:val="20"/>
        </w:rPr>
        <w:t xml:space="preserve"> </w:t>
      </w:r>
      <w:hyperlink r:id="rId1" w:history="1">
        <w:r w:rsidRPr="00731185">
          <w:rPr>
            <w:rStyle w:val="Hyperlink"/>
            <w:color w:val="5B2100"/>
            <w:sz w:val="20"/>
            <w:szCs w:val="20"/>
          </w:rPr>
          <w:t>www.voicenetwork.cc/due-diligence</w:t>
        </w:r>
      </w:hyperlink>
    </w:p>
  </w:footnote>
  <w:footnote w:id="2">
    <w:p w14:paraId="0E86FCB1" w14:textId="77777777" w:rsidR="001072B7" w:rsidRPr="00731185" w:rsidRDefault="001072B7" w:rsidP="00731185">
      <w:pPr>
        <w:pStyle w:val="FootnoteText"/>
        <w:rPr>
          <w:rFonts w:ascii="Avenir Next" w:hAnsi="Avenir Next"/>
          <w:color w:val="5B2100"/>
          <w:lang w:val="nl-NL"/>
        </w:rPr>
      </w:pPr>
      <w:r w:rsidRPr="00731185">
        <w:rPr>
          <w:rStyle w:val="FootnoteReference"/>
          <w:rFonts w:ascii="Avenir Next" w:hAnsi="Avenir Next"/>
          <w:color w:val="5B2100"/>
        </w:rPr>
        <w:footnoteRef/>
      </w:r>
      <w:r w:rsidRPr="00731185">
        <w:rPr>
          <w:rFonts w:ascii="Avenir Next" w:hAnsi="Avenir Next"/>
          <w:color w:val="5B2100"/>
        </w:rPr>
        <w:t xml:space="preserve"> </w:t>
      </w:r>
      <w:proofErr w:type="spellStart"/>
      <w:r w:rsidRPr="00731185">
        <w:rPr>
          <w:rFonts w:ascii="Avenir Next" w:hAnsi="Avenir Next"/>
          <w:color w:val="5B2100"/>
          <w:lang w:val="nl-NL"/>
        </w:rPr>
        <w:t>This</w:t>
      </w:r>
      <w:proofErr w:type="spellEnd"/>
      <w:r w:rsidRPr="00731185">
        <w:rPr>
          <w:rFonts w:ascii="Avenir Next" w:hAnsi="Avenir Next"/>
          <w:color w:val="5B2100"/>
          <w:lang w:val="nl-NL"/>
        </w:rPr>
        <w:t xml:space="preserve"> paper deals </w:t>
      </w:r>
      <w:proofErr w:type="spellStart"/>
      <w:r w:rsidRPr="00731185">
        <w:rPr>
          <w:rFonts w:ascii="Avenir Next" w:hAnsi="Avenir Next"/>
          <w:color w:val="5B2100"/>
          <w:lang w:val="nl-NL"/>
        </w:rPr>
        <w:t>with</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the</w:t>
      </w:r>
      <w:proofErr w:type="spellEnd"/>
      <w:r w:rsidRPr="00731185">
        <w:rPr>
          <w:rFonts w:ascii="Avenir Next" w:hAnsi="Avenir Next"/>
          <w:color w:val="5B2100"/>
          <w:lang w:val="nl-NL"/>
        </w:rPr>
        <w:t xml:space="preserve"> issue of living </w:t>
      </w:r>
      <w:proofErr w:type="spellStart"/>
      <w:r w:rsidRPr="00731185">
        <w:rPr>
          <w:rFonts w:ascii="Avenir Next" w:hAnsi="Avenir Next"/>
          <w:color w:val="5B2100"/>
          <w:lang w:val="nl-NL"/>
        </w:rPr>
        <w:t>income</w:t>
      </w:r>
      <w:proofErr w:type="spellEnd"/>
      <w:r w:rsidRPr="00731185">
        <w:rPr>
          <w:rFonts w:ascii="Avenir Next" w:hAnsi="Avenir Next"/>
          <w:color w:val="5B2100"/>
          <w:lang w:val="nl-NL"/>
        </w:rPr>
        <w:t xml:space="preserve">, as </w:t>
      </w:r>
      <w:proofErr w:type="spellStart"/>
      <w:r w:rsidRPr="00731185">
        <w:rPr>
          <w:rFonts w:ascii="Avenir Next" w:hAnsi="Avenir Next"/>
          <w:color w:val="5B2100"/>
          <w:lang w:val="nl-NL"/>
        </w:rPr>
        <w:t>cocoa</w:t>
      </w:r>
      <w:proofErr w:type="spellEnd"/>
      <w:r w:rsidRPr="00731185">
        <w:rPr>
          <w:rFonts w:ascii="Avenir Next" w:hAnsi="Avenir Next"/>
          <w:color w:val="5B2100"/>
          <w:lang w:val="nl-NL"/>
        </w:rPr>
        <w:t xml:space="preserve"> is a </w:t>
      </w:r>
      <w:proofErr w:type="spellStart"/>
      <w:r w:rsidRPr="00731185">
        <w:rPr>
          <w:rFonts w:ascii="Avenir Next" w:hAnsi="Avenir Next"/>
          <w:color w:val="5B2100"/>
          <w:lang w:val="nl-NL"/>
        </w:rPr>
        <w:t>crop</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largely</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grown</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by</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smallholder</w:t>
      </w:r>
      <w:proofErr w:type="spellEnd"/>
      <w:r w:rsidRPr="00731185">
        <w:rPr>
          <w:rFonts w:ascii="Avenir Next" w:hAnsi="Avenir Next"/>
          <w:color w:val="5B2100"/>
          <w:lang w:val="nl-NL"/>
        </w:rPr>
        <w:t xml:space="preserve"> farmers. A </w:t>
      </w:r>
      <w:proofErr w:type="spellStart"/>
      <w:r w:rsidRPr="00731185">
        <w:rPr>
          <w:rFonts w:ascii="Avenir Next" w:hAnsi="Avenir Next"/>
          <w:color w:val="5B2100"/>
          <w:lang w:val="nl-NL"/>
        </w:rPr>
        <w:t>very</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similar</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situation</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exists</w:t>
      </w:r>
      <w:proofErr w:type="spellEnd"/>
      <w:r w:rsidRPr="00731185">
        <w:rPr>
          <w:rFonts w:ascii="Avenir Next" w:hAnsi="Avenir Next"/>
          <w:color w:val="5B2100"/>
          <w:lang w:val="nl-NL"/>
        </w:rPr>
        <w:t xml:space="preserve"> in </w:t>
      </w:r>
      <w:proofErr w:type="spellStart"/>
      <w:r w:rsidRPr="00731185">
        <w:rPr>
          <w:rFonts w:ascii="Avenir Next" w:hAnsi="Avenir Next"/>
          <w:color w:val="5B2100"/>
          <w:lang w:val="nl-NL"/>
        </w:rPr>
        <w:t>supply</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chains</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that</w:t>
      </w:r>
      <w:proofErr w:type="spellEnd"/>
      <w:r w:rsidRPr="00731185">
        <w:rPr>
          <w:rFonts w:ascii="Avenir Next" w:hAnsi="Avenir Next"/>
          <w:color w:val="5B2100"/>
          <w:lang w:val="nl-NL"/>
        </w:rPr>
        <w:t xml:space="preserve"> deal more </w:t>
      </w:r>
      <w:proofErr w:type="spellStart"/>
      <w:r w:rsidRPr="00731185">
        <w:rPr>
          <w:rFonts w:ascii="Avenir Next" w:hAnsi="Avenir Next"/>
          <w:color w:val="5B2100"/>
          <w:lang w:val="nl-NL"/>
        </w:rPr>
        <w:t>with</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wage</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workers</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and</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the</w:t>
      </w:r>
      <w:proofErr w:type="spellEnd"/>
      <w:r w:rsidRPr="00731185">
        <w:rPr>
          <w:rFonts w:ascii="Avenir Next" w:hAnsi="Avenir Next"/>
          <w:color w:val="5B2100"/>
          <w:lang w:val="nl-NL"/>
        </w:rPr>
        <w:t xml:space="preserve"> issues </w:t>
      </w:r>
      <w:proofErr w:type="spellStart"/>
      <w:r w:rsidRPr="00731185">
        <w:rPr>
          <w:rFonts w:ascii="Avenir Next" w:hAnsi="Avenir Next"/>
          <w:color w:val="5B2100"/>
          <w:lang w:val="nl-NL"/>
        </w:rPr>
        <w:t>around</w:t>
      </w:r>
      <w:proofErr w:type="spellEnd"/>
      <w:r w:rsidRPr="00731185">
        <w:rPr>
          <w:rFonts w:ascii="Avenir Next" w:hAnsi="Avenir Next"/>
          <w:color w:val="5B2100"/>
          <w:lang w:val="nl-NL"/>
        </w:rPr>
        <w:t xml:space="preserve"> living </w:t>
      </w:r>
      <w:proofErr w:type="spellStart"/>
      <w:r w:rsidRPr="00731185">
        <w:rPr>
          <w:rFonts w:ascii="Avenir Next" w:hAnsi="Avenir Next"/>
          <w:color w:val="5B2100"/>
          <w:lang w:val="nl-NL"/>
        </w:rPr>
        <w:t>wage</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and</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income</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should</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both</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be</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addressed</w:t>
      </w:r>
      <w:proofErr w:type="spellEnd"/>
      <w:r w:rsidRPr="00731185">
        <w:rPr>
          <w:rFonts w:ascii="Avenir Next" w:hAnsi="Avenir Next"/>
          <w:color w:val="5B2100"/>
          <w:lang w:val="nl-NL"/>
        </w:rPr>
        <w:t xml:space="preserve"> in </w:t>
      </w:r>
      <w:proofErr w:type="spellStart"/>
      <w:r w:rsidRPr="00731185">
        <w:rPr>
          <w:rFonts w:ascii="Avenir Next" w:hAnsi="Avenir Next"/>
          <w:color w:val="5B2100"/>
          <w:lang w:val="nl-NL"/>
        </w:rPr>
        <w:t>any</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mHREDD</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bearing</w:t>
      </w:r>
      <w:proofErr w:type="spellEnd"/>
      <w:r w:rsidRPr="00731185">
        <w:rPr>
          <w:rFonts w:ascii="Avenir Next" w:hAnsi="Avenir Next"/>
          <w:color w:val="5B2100"/>
          <w:lang w:val="nl-NL"/>
        </w:rPr>
        <w:t xml:space="preserve"> in mind </w:t>
      </w:r>
      <w:proofErr w:type="spellStart"/>
      <w:r w:rsidRPr="00731185">
        <w:rPr>
          <w:rFonts w:ascii="Avenir Next" w:hAnsi="Avenir Next"/>
          <w:color w:val="5B2100"/>
          <w:lang w:val="nl-NL"/>
        </w:rPr>
        <w:t>that</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there</w:t>
      </w:r>
      <w:proofErr w:type="spellEnd"/>
      <w:r w:rsidRPr="00731185">
        <w:rPr>
          <w:rFonts w:ascii="Avenir Next" w:hAnsi="Avenir Next"/>
          <w:color w:val="5B2100"/>
          <w:lang w:val="nl-NL"/>
        </w:rPr>
        <w:t xml:space="preserve"> are </w:t>
      </w:r>
      <w:proofErr w:type="spellStart"/>
      <w:r w:rsidRPr="00731185">
        <w:rPr>
          <w:rFonts w:ascii="Avenir Next" w:hAnsi="Avenir Next"/>
          <w:color w:val="5B2100"/>
          <w:lang w:val="nl-NL"/>
        </w:rPr>
        <w:t>also</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specific</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challenges</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for</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both</w:t>
      </w:r>
      <w:proofErr w:type="spellEnd"/>
      <w:r w:rsidRPr="00731185">
        <w:rPr>
          <w:rFonts w:ascii="Avenir Next" w:hAnsi="Avenir Next"/>
          <w:color w:val="5B2100"/>
          <w:lang w:val="nl-NL"/>
        </w:rPr>
        <w:t xml:space="preserve"> </w:t>
      </w:r>
      <w:proofErr w:type="spellStart"/>
      <w:r w:rsidRPr="00731185">
        <w:rPr>
          <w:rFonts w:ascii="Avenir Next" w:hAnsi="Avenir Next"/>
          <w:color w:val="5B2100"/>
          <w:lang w:val="nl-NL"/>
        </w:rPr>
        <w:t>interventions</w:t>
      </w:r>
      <w:proofErr w:type="spellEnd"/>
      <w:r w:rsidRPr="00731185">
        <w:rPr>
          <w:rFonts w:ascii="Avenir Next" w:hAnsi="Avenir Next"/>
          <w:color w:val="5B2100"/>
          <w:lang w:val="nl-NL"/>
        </w:rPr>
        <w:t xml:space="preserve">. </w:t>
      </w:r>
    </w:p>
  </w:footnote>
  <w:footnote w:id="3">
    <w:p w14:paraId="75BF6E11" w14:textId="19869C3E" w:rsidR="00731185" w:rsidRPr="00731185" w:rsidRDefault="00731185" w:rsidP="00731185">
      <w:pPr>
        <w:pStyle w:val="FootnoteText"/>
        <w:rPr>
          <w:lang w:val="nl-NL"/>
        </w:rPr>
      </w:pPr>
      <w:r w:rsidRPr="00731185">
        <w:rPr>
          <w:rStyle w:val="FootnoteReference"/>
          <w:rFonts w:ascii="Avenir Next" w:hAnsi="Avenir Next"/>
          <w:color w:val="5B2100"/>
        </w:rPr>
        <w:footnoteRef/>
      </w:r>
      <w:r w:rsidRPr="00731185">
        <w:rPr>
          <w:rFonts w:ascii="Avenir Next" w:hAnsi="Avenir Next"/>
          <w:color w:val="5B2100"/>
        </w:rPr>
        <w:t xml:space="preserve"> </w:t>
      </w:r>
      <w:proofErr w:type="spellStart"/>
      <w:r w:rsidRPr="00731185">
        <w:rPr>
          <w:rFonts w:ascii="Avenir Next" w:hAnsi="Avenir Next"/>
          <w:color w:val="5B2100"/>
          <w:lang w:val="nl-NL"/>
        </w:rPr>
        <w:t>From</w:t>
      </w:r>
      <w:proofErr w:type="spellEnd"/>
      <w:r w:rsidRPr="00731185">
        <w:rPr>
          <w:rFonts w:ascii="Avenir Next" w:hAnsi="Avenir Next"/>
          <w:color w:val="5B2100"/>
          <w:lang w:val="nl-NL"/>
        </w:rPr>
        <w:t xml:space="preserve">: </w:t>
      </w:r>
      <w:hyperlink r:id="rId2" w:history="1">
        <w:r w:rsidRPr="00731185">
          <w:rPr>
            <w:rStyle w:val="Hyperlink"/>
            <w:rFonts w:ascii="Avenir Next" w:hAnsi="Avenir Next"/>
            <w:color w:val="5B2100"/>
          </w:rPr>
          <w:t>https://voicenetwork.cc/wp-content/uploads/2022/09/Cocoa-Coalition-CSDD-response.pdf</w:t>
        </w:r>
      </w:hyperlink>
    </w:p>
  </w:footnote>
  <w:footnote w:id="4">
    <w:p w14:paraId="557E39CA" w14:textId="242EE9E3" w:rsidR="00EE04A8" w:rsidRPr="001023F1" w:rsidRDefault="00EE04A8" w:rsidP="001023F1">
      <w:pPr>
        <w:pStyle w:val="NoSpacing"/>
        <w:spacing w:after="0"/>
        <w:rPr>
          <w:sz w:val="20"/>
          <w:szCs w:val="20"/>
        </w:rPr>
      </w:pPr>
      <w:r w:rsidRPr="008847D4">
        <w:rPr>
          <w:rStyle w:val="FootnoteReference"/>
        </w:rPr>
        <w:footnoteRef/>
      </w:r>
      <w:r w:rsidRPr="008847D4">
        <w:t xml:space="preserve"> </w:t>
      </w:r>
      <w:r w:rsidRPr="008847D4">
        <w:rPr>
          <w:sz w:val="20"/>
          <w:szCs w:val="20"/>
        </w:rPr>
        <w:t xml:space="preserve">See; </w:t>
      </w:r>
      <w:hyperlink r:id="rId3" w:history="1">
        <w:r w:rsidRPr="008847D4">
          <w:rPr>
            <w:rStyle w:val="Hyperlink"/>
            <w:color w:val="5B2100"/>
            <w:sz w:val="20"/>
            <w:szCs w:val="20"/>
          </w:rPr>
          <w:t>www.</w:t>
        </w:r>
        <w:r w:rsidRPr="008847D4">
          <w:rPr>
            <w:rStyle w:val="Hyperlink"/>
            <w:color w:val="5B2100"/>
            <w:sz w:val="20"/>
            <w:szCs w:val="20"/>
          </w:rPr>
          <w:t>cocoabarometer.org</w:t>
        </w:r>
      </w:hyperlink>
      <w:r w:rsidRPr="008847D4">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08C3"/>
    <w:multiLevelType w:val="hybridMultilevel"/>
    <w:tmpl w:val="E292A110"/>
    <w:lvl w:ilvl="0" w:tplc="3C6A3F54">
      <w:numFmt w:val="bullet"/>
      <w:lvlText w:val="-"/>
      <w:lvlJc w:val="left"/>
      <w:pPr>
        <w:ind w:left="720" w:hanging="360"/>
      </w:pPr>
      <w:rPr>
        <w:rFonts w:ascii="Avenir Next" w:eastAsia="Arial Unicode MS" w:hAnsi="Avenir Nex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822AFA"/>
    <w:multiLevelType w:val="hybridMultilevel"/>
    <w:tmpl w:val="C7549A04"/>
    <w:lvl w:ilvl="0" w:tplc="F586C9C2">
      <w:numFmt w:val="bullet"/>
      <w:lvlText w:val="-"/>
      <w:lvlJc w:val="left"/>
      <w:pPr>
        <w:ind w:left="360" w:hanging="360"/>
      </w:pPr>
      <w:rPr>
        <w:rFonts w:ascii="Avenir Next" w:eastAsia="Arial Unicode MS" w:hAnsi="Avenir Next"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94446464">
    <w:abstractNumId w:val="0"/>
  </w:num>
  <w:num w:numId="2" w16cid:durableId="588777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E9"/>
    <w:rsid w:val="001023F1"/>
    <w:rsid w:val="001072B7"/>
    <w:rsid w:val="00221D1C"/>
    <w:rsid w:val="005351C1"/>
    <w:rsid w:val="0063024C"/>
    <w:rsid w:val="006F49B1"/>
    <w:rsid w:val="00700178"/>
    <w:rsid w:val="00731185"/>
    <w:rsid w:val="00762CFE"/>
    <w:rsid w:val="00812406"/>
    <w:rsid w:val="008847D4"/>
    <w:rsid w:val="00AC00E9"/>
    <w:rsid w:val="00B279F2"/>
    <w:rsid w:val="00BD50BC"/>
    <w:rsid w:val="00D67605"/>
    <w:rsid w:val="00E05A19"/>
    <w:rsid w:val="00EA502F"/>
    <w:rsid w:val="00EE04A8"/>
    <w:rsid w:val="00F7268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0B16"/>
  <w15:chartTrackingRefBased/>
  <w15:docId w15:val="{18940441-8EB4-F345-A2C5-BCBC7530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731185"/>
    <w:pPr>
      <w:outlineLvl w:val="0"/>
    </w:pPr>
    <w:rPr>
      <w:color w:val="E40454"/>
      <w:sz w:val="32"/>
      <w:szCs w:val="32"/>
    </w:rPr>
  </w:style>
  <w:style w:type="paragraph" w:styleId="Heading2">
    <w:name w:val="heading 2"/>
    <w:basedOn w:val="NoSpacing"/>
    <w:next w:val="Normal"/>
    <w:link w:val="Heading2Char"/>
    <w:uiPriority w:val="9"/>
    <w:unhideWhenUsed/>
    <w:qFormat/>
    <w:rsid w:val="005351C1"/>
    <w:pP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351C1"/>
    <w:pPr>
      <w:spacing w:after="160" w:line="259" w:lineRule="auto"/>
      <w:jc w:val="both"/>
    </w:pPr>
    <w:rPr>
      <w:rFonts w:ascii="Avenir Next" w:eastAsia="Arial Unicode MS" w:hAnsi="Avenir Next" w:cs="Times New Roman"/>
      <w:color w:val="5B2100"/>
      <w:sz w:val="22"/>
      <w:szCs w:val="22"/>
      <w:lang w:val="en-GB"/>
    </w:rPr>
  </w:style>
  <w:style w:type="character" w:styleId="Hyperlink">
    <w:name w:val="Hyperlink"/>
    <w:basedOn w:val="DefaultParagraphFont"/>
    <w:uiPriority w:val="99"/>
    <w:unhideWhenUsed/>
    <w:rsid w:val="00E05A19"/>
    <w:rPr>
      <w:color w:val="0563C1" w:themeColor="hyperlink"/>
      <w:u w:val="single"/>
    </w:rPr>
  </w:style>
  <w:style w:type="character" w:styleId="UnresolvedMention">
    <w:name w:val="Unresolved Mention"/>
    <w:basedOn w:val="DefaultParagraphFont"/>
    <w:uiPriority w:val="99"/>
    <w:semiHidden/>
    <w:unhideWhenUsed/>
    <w:rsid w:val="00E05A19"/>
    <w:rPr>
      <w:color w:val="605E5C"/>
      <w:shd w:val="clear" w:color="auto" w:fill="E1DFDD"/>
    </w:rPr>
  </w:style>
  <w:style w:type="paragraph" w:styleId="FootnoteText">
    <w:name w:val="footnote text"/>
    <w:basedOn w:val="Normal"/>
    <w:link w:val="FootnoteTextChar"/>
    <w:uiPriority w:val="99"/>
    <w:semiHidden/>
    <w:unhideWhenUsed/>
    <w:rsid w:val="005351C1"/>
    <w:rPr>
      <w:sz w:val="20"/>
      <w:szCs w:val="20"/>
    </w:rPr>
  </w:style>
  <w:style w:type="character" w:customStyle="1" w:styleId="FootnoteTextChar">
    <w:name w:val="Footnote Text Char"/>
    <w:basedOn w:val="DefaultParagraphFont"/>
    <w:link w:val="FootnoteText"/>
    <w:uiPriority w:val="99"/>
    <w:semiHidden/>
    <w:rsid w:val="005351C1"/>
    <w:rPr>
      <w:sz w:val="20"/>
      <w:szCs w:val="20"/>
    </w:rPr>
  </w:style>
  <w:style w:type="character" w:styleId="FootnoteReference">
    <w:name w:val="footnote reference"/>
    <w:basedOn w:val="DefaultParagraphFont"/>
    <w:uiPriority w:val="99"/>
    <w:semiHidden/>
    <w:unhideWhenUsed/>
    <w:rsid w:val="005351C1"/>
    <w:rPr>
      <w:vertAlign w:val="superscript"/>
    </w:rPr>
  </w:style>
  <w:style w:type="character" w:customStyle="1" w:styleId="Heading2Char">
    <w:name w:val="Heading 2 Char"/>
    <w:basedOn w:val="DefaultParagraphFont"/>
    <w:link w:val="Heading2"/>
    <w:uiPriority w:val="9"/>
    <w:rsid w:val="005351C1"/>
    <w:rPr>
      <w:rFonts w:ascii="Avenir Next" w:eastAsia="Arial Unicode MS" w:hAnsi="Avenir Next" w:cs="Times New Roman"/>
      <w:b/>
      <w:bCs/>
      <w:color w:val="5B2100"/>
      <w:sz w:val="22"/>
      <w:szCs w:val="22"/>
      <w:lang w:val="en-GB"/>
    </w:rPr>
  </w:style>
  <w:style w:type="character" w:customStyle="1" w:styleId="Heading1Char">
    <w:name w:val="Heading 1 Char"/>
    <w:basedOn w:val="DefaultParagraphFont"/>
    <w:link w:val="Heading1"/>
    <w:uiPriority w:val="9"/>
    <w:rsid w:val="00731185"/>
    <w:rPr>
      <w:rFonts w:ascii="Avenir Next" w:eastAsia="Arial Unicode MS" w:hAnsi="Avenir Next" w:cs="Times New Roman"/>
      <w:b/>
      <w:bCs/>
      <w:color w:val="E40454"/>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281127">
      <w:bodyDiv w:val="1"/>
      <w:marLeft w:val="0"/>
      <w:marRight w:val="0"/>
      <w:marTop w:val="0"/>
      <w:marBottom w:val="0"/>
      <w:divBdr>
        <w:top w:val="none" w:sz="0" w:space="0" w:color="auto"/>
        <w:left w:val="none" w:sz="0" w:space="0" w:color="auto"/>
        <w:bottom w:val="none" w:sz="0" w:space="0" w:color="auto"/>
        <w:right w:val="none" w:sz="0" w:space="0" w:color="auto"/>
      </w:divBdr>
      <w:divsChild>
        <w:div w:id="646786062">
          <w:marLeft w:val="0"/>
          <w:marRight w:val="0"/>
          <w:marTop w:val="0"/>
          <w:marBottom w:val="0"/>
          <w:divBdr>
            <w:top w:val="none" w:sz="0" w:space="0" w:color="auto"/>
            <w:left w:val="none" w:sz="0" w:space="0" w:color="auto"/>
            <w:bottom w:val="none" w:sz="0" w:space="0" w:color="auto"/>
            <w:right w:val="none" w:sz="0" w:space="0" w:color="auto"/>
          </w:divBdr>
        </w:div>
        <w:div w:id="843513909">
          <w:marLeft w:val="0"/>
          <w:marRight w:val="0"/>
          <w:marTop w:val="0"/>
          <w:marBottom w:val="0"/>
          <w:divBdr>
            <w:top w:val="none" w:sz="0" w:space="0" w:color="auto"/>
            <w:left w:val="none" w:sz="0" w:space="0" w:color="auto"/>
            <w:bottom w:val="none" w:sz="0" w:space="0" w:color="auto"/>
            <w:right w:val="none" w:sz="0" w:space="0" w:color="auto"/>
          </w:divBdr>
        </w:div>
        <w:div w:id="104278992">
          <w:marLeft w:val="0"/>
          <w:marRight w:val="0"/>
          <w:marTop w:val="0"/>
          <w:marBottom w:val="0"/>
          <w:divBdr>
            <w:top w:val="none" w:sz="0" w:space="0" w:color="auto"/>
            <w:left w:val="none" w:sz="0" w:space="0" w:color="auto"/>
            <w:bottom w:val="none" w:sz="0" w:space="0" w:color="auto"/>
            <w:right w:val="none" w:sz="0" w:space="0" w:color="auto"/>
          </w:divBdr>
        </w:div>
        <w:div w:id="1485779525">
          <w:marLeft w:val="0"/>
          <w:marRight w:val="0"/>
          <w:marTop w:val="0"/>
          <w:marBottom w:val="0"/>
          <w:divBdr>
            <w:top w:val="none" w:sz="0" w:space="0" w:color="auto"/>
            <w:left w:val="none" w:sz="0" w:space="0" w:color="auto"/>
            <w:bottom w:val="none" w:sz="0" w:space="0" w:color="auto"/>
            <w:right w:val="none" w:sz="0" w:space="0" w:color="auto"/>
          </w:divBdr>
        </w:div>
        <w:div w:id="316302072">
          <w:marLeft w:val="0"/>
          <w:marRight w:val="0"/>
          <w:marTop w:val="0"/>
          <w:marBottom w:val="0"/>
          <w:divBdr>
            <w:top w:val="none" w:sz="0" w:space="0" w:color="auto"/>
            <w:left w:val="none" w:sz="0" w:space="0" w:color="auto"/>
            <w:bottom w:val="none" w:sz="0" w:space="0" w:color="auto"/>
            <w:right w:val="none" w:sz="0" w:space="0" w:color="auto"/>
          </w:divBdr>
        </w:div>
        <w:div w:id="2050763776">
          <w:marLeft w:val="0"/>
          <w:marRight w:val="0"/>
          <w:marTop w:val="0"/>
          <w:marBottom w:val="0"/>
          <w:divBdr>
            <w:top w:val="none" w:sz="0" w:space="0" w:color="auto"/>
            <w:left w:val="none" w:sz="0" w:space="0" w:color="auto"/>
            <w:bottom w:val="none" w:sz="0" w:space="0" w:color="auto"/>
            <w:right w:val="none" w:sz="0" w:space="0" w:color="auto"/>
          </w:divBdr>
        </w:div>
        <w:div w:id="83690616">
          <w:marLeft w:val="0"/>
          <w:marRight w:val="0"/>
          <w:marTop w:val="0"/>
          <w:marBottom w:val="0"/>
          <w:divBdr>
            <w:top w:val="none" w:sz="0" w:space="0" w:color="auto"/>
            <w:left w:val="none" w:sz="0" w:space="0" w:color="auto"/>
            <w:bottom w:val="none" w:sz="0" w:space="0" w:color="auto"/>
            <w:right w:val="none" w:sz="0" w:space="0" w:color="auto"/>
          </w:divBdr>
        </w:div>
        <w:div w:id="1906069246">
          <w:marLeft w:val="0"/>
          <w:marRight w:val="0"/>
          <w:marTop w:val="0"/>
          <w:marBottom w:val="0"/>
          <w:divBdr>
            <w:top w:val="none" w:sz="0" w:space="0" w:color="auto"/>
            <w:left w:val="none" w:sz="0" w:space="0" w:color="auto"/>
            <w:bottom w:val="none" w:sz="0" w:space="0" w:color="auto"/>
            <w:right w:val="none" w:sz="0" w:space="0" w:color="auto"/>
          </w:divBdr>
        </w:div>
        <w:div w:id="250895455">
          <w:marLeft w:val="0"/>
          <w:marRight w:val="0"/>
          <w:marTop w:val="0"/>
          <w:marBottom w:val="0"/>
          <w:divBdr>
            <w:top w:val="none" w:sz="0" w:space="0" w:color="auto"/>
            <w:left w:val="none" w:sz="0" w:space="0" w:color="auto"/>
            <w:bottom w:val="none" w:sz="0" w:space="0" w:color="auto"/>
            <w:right w:val="none" w:sz="0" w:space="0" w:color="auto"/>
          </w:divBdr>
        </w:div>
        <w:div w:id="1078676372">
          <w:marLeft w:val="0"/>
          <w:marRight w:val="0"/>
          <w:marTop w:val="0"/>
          <w:marBottom w:val="0"/>
          <w:divBdr>
            <w:top w:val="none" w:sz="0" w:space="0" w:color="auto"/>
            <w:left w:val="none" w:sz="0" w:space="0" w:color="auto"/>
            <w:bottom w:val="none" w:sz="0" w:space="0" w:color="auto"/>
            <w:right w:val="none" w:sz="0" w:space="0" w:color="auto"/>
          </w:divBdr>
        </w:div>
        <w:div w:id="268701233">
          <w:marLeft w:val="0"/>
          <w:marRight w:val="0"/>
          <w:marTop w:val="0"/>
          <w:marBottom w:val="0"/>
          <w:divBdr>
            <w:top w:val="none" w:sz="0" w:space="0" w:color="auto"/>
            <w:left w:val="none" w:sz="0" w:space="0" w:color="auto"/>
            <w:bottom w:val="none" w:sz="0" w:space="0" w:color="auto"/>
            <w:right w:val="none" w:sz="0" w:space="0" w:color="auto"/>
          </w:divBdr>
        </w:div>
        <w:div w:id="1853757305">
          <w:marLeft w:val="0"/>
          <w:marRight w:val="0"/>
          <w:marTop w:val="0"/>
          <w:marBottom w:val="0"/>
          <w:divBdr>
            <w:top w:val="none" w:sz="0" w:space="0" w:color="auto"/>
            <w:left w:val="none" w:sz="0" w:space="0" w:color="auto"/>
            <w:bottom w:val="none" w:sz="0" w:space="0" w:color="auto"/>
            <w:right w:val="none" w:sz="0" w:space="0" w:color="auto"/>
          </w:divBdr>
        </w:div>
        <w:div w:id="229341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image" Target="media/image2.png" Id="rId9" /></Relationships>
</file>

<file path=word/_rels/footnotes.xml.rels><?xml version="1.0" encoding="UTF-8" standalone="yes"?>
<Relationships xmlns="http://schemas.openxmlformats.org/package/2006/relationships"><Relationship Id="rId3" Type="http://schemas.openxmlformats.org/officeDocument/2006/relationships/hyperlink" Target="http://www.cocoabarometer.org" TargetMode="External"/><Relationship Id="rId2" Type="http://schemas.openxmlformats.org/officeDocument/2006/relationships/hyperlink" Target="https://voicenetwork.cc/wp-content/uploads/2022/09/Cocoa-Coalition-CSDD-response.pdf" TargetMode="External"/><Relationship Id="rId1" Type="http://schemas.openxmlformats.org/officeDocument/2006/relationships/hyperlink" Target="http://www.voicenetwork.cc/due-diligence"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764</ap:Words>
  <ap:Characters>4360</ap:Characters>
  <ap:DocSecurity>0</ap:DocSecurity>
  <ap:Lines>36</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2023-01-09T09:59:00.0000000Z</dcterms:created>
  <dcterms:modified xsi:type="dcterms:W3CDTF">2023-01-11T18:16:00.0000000Z</dcterms:modified>
  <version/>
  <category/>
</coreProperties>
</file>