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195BBD" w:rsidP="00195BBD" w:rsidRDefault="00195BBD">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195BBD" w:rsidP="00195BBD" w:rsidRDefault="00195BBD">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195BBD" w:rsidP="00195BBD" w:rsidRDefault="00195BBD">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195BBD" w:rsidP="00195BBD" w:rsidRDefault="00195BBD">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tabs>
                <w:tab w:val="left" w:pos="-1440"/>
                <w:tab w:val="left" w:pos="-720"/>
              </w:tabs>
              <w:suppressAutoHyphens/>
              <w:rPr>
                <w:rFonts w:ascii="Times New Roman" w:hAnsi="Times New Roman"/>
              </w:rPr>
            </w:pPr>
          </w:p>
          <w:p w:rsidRPr="008A73B7" w:rsidR="00195BBD" w:rsidP="00195BBD" w:rsidRDefault="00195BBD">
            <w:pPr>
              <w:rPr>
                <w:rFonts w:ascii="Times New Roman" w:hAnsi="Times New Roman"/>
              </w:rPr>
            </w:pPr>
          </w:p>
          <w:p w:rsidRPr="00195BBD" w:rsidR="00CB3578" w:rsidP="00195BBD" w:rsidRDefault="00195BBD">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E5EE0" w:rsidTr="00953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657E" w:rsidR="007E5EE0" w:rsidP="00BC5675" w:rsidRDefault="007E5EE0">
            <w:pPr>
              <w:rPr>
                <w:rFonts w:ascii="Times New Roman" w:hAnsi="Times New Roman"/>
                <w:b/>
                <w:sz w:val="24"/>
              </w:rPr>
            </w:pPr>
            <w:r w:rsidRPr="0073657E">
              <w:rPr>
                <w:rFonts w:ascii="Times New Roman" w:hAnsi="Times New Roman"/>
                <w:b/>
                <w:sz w:val="24"/>
              </w:rPr>
              <w:t>Wijziging van de begrotingsstaat van het Ministerie van Algemene Zaken (IIIA), de begrotingsstaat van het Kabinet van de Koning (IIIB) en de begrotingsstaat van de Commissie van Toezicht op de Inlichtingen- en Veiligheidsdiensten (IIIC)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E5EE0" w:rsidTr="004C5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E5EE0" w:rsidRDefault="007E5EE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BC5675" w:rsidP="00BC5675" w:rsidRDefault="000A6F79">
      <w:pPr>
        <w:rPr>
          <w:rFonts w:ascii="Times New Roman" w:hAnsi="Times New Roman"/>
          <w:sz w:val="24"/>
          <w:szCs w:val="20"/>
        </w:rPr>
      </w:pPr>
      <w:r>
        <w:rPr>
          <w:rFonts w:ascii="Times New Roman" w:hAnsi="Times New Roman"/>
          <w:sz w:val="24"/>
          <w:szCs w:val="20"/>
        </w:rPr>
        <w:tab/>
      </w: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Wij Willem-Alexander, bij de gratie Gods, Koning der Nederlanden, Prins van Oranje-Nassau, enz. enz. enz.</w:t>
      </w:r>
    </w:p>
    <w:p w:rsidR="001836F1" w:rsidP="001836F1" w:rsidRDefault="001836F1">
      <w:pPr>
        <w:ind w:firstLine="284"/>
        <w:rPr>
          <w:rFonts w:ascii="Times New Roman" w:hAnsi="Times New Roman"/>
          <w:sz w:val="24"/>
          <w:szCs w:val="20"/>
        </w:rPr>
      </w:pPr>
    </w:p>
    <w:p w:rsidR="001836F1" w:rsidP="001836F1" w:rsidRDefault="001836F1">
      <w:pPr>
        <w:ind w:firstLine="284"/>
        <w:rPr>
          <w:rFonts w:ascii="Times New Roman" w:hAnsi="Times New Roman"/>
          <w:sz w:val="24"/>
          <w:szCs w:val="20"/>
        </w:rPr>
      </w:pPr>
      <w:r w:rsidRPr="001836F1">
        <w:rPr>
          <w:rFonts w:ascii="Times New Roman" w:hAnsi="Times New Roman"/>
          <w:sz w:val="24"/>
          <w:szCs w:val="20"/>
        </w:rPr>
        <w:t xml:space="preserve">Allen, die deze zullen zien of horen lezen, saluut! doen te weten: </w:t>
      </w:r>
    </w:p>
    <w:p w:rsidR="001836F1" w:rsidP="001836F1" w:rsidRDefault="001836F1">
      <w:pPr>
        <w:ind w:firstLine="284"/>
        <w:rPr>
          <w:rFonts w:ascii="Times New Roman" w:hAnsi="Times New Roman"/>
          <w:sz w:val="24"/>
          <w:szCs w:val="20"/>
        </w:rPr>
      </w:pPr>
      <w:r w:rsidRPr="001836F1">
        <w:rPr>
          <w:rFonts w:ascii="Times New Roman" w:hAnsi="Times New Roman"/>
          <w:sz w:val="24"/>
          <w:szCs w:val="20"/>
        </w:rPr>
        <w:t xml:space="preserve">Alzo Wij in overweging genomen hebben, dat de noodzaak is gebleken van een wijziging van de departementale begrotingsstaat van het Ministerie van Algemene Zaken (IIIA) en de begrotingsstaat van de Commissie van Toezicht op de Inlichtingen en Veiligheidsdiensten (IIIC) voor het jaar 2022; </w:t>
      </w: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Zo is het, dat Wij, met gemeen overleg der Staten-Generaal, hebben goedgevonden en verstaan, gelijk Wij goedvinden en verstaan bij deze:</w:t>
      </w:r>
    </w:p>
    <w:p w:rsidR="001836F1" w:rsidP="001836F1" w:rsidRDefault="001836F1">
      <w:pPr>
        <w:rPr>
          <w:rFonts w:ascii="Times New Roman" w:hAnsi="Times New Roman"/>
          <w:sz w:val="24"/>
          <w:szCs w:val="20"/>
        </w:rPr>
      </w:pPr>
    </w:p>
    <w:p w:rsidRPr="0073657E" w:rsidR="001836F1" w:rsidP="001836F1" w:rsidRDefault="001836F1">
      <w:pPr>
        <w:rPr>
          <w:rFonts w:ascii="Times New Roman" w:hAnsi="Times New Roman"/>
          <w:b/>
          <w:sz w:val="24"/>
          <w:szCs w:val="20"/>
        </w:rPr>
      </w:pPr>
      <w:r w:rsidRPr="0073657E">
        <w:rPr>
          <w:rFonts w:ascii="Times New Roman" w:hAnsi="Times New Roman"/>
          <w:b/>
          <w:sz w:val="24"/>
          <w:szCs w:val="20"/>
        </w:rPr>
        <w:t>Artikel 1</w:t>
      </w:r>
    </w:p>
    <w:p w:rsidR="001836F1" w:rsidP="001836F1" w:rsidRDefault="001836F1">
      <w:pPr>
        <w:ind w:firstLine="284"/>
        <w:rPr>
          <w:rFonts w:ascii="Times New Roman" w:hAnsi="Times New Roman"/>
          <w:sz w:val="24"/>
          <w:szCs w:val="20"/>
        </w:rPr>
      </w:pP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De departementale begrotingsstaat van het Ministerie van Algemene Zaken (IIIA) voor het jaar 2022 wordt gewijzigd, zoals blijkt uit de desbetreffende bij deze wet behorende staat.</w:t>
      </w:r>
    </w:p>
    <w:p w:rsidR="001836F1" w:rsidP="001836F1" w:rsidRDefault="001836F1">
      <w:pPr>
        <w:rPr>
          <w:rFonts w:ascii="Times New Roman" w:hAnsi="Times New Roman"/>
          <w:sz w:val="24"/>
          <w:szCs w:val="20"/>
        </w:rPr>
      </w:pPr>
    </w:p>
    <w:p w:rsidRPr="0073657E" w:rsidR="001836F1" w:rsidP="001836F1" w:rsidRDefault="001836F1">
      <w:pPr>
        <w:rPr>
          <w:rFonts w:ascii="Times New Roman" w:hAnsi="Times New Roman"/>
          <w:b/>
          <w:sz w:val="24"/>
          <w:szCs w:val="20"/>
        </w:rPr>
      </w:pPr>
      <w:r w:rsidRPr="0073657E">
        <w:rPr>
          <w:rFonts w:ascii="Times New Roman" w:hAnsi="Times New Roman"/>
          <w:b/>
          <w:sz w:val="24"/>
          <w:szCs w:val="20"/>
        </w:rPr>
        <w:t>Artikel 2</w:t>
      </w:r>
    </w:p>
    <w:p w:rsidR="001836F1" w:rsidP="001836F1" w:rsidRDefault="001836F1">
      <w:pPr>
        <w:ind w:firstLine="284"/>
        <w:rPr>
          <w:rFonts w:ascii="Times New Roman" w:hAnsi="Times New Roman"/>
          <w:sz w:val="24"/>
          <w:szCs w:val="20"/>
        </w:rPr>
      </w:pP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De begrotingsstaat van de Commissie van Toezicht op de Inlichtingen- en Veiligheidsdiensten (IIIC) voor het jaar 2022 wordt gewijzigd, zoals blijkt uit de desbetreffende bij deze wet behorende staat.</w:t>
      </w:r>
    </w:p>
    <w:p w:rsidR="001836F1" w:rsidP="001836F1" w:rsidRDefault="001836F1">
      <w:pPr>
        <w:rPr>
          <w:rFonts w:ascii="Times New Roman" w:hAnsi="Times New Roman"/>
          <w:sz w:val="24"/>
          <w:szCs w:val="20"/>
        </w:rPr>
      </w:pPr>
    </w:p>
    <w:p w:rsidRPr="0073657E" w:rsidR="001836F1" w:rsidP="001836F1" w:rsidRDefault="001836F1">
      <w:pPr>
        <w:rPr>
          <w:rFonts w:ascii="Times New Roman" w:hAnsi="Times New Roman"/>
          <w:b/>
          <w:sz w:val="24"/>
          <w:szCs w:val="20"/>
        </w:rPr>
      </w:pPr>
      <w:r w:rsidRPr="0073657E">
        <w:rPr>
          <w:rFonts w:ascii="Times New Roman" w:hAnsi="Times New Roman"/>
          <w:b/>
          <w:sz w:val="24"/>
          <w:szCs w:val="20"/>
        </w:rPr>
        <w:t>Artikel 3</w:t>
      </w:r>
    </w:p>
    <w:p w:rsidR="001836F1" w:rsidP="001836F1" w:rsidRDefault="001836F1">
      <w:pPr>
        <w:ind w:firstLine="284"/>
        <w:rPr>
          <w:rFonts w:ascii="Times New Roman" w:hAnsi="Times New Roman"/>
          <w:sz w:val="24"/>
          <w:szCs w:val="20"/>
        </w:rPr>
      </w:pP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De vaststelling van de begrotingsstaten geschiedt in duizenden euro’s.</w:t>
      </w:r>
    </w:p>
    <w:p w:rsidR="001836F1" w:rsidP="001836F1" w:rsidRDefault="001836F1">
      <w:pPr>
        <w:rPr>
          <w:rFonts w:ascii="Times New Roman" w:hAnsi="Times New Roman"/>
          <w:sz w:val="24"/>
          <w:szCs w:val="20"/>
        </w:rPr>
      </w:pPr>
    </w:p>
    <w:p w:rsidRPr="0073657E" w:rsidR="001836F1" w:rsidP="001836F1" w:rsidRDefault="001836F1">
      <w:pPr>
        <w:rPr>
          <w:rFonts w:ascii="Times New Roman" w:hAnsi="Times New Roman"/>
          <w:b/>
          <w:sz w:val="24"/>
          <w:szCs w:val="20"/>
        </w:rPr>
      </w:pPr>
      <w:r w:rsidRPr="0073657E">
        <w:rPr>
          <w:rFonts w:ascii="Times New Roman" w:hAnsi="Times New Roman"/>
          <w:b/>
          <w:sz w:val="24"/>
          <w:szCs w:val="20"/>
        </w:rPr>
        <w:lastRenderedPageBreak/>
        <w:t>Artikel 4</w:t>
      </w:r>
    </w:p>
    <w:p w:rsidR="001836F1" w:rsidP="001836F1" w:rsidRDefault="001836F1">
      <w:pPr>
        <w:ind w:firstLine="284"/>
        <w:rPr>
          <w:rFonts w:ascii="Times New Roman" w:hAnsi="Times New Roman"/>
          <w:sz w:val="24"/>
          <w:szCs w:val="20"/>
        </w:rPr>
      </w:pP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Deze wet treedt in werking met ingang van de dag na de datum van uitgifte van het Staatsblad waarin zij wordt geplaatst en werkt terug tot en met 1 december 2022.</w:t>
      </w:r>
    </w:p>
    <w:p w:rsidR="001836F1" w:rsidP="001836F1" w:rsidRDefault="001836F1">
      <w:pPr>
        <w:ind w:firstLine="284"/>
        <w:rPr>
          <w:rFonts w:ascii="Times New Roman" w:hAnsi="Times New Roman"/>
          <w:sz w:val="24"/>
          <w:szCs w:val="20"/>
        </w:rPr>
      </w:pPr>
    </w:p>
    <w:p w:rsidR="001836F1" w:rsidP="001836F1" w:rsidRDefault="001836F1">
      <w:pPr>
        <w:ind w:firstLine="284"/>
        <w:rPr>
          <w:rFonts w:ascii="Times New Roman" w:hAnsi="Times New Roman"/>
          <w:sz w:val="24"/>
          <w:szCs w:val="20"/>
        </w:rPr>
      </w:pPr>
    </w:p>
    <w:p w:rsidRPr="001836F1" w:rsidR="001836F1" w:rsidP="001836F1" w:rsidRDefault="001836F1">
      <w:pPr>
        <w:ind w:firstLine="284"/>
        <w:rPr>
          <w:rFonts w:ascii="Times New Roman" w:hAnsi="Times New Roman"/>
          <w:sz w:val="24"/>
          <w:szCs w:val="20"/>
        </w:rPr>
      </w:pPr>
      <w:r w:rsidRPr="001836F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836F1" w:rsidR="001836F1" w:rsidP="001836F1" w:rsidRDefault="001836F1">
      <w:pPr>
        <w:rPr>
          <w:rFonts w:ascii="Times New Roman" w:hAnsi="Times New Roman"/>
          <w:sz w:val="24"/>
          <w:szCs w:val="20"/>
        </w:rPr>
      </w:pPr>
    </w:p>
    <w:p w:rsidRPr="001836F1" w:rsidR="001836F1" w:rsidP="001836F1" w:rsidRDefault="001836F1">
      <w:pPr>
        <w:rPr>
          <w:rFonts w:ascii="Times New Roman" w:hAnsi="Times New Roman"/>
          <w:sz w:val="24"/>
          <w:szCs w:val="20"/>
        </w:rPr>
      </w:pPr>
      <w:r w:rsidRPr="001836F1">
        <w:rPr>
          <w:rFonts w:ascii="Times New Roman" w:hAnsi="Times New Roman"/>
          <w:sz w:val="24"/>
          <w:szCs w:val="20"/>
        </w:rPr>
        <w:t>Gegeven</w:t>
      </w:r>
    </w:p>
    <w:p w:rsidRPr="001836F1"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1836F1" w:rsidP="001836F1" w:rsidRDefault="001836F1">
      <w:pPr>
        <w:rPr>
          <w:rFonts w:ascii="Times New Roman" w:hAnsi="Times New Roman"/>
          <w:sz w:val="24"/>
          <w:szCs w:val="20"/>
        </w:rPr>
      </w:pPr>
    </w:p>
    <w:p w:rsidR="0073657E" w:rsidP="001836F1" w:rsidRDefault="001836F1">
      <w:pPr>
        <w:rPr>
          <w:rFonts w:ascii="Times New Roman" w:hAnsi="Times New Roman"/>
          <w:sz w:val="24"/>
          <w:szCs w:val="20"/>
        </w:rPr>
      </w:pPr>
      <w:r w:rsidRPr="001836F1">
        <w:rPr>
          <w:rFonts w:ascii="Times New Roman" w:hAnsi="Times New Roman"/>
          <w:sz w:val="24"/>
          <w:szCs w:val="20"/>
        </w:rPr>
        <w:t>De Minister-President, Minister van Algemene Zaken,</w:t>
      </w:r>
    </w:p>
    <w:p w:rsidRPr="001836F1"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p>
    <w:p w:rsidR="007E5EE0" w:rsidP="007E5EE0" w:rsidRDefault="007E5EE0">
      <w:pPr>
        <w:rPr>
          <w:rFonts w:ascii="Times New Roman" w:hAnsi="Times New Roman"/>
          <w:sz w:val="24"/>
          <w:szCs w:val="20"/>
        </w:rPr>
      </w:pPr>
      <w:r w:rsidRPr="001836F1">
        <w:rPr>
          <w:rFonts w:ascii="Times New Roman" w:hAnsi="Times New Roman"/>
          <w:sz w:val="24"/>
          <w:szCs w:val="20"/>
        </w:rPr>
        <w:t>De Minister-President, Minister van Algemene Zaken,</w:t>
      </w:r>
      <w:bookmarkStart w:name="_GoBack" w:id="0"/>
      <w:bookmarkEnd w:id="0"/>
    </w:p>
    <w:p w:rsidR="0073657E" w:rsidRDefault="0073657E">
      <w:pPr>
        <w:rPr>
          <w:rFonts w:ascii="Times New Roman" w:hAnsi="Times New Roman"/>
          <w:sz w:val="24"/>
          <w:szCs w:val="20"/>
        </w:rPr>
      </w:pPr>
      <w:r>
        <w:rPr>
          <w:rFonts w:ascii="Times New Roman" w:hAnsi="Times New Roman"/>
          <w:sz w:val="24"/>
          <w:szCs w:val="20"/>
        </w:rPr>
        <w:br w:type="page"/>
      </w:r>
    </w:p>
    <w:tbl>
      <w:tblPr>
        <w:tblW w:w="10276" w:type="dxa"/>
        <w:tblInd w:w="-709" w:type="dxa"/>
        <w:tblCellMar>
          <w:left w:w="10" w:type="dxa"/>
          <w:right w:w="10" w:type="dxa"/>
        </w:tblCellMar>
        <w:tblLook w:val="04A0" w:firstRow="1" w:lastRow="0" w:firstColumn="1" w:lastColumn="0" w:noHBand="0" w:noVBand="1"/>
      </w:tblPr>
      <w:tblGrid>
        <w:gridCol w:w="303"/>
        <w:gridCol w:w="1360"/>
        <w:gridCol w:w="1124"/>
        <w:gridCol w:w="727"/>
        <w:gridCol w:w="1020"/>
        <w:gridCol w:w="1124"/>
        <w:gridCol w:w="727"/>
        <w:gridCol w:w="1020"/>
        <w:gridCol w:w="1124"/>
        <w:gridCol w:w="727"/>
        <w:gridCol w:w="1020"/>
      </w:tblGrid>
      <w:tr w:rsidRPr="0073657E" w:rsidR="0073657E" w:rsidTr="0073657E">
        <w:trPr>
          <w:tblHeader/>
        </w:trPr>
        <w:tc>
          <w:tcPr>
            <w:tcW w:w="0" w:type="auto"/>
            <w:gridSpan w:val="11"/>
            <w:shd w:val="clear" w:color="auto" w:fill="009EE0"/>
            <w:tcMar>
              <w:top w:w="22" w:type="dxa"/>
              <w:left w:w="113" w:type="dxa"/>
              <w:bottom w:w="22" w:type="dxa"/>
            </w:tcMar>
          </w:tcPr>
          <w:p w:rsidRPr="0073657E" w:rsidR="0073657E" w:rsidP="0073657E" w:rsidRDefault="0073657E">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73657E">
              <w:rPr>
                <w:rFonts w:ascii="DejaVu Sans" w:hAnsi="DejaVu Sans" w:eastAsia="Arial Unicode MS" w:cs="Tahoma"/>
                <w:color w:val="FFFFFF"/>
                <w:kern w:val="3"/>
                <w:sz w:val="18"/>
                <w:szCs w:val="20"/>
              </w:rPr>
              <w:lastRenderedPageBreak/>
              <w:t>Wijziging begrotingsstaat van het Ministerie van Algemene Zaken (IIIA) voor het jaar 2022 (Tweede suppletoire begroting) (Bedragen x € 1.000)</w:t>
            </w:r>
          </w:p>
        </w:tc>
      </w:tr>
      <w:tr w:rsidRPr="0073657E" w:rsidR="0073657E" w:rsidTr="0073657E">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 xml:space="preserve">Vastgestelde begroting (incl. ISB, </w:t>
            </w:r>
            <w:proofErr w:type="spellStart"/>
            <w:r w:rsidRPr="0073657E">
              <w:rPr>
                <w:rFonts w:ascii="DejaVu Sans" w:hAnsi="DejaVu Sans" w:eastAsia="Arial Unicode MS" w:cs="Tahoma"/>
                <w:color w:val="000000"/>
                <w:kern w:val="3"/>
                <w:sz w:val="17"/>
                <w:szCs w:val="20"/>
              </w:rPr>
              <w:t>NvW</w:t>
            </w:r>
            <w:proofErr w:type="spellEnd"/>
            <w:r w:rsidRPr="0073657E">
              <w:rPr>
                <w:rFonts w:ascii="DejaVu Sans" w:hAnsi="DejaVu Sans" w:eastAsia="Arial Unicode MS" w:cs="Tahoma"/>
                <w:color w:val="000000"/>
                <w:kern w:val="3"/>
                <w:sz w:val="17"/>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 xml:space="preserve">Mutaties 1e suppletoire begroting (incl. ISB, </w:t>
            </w:r>
            <w:proofErr w:type="spellStart"/>
            <w:r w:rsidRPr="0073657E">
              <w:rPr>
                <w:rFonts w:ascii="DejaVu Sans" w:hAnsi="DejaVu Sans" w:eastAsia="Arial Unicode MS" w:cs="Tahoma"/>
                <w:color w:val="000000"/>
                <w:kern w:val="3"/>
                <w:sz w:val="17"/>
                <w:szCs w:val="20"/>
              </w:rPr>
              <w:t>NvW</w:t>
            </w:r>
            <w:proofErr w:type="spellEnd"/>
            <w:r w:rsidRPr="0073657E">
              <w:rPr>
                <w:rFonts w:ascii="DejaVu Sans" w:hAnsi="DejaVu Sans" w:eastAsia="Arial Unicode MS" w:cs="Tahoma"/>
                <w:color w:val="000000"/>
                <w:kern w:val="3"/>
                <w:sz w:val="17"/>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Mutaties 2e suppletoire begroting</w:t>
            </w: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79.243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79.243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4.535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3.258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3.258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1.302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500</w:t>
            </w: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79.243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79.243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4.535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3.258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3.258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1.302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500</w:t>
            </w:r>
          </w:p>
        </w:tc>
      </w:tr>
    </w:tbl>
    <w:p w:rsidRPr="0073657E" w:rsidR="0073657E" w:rsidP="0073657E" w:rsidRDefault="0073657E">
      <w:pPr>
        <w:widowControl w:val="0"/>
        <w:autoSpaceDN w:val="0"/>
        <w:spacing w:after="20" w:line="220" w:lineRule="exact"/>
        <w:textAlignment w:val="baseline"/>
        <w:rPr>
          <w:rFonts w:ascii="DejaVu Sans" w:hAnsi="DejaVu Sans" w:eastAsia="Arial Unicode MS" w:cs="Tahoma"/>
          <w:kern w:val="3"/>
          <w:sz w:val="18"/>
          <w:szCs w:val="20"/>
        </w:rPr>
      </w:pPr>
    </w:p>
    <w:tbl>
      <w:tblPr>
        <w:tblW w:w="10428" w:type="dxa"/>
        <w:tblInd w:w="-709" w:type="dxa"/>
        <w:tblCellMar>
          <w:left w:w="10" w:type="dxa"/>
          <w:right w:w="10" w:type="dxa"/>
        </w:tblCellMar>
        <w:tblLook w:val="04A0" w:firstRow="1" w:lastRow="0" w:firstColumn="1" w:lastColumn="0" w:noHBand="0" w:noVBand="1"/>
      </w:tblPr>
      <w:tblGrid>
        <w:gridCol w:w="303"/>
        <w:gridCol w:w="1512"/>
        <w:gridCol w:w="1124"/>
        <w:gridCol w:w="727"/>
        <w:gridCol w:w="1020"/>
        <w:gridCol w:w="1124"/>
        <w:gridCol w:w="727"/>
        <w:gridCol w:w="1020"/>
        <w:gridCol w:w="1124"/>
        <w:gridCol w:w="727"/>
        <w:gridCol w:w="1020"/>
      </w:tblGrid>
      <w:tr w:rsidRPr="0073657E" w:rsidR="0073657E" w:rsidTr="0073657E">
        <w:trPr>
          <w:tblHeader/>
        </w:trPr>
        <w:tc>
          <w:tcPr>
            <w:tcW w:w="0" w:type="auto"/>
            <w:gridSpan w:val="11"/>
            <w:shd w:val="clear" w:color="auto" w:fill="009EE0"/>
            <w:tcMar>
              <w:top w:w="22" w:type="dxa"/>
              <w:left w:w="113" w:type="dxa"/>
              <w:bottom w:w="22" w:type="dxa"/>
            </w:tcMar>
          </w:tcPr>
          <w:p w:rsidRPr="0073657E" w:rsidR="0073657E" w:rsidP="0073657E" w:rsidRDefault="0073657E">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73657E">
              <w:rPr>
                <w:rFonts w:ascii="DejaVu Sans" w:hAnsi="DejaVu Sans" w:eastAsia="Arial Unicode MS" w:cs="Tahoma"/>
                <w:color w:val="FFFFFF"/>
                <w:kern w:val="3"/>
                <w:sz w:val="18"/>
                <w:szCs w:val="20"/>
              </w:rPr>
              <w:t>Wijziging begrotingsstaat van de Commissie van Toezicht op de Inlichtingen- en Veiligheidsdiensten (IIIC) voor het jaar 2022 (Tweede suppletoire begroting) (Bedragen x € 1.000)</w:t>
            </w:r>
          </w:p>
        </w:tc>
      </w:tr>
      <w:tr w:rsidRPr="0073657E" w:rsidR="0073657E" w:rsidTr="0073657E">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 xml:space="preserve">Vastgestelde begroting (incl. ISB, </w:t>
            </w:r>
            <w:proofErr w:type="spellStart"/>
            <w:r w:rsidRPr="0073657E">
              <w:rPr>
                <w:rFonts w:ascii="DejaVu Sans" w:hAnsi="DejaVu Sans" w:eastAsia="Arial Unicode MS" w:cs="Tahoma"/>
                <w:color w:val="000000"/>
                <w:kern w:val="3"/>
                <w:sz w:val="17"/>
                <w:szCs w:val="20"/>
              </w:rPr>
              <w:t>NvW</w:t>
            </w:r>
            <w:proofErr w:type="spellEnd"/>
            <w:r w:rsidRPr="0073657E">
              <w:rPr>
                <w:rFonts w:ascii="DejaVu Sans" w:hAnsi="DejaVu Sans" w:eastAsia="Arial Unicode MS" w:cs="Tahoma"/>
                <w:color w:val="000000"/>
                <w:kern w:val="3"/>
                <w:sz w:val="17"/>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 xml:space="preserve">Mutaties 1e suppletoire begroting (incl. ISB, </w:t>
            </w:r>
            <w:proofErr w:type="spellStart"/>
            <w:r w:rsidRPr="0073657E">
              <w:rPr>
                <w:rFonts w:ascii="DejaVu Sans" w:hAnsi="DejaVu Sans" w:eastAsia="Arial Unicode MS" w:cs="Tahoma"/>
                <w:color w:val="000000"/>
                <w:kern w:val="3"/>
                <w:sz w:val="17"/>
                <w:szCs w:val="20"/>
              </w:rPr>
              <w:t>NvW</w:t>
            </w:r>
            <w:proofErr w:type="spellEnd"/>
            <w:r w:rsidRPr="0073657E">
              <w:rPr>
                <w:rFonts w:ascii="DejaVu Sans" w:hAnsi="DejaVu Sans" w:eastAsia="Arial Unicode MS" w:cs="Tahoma"/>
                <w:color w:val="000000"/>
                <w:kern w:val="3"/>
                <w:sz w:val="17"/>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color w:val="000000"/>
                <w:kern w:val="3"/>
                <w:sz w:val="17"/>
                <w:szCs w:val="20"/>
              </w:rPr>
            </w:pPr>
            <w:r w:rsidRPr="0073657E">
              <w:rPr>
                <w:rFonts w:ascii="DejaVu Sans" w:hAnsi="DejaVu Sans" w:eastAsia="Arial Unicode MS" w:cs="Tahoma"/>
                <w:color w:val="000000"/>
                <w:kern w:val="3"/>
                <w:sz w:val="17"/>
                <w:szCs w:val="20"/>
              </w:rPr>
              <w:t>Mutaties 2e suppletoire begroting</w:t>
            </w: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Ontvangsten</w:t>
            </w:r>
          </w:p>
        </w:tc>
      </w:tr>
      <w:tr w:rsidRPr="0073657E" w:rsidR="0073657E" w:rsidTr="0073657E">
        <w:tc>
          <w:tcPr>
            <w:tcW w:w="0" w:type="auto"/>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Totaal</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2.502</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2.502</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0</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1.003</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1.003</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0</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 500</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 500</w:t>
            </w:r>
          </w:p>
        </w:tc>
        <w:tc>
          <w:tcPr>
            <w:tcW w:w="0" w:type="auto"/>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0</w:t>
            </w: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p>
        </w:tc>
      </w:tr>
      <w:tr w:rsidRPr="0073657E" w:rsidR="0073657E" w:rsidTr="0073657E">
        <w:tc>
          <w:tcPr>
            <w:tcW w:w="0" w:type="auto"/>
            <w:tcBorders>
              <w:bottom w:val="single" w:color="009EE0" w:sz="2" w:space="0"/>
            </w:tcBorders>
            <w:shd w:val="clear" w:color="auto" w:fill="auto"/>
            <w:tcMar>
              <w:top w:w="22" w:type="dxa"/>
              <w:bottom w:w="22" w:type="dxa"/>
              <w:right w:w="28" w:type="dxa"/>
            </w:tcMar>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73657E" w:rsidR="0073657E" w:rsidP="0073657E" w:rsidRDefault="0073657E">
            <w:pPr>
              <w:keepNext/>
              <w:keepLines/>
              <w:widowControl w:val="0"/>
              <w:autoSpaceDN w:val="0"/>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2.502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2.502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1.003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1.003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 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3657E" w:rsidR="0073657E" w:rsidP="0073657E" w:rsidRDefault="0073657E">
            <w:pPr>
              <w:keepNext/>
              <w:keepLines/>
              <w:widowControl w:val="0"/>
              <w:autoSpaceDN w:val="0"/>
              <w:jc w:val="right"/>
              <w:textAlignment w:val="baseline"/>
              <w:rPr>
                <w:rFonts w:ascii="DejaVu Sans" w:hAnsi="DejaVu Sans" w:eastAsia="Arial Unicode MS" w:cs="Tahoma"/>
                <w:kern w:val="3"/>
                <w:sz w:val="17"/>
                <w:szCs w:val="20"/>
              </w:rPr>
            </w:pPr>
            <w:r w:rsidRPr="0073657E">
              <w:rPr>
                <w:rFonts w:ascii="DejaVu Sans" w:hAnsi="DejaVu Sans" w:eastAsia="Arial Unicode MS" w:cs="Tahoma"/>
                <w:kern w:val="3"/>
                <w:sz w:val="17"/>
                <w:szCs w:val="20"/>
              </w:rPr>
              <w:t>0</w:t>
            </w:r>
          </w:p>
        </w:tc>
      </w:tr>
    </w:tbl>
    <w:p w:rsidR="00BC5675" w:rsidP="001836F1" w:rsidRDefault="00BC5675">
      <w:pPr>
        <w:rPr>
          <w:rFonts w:ascii="Times New Roman" w:hAnsi="Times New Roman"/>
          <w:sz w:val="24"/>
          <w:szCs w:val="20"/>
        </w:rPr>
      </w:pPr>
    </w:p>
    <w:sectPr w:rsidR="00BC567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E5EE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111ED3"/>
    <w:rsid w:val="001836F1"/>
    <w:rsid w:val="00195BBD"/>
    <w:rsid w:val="001C190E"/>
    <w:rsid w:val="002168F4"/>
    <w:rsid w:val="002A727C"/>
    <w:rsid w:val="0035751E"/>
    <w:rsid w:val="003E4E92"/>
    <w:rsid w:val="003F3143"/>
    <w:rsid w:val="005D2707"/>
    <w:rsid w:val="00606255"/>
    <w:rsid w:val="0061723B"/>
    <w:rsid w:val="006B607A"/>
    <w:rsid w:val="0073657E"/>
    <w:rsid w:val="007D451C"/>
    <w:rsid w:val="007E5EE0"/>
    <w:rsid w:val="00826224"/>
    <w:rsid w:val="008F5B9F"/>
    <w:rsid w:val="00930A23"/>
    <w:rsid w:val="00950A2C"/>
    <w:rsid w:val="0096120F"/>
    <w:rsid w:val="009C7354"/>
    <w:rsid w:val="009E6D7F"/>
    <w:rsid w:val="00A11E73"/>
    <w:rsid w:val="00A2521E"/>
    <w:rsid w:val="00AE436A"/>
    <w:rsid w:val="00B34534"/>
    <w:rsid w:val="00BC5675"/>
    <w:rsid w:val="00C135B1"/>
    <w:rsid w:val="00C45241"/>
    <w:rsid w:val="00C92DF8"/>
    <w:rsid w:val="00CB3578"/>
    <w:rsid w:val="00D20AFA"/>
    <w:rsid w:val="00D55648"/>
    <w:rsid w:val="00DB55B2"/>
    <w:rsid w:val="00DF3923"/>
    <w:rsid w:val="00E16443"/>
    <w:rsid w:val="00E36EE9"/>
    <w:rsid w:val="00F1344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B1EDB"/>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473</ap:Words>
  <ap:Characters>2920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2022-12-16T10:25:00.0000000Z</dcterms:created>
  <dcterms:modified xsi:type="dcterms:W3CDTF">2022-12-16T10:25:00.0000000Z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