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E9D" w:rsidR="00544E9D" w:rsidP="00544E9D" w:rsidRDefault="00544E9D">
            <w:pPr>
              <w:tabs>
                <w:tab w:val="left" w:pos="-1440"/>
                <w:tab w:val="left" w:pos="-720"/>
              </w:tabs>
              <w:suppressAutoHyphens/>
              <w:rPr>
                <w:rFonts w:ascii="Times New Roman" w:hAnsi="Times New Roman"/>
              </w:rPr>
            </w:pPr>
            <w:r w:rsidRPr="00544E9D">
              <w:rPr>
                <w:rFonts w:ascii="Times New Roman" w:hAnsi="Times New Roman"/>
              </w:rPr>
              <w:t>De Tweede Kamer der Staten-</w:t>
            </w:r>
            <w:r w:rsidRPr="00544E9D">
              <w:rPr>
                <w:rFonts w:ascii="Times New Roman" w:hAnsi="Times New Roman"/>
              </w:rPr>
              <w:fldChar w:fldCharType="begin"/>
            </w:r>
            <w:r w:rsidRPr="00544E9D">
              <w:rPr>
                <w:rFonts w:ascii="Times New Roman" w:hAnsi="Times New Roman"/>
              </w:rPr>
              <w:instrText xml:space="preserve">PRIVATE </w:instrText>
            </w:r>
            <w:r w:rsidRPr="00544E9D">
              <w:rPr>
                <w:rFonts w:ascii="Times New Roman" w:hAnsi="Times New Roman"/>
              </w:rPr>
              <w:fldChar w:fldCharType="end"/>
            </w:r>
          </w:p>
          <w:p w:rsidRPr="00544E9D" w:rsidR="00544E9D" w:rsidP="00544E9D" w:rsidRDefault="00544E9D">
            <w:pPr>
              <w:tabs>
                <w:tab w:val="left" w:pos="-1440"/>
                <w:tab w:val="left" w:pos="-720"/>
              </w:tabs>
              <w:suppressAutoHyphens/>
              <w:rPr>
                <w:rFonts w:ascii="Times New Roman" w:hAnsi="Times New Roman"/>
              </w:rPr>
            </w:pPr>
            <w:r w:rsidRPr="00544E9D">
              <w:rPr>
                <w:rFonts w:ascii="Times New Roman" w:hAnsi="Times New Roman"/>
              </w:rPr>
              <w:t>Generaal zendt bijgaand door</w:t>
            </w:r>
          </w:p>
          <w:p w:rsidRPr="00544E9D" w:rsidR="00544E9D" w:rsidP="00544E9D" w:rsidRDefault="00544E9D">
            <w:pPr>
              <w:tabs>
                <w:tab w:val="left" w:pos="-1440"/>
                <w:tab w:val="left" w:pos="-720"/>
              </w:tabs>
              <w:suppressAutoHyphens/>
              <w:rPr>
                <w:rFonts w:ascii="Times New Roman" w:hAnsi="Times New Roman"/>
              </w:rPr>
            </w:pPr>
            <w:r w:rsidRPr="00544E9D">
              <w:rPr>
                <w:rFonts w:ascii="Times New Roman" w:hAnsi="Times New Roman"/>
              </w:rPr>
              <w:t>haar aangenomen wetsvoorstel</w:t>
            </w:r>
          </w:p>
          <w:p w:rsidRPr="00544E9D" w:rsidR="00544E9D" w:rsidP="00544E9D" w:rsidRDefault="00544E9D">
            <w:pPr>
              <w:tabs>
                <w:tab w:val="left" w:pos="-1440"/>
                <w:tab w:val="left" w:pos="-720"/>
              </w:tabs>
              <w:suppressAutoHyphens/>
              <w:rPr>
                <w:rFonts w:ascii="Times New Roman" w:hAnsi="Times New Roman"/>
              </w:rPr>
            </w:pPr>
            <w:r w:rsidRPr="00544E9D">
              <w:rPr>
                <w:rFonts w:ascii="Times New Roman" w:hAnsi="Times New Roman"/>
              </w:rPr>
              <w:t>aan de Eerste Kamer.</w:t>
            </w: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r w:rsidRPr="00544E9D">
              <w:rPr>
                <w:rFonts w:ascii="Times New Roman" w:hAnsi="Times New Roman"/>
              </w:rPr>
              <w:t>De Voorzitter,</w:t>
            </w: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p>
          <w:p w:rsidRPr="00544E9D" w:rsidR="00544E9D" w:rsidP="00544E9D" w:rsidRDefault="00544E9D">
            <w:pPr>
              <w:tabs>
                <w:tab w:val="left" w:pos="-1440"/>
                <w:tab w:val="left" w:pos="-720"/>
              </w:tabs>
              <w:suppressAutoHyphens/>
              <w:rPr>
                <w:rFonts w:ascii="Times New Roman" w:hAnsi="Times New Roman"/>
              </w:rPr>
            </w:pPr>
            <w:bookmarkStart w:name="_GoBack" w:id="0"/>
            <w:bookmarkEnd w:id="0"/>
          </w:p>
          <w:p w:rsidRPr="00544E9D" w:rsidR="00544E9D" w:rsidP="00544E9D" w:rsidRDefault="00544E9D">
            <w:pPr>
              <w:rPr>
                <w:rFonts w:ascii="Times New Roman" w:hAnsi="Times New Roman"/>
              </w:rPr>
            </w:pPr>
          </w:p>
          <w:p w:rsidRPr="00544E9D" w:rsidR="00CB3578" w:rsidP="00544E9D" w:rsidRDefault="00544E9D">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E9D" w:rsidR="00CB3578" w:rsidP="00544E9D"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5554A" w:rsidTr="0052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35554A" w:rsidP="00DD56D5" w:rsidRDefault="0035554A">
            <w:pPr>
              <w:rPr>
                <w:rFonts w:ascii="Times New Roman" w:hAnsi="Times New Roman"/>
                <w:b/>
                <w:sz w:val="24"/>
              </w:rPr>
            </w:pPr>
            <w:r w:rsidRPr="00B433E4">
              <w:rPr>
                <w:rFonts w:ascii="Times New Roman" w:hAnsi="Times New Roman"/>
                <w:b/>
                <w:sz w:val="24"/>
              </w:rPr>
              <w:t>Wijziging van de begrotingsstaat van het Mobiliteitsfonds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5554A" w:rsidTr="00D60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5554A" w:rsidRDefault="0035554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Wij Willem-Alexander, bij de gratie Gods, Koning der Nederlanden, Prins van Oranje-Nassau, enz. enz. enz.</w:t>
      </w:r>
    </w:p>
    <w:p w:rsidR="00B433E4" w:rsidP="00B433E4" w:rsidRDefault="00B433E4">
      <w:pPr>
        <w:rPr>
          <w:rFonts w:ascii="Times New Roman" w:hAnsi="Times New Roman"/>
          <w:sz w:val="24"/>
          <w:szCs w:val="20"/>
        </w:rPr>
      </w:pP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Allen, die deze zullen zien of horen lezen, saluut! doen te weten:</w:t>
      </w: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Alzo Wij in overweging genomen hebben, dat de noodzaak is gebleken van een wijziging van de departementale begrotingsstaat van het Ministerie van Infrastructuur en Waterstaat, van de begrotingsstaat inzake het Mobiliteits-fonds, alle voor het jaar 2022;</w:t>
      </w: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Zo is het, dat Wij, met gemeen overleg d</w:t>
      </w:r>
      <w:r>
        <w:rPr>
          <w:rFonts w:ascii="Times New Roman" w:hAnsi="Times New Roman"/>
          <w:sz w:val="24"/>
          <w:szCs w:val="20"/>
        </w:rPr>
        <w:t>er Staten-Generaal, hebben goed</w:t>
      </w:r>
      <w:r w:rsidRPr="00B433E4">
        <w:rPr>
          <w:rFonts w:ascii="Times New Roman" w:hAnsi="Times New Roman"/>
          <w:sz w:val="24"/>
          <w:szCs w:val="20"/>
        </w:rPr>
        <w:t>gevonden en verstaan, gelijk Wij goedvinden en verstaan bij deze:</w:t>
      </w:r>
    </w:p>
    <w:p w:rsidR="00B433E4" w:rsidP="00B433E4" w:rsidRDefault="00B433E4">
      <w:pPr>
        <w:rPr>
          <w:rFonts w:ascii="Times New Roman" w:hAnsi="Times New Roman"/>
          <w:sz w:val="24"/>
          <w:szCs w:val="20"/>
        </w:rPr>
      </w:pPr>
    </w:p>
    <w:p w:rsidRPr="00B433E4" w:rsidR="00B433E4" w:rsidP="00B433E4" w:rsidRDefault="00B433E4">
      <w:pPr>
        <w:rPr>
          <w:rFonts w:ascii="Times New Roman" w:hAnsi="Times New Roman"/>
          <w:b/>
          <w:sz w:val="24"/>
          <w:szCs w:val="20"/>
        </w:rPr>
      </w:pPr>
      <w:r w:rsidRPr="00B433E4">
        <w:rPr>
          <w:rFonts w:ascii="Times New Roman" w:hAnsi="Times New Roman"/>
          <w:b/>
          <w:sz w:val="24"/>
          <w:szCs w:val="20"/>
        </w:rPr>
        <w:t>Artikel 1</w:t>
      </w:r>
    </w:p>
    <w:p w:rsidR="00B433E4" w:rsidP="00B433E4" w:rsidRDefault="00B433E4">
      <w:pPr>
        <w:rPr>
          <w:rFonts w:ascii="Times New Roman" w:hAnsi="Times New Roman"/>
          <w:sz w:val="24"/>
          <w:szCs w:val="20"/>
        </w:rPr>
      </w:pP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 xml:space="preserve">De begrotingsstaat van het Mobiliteitsfonds </w:t>
      </w:r>
      <w:r>
        <w:rPr>
          <w:rFonts w:ascii="Times New Roman" w:hAnsi="Times New Roman"/>
          <w:sz w:val="24"/>
          <w:szCs w:val="20"/>
        </w:rPr>
        <w:t>(A) voor het jaar 2022 wordt ge</w:t>
      </w:r>
      <w:r w:rsidRPr="00B433E4">
        <w:rPr>
          <w:rFonts w:ascii="Times New Roman" w:hAnsi="Times New Roman"/>
          <w:sz w:val="24"/>
          <w:szCs w:val="20"/>
        </w:rPr>
        <w:t>wijzigd, zoals blijkt uit de desbetreffende bij deze wet behorende staat.</w:t>
      </w:r>
    </w:p>
    <w:p w:rsidR="00B433E4" w:rsidP="00B433E4" w:rsidRDefault="00B433E4">
      <w:pPr>
        <w:rPr>
          <w:rFonts w:ascii="Times New Roman" w:hAnsi="Times New Roman"/>
          <w:sz w:val="24"/>
          <w:szCs w:val="20"/>
        </w:rPr>
      </w:pPr>
    </w:p>
    <w:p w:rsidRPr="00B433E4" w:rsidR="00B433E4" w:rsidP="00B433E4" w:rsidRDefault="00B433E4">
      <w:pPr>
        <w:rPr>
          <w:rFonts w:ascii="Times New Roman" w:hAnsi="Times New Roman"/>
          <w:b/>
          <w:sz w:val="24"/>
          <w:szCs w:val="20"/>
        </w:rPr>
      </w:pPr>
      <w:r w:rsidRPr="00B433E4">
        <w:rPr>
          <w:rFonts w:ascii="Times New Roman" w:hAnsi="Times New Roman"/>
          <w:b/>
          <w:sz w:val="24"/>
          <w:szCs w:val="20"/>
        </w:rPr>
        <w:t>Artikel 2</w:t>
      </w:r>
    </w:p>
    <w:p w:rsidR="00B433E4" w:rsidP="00B433E4" w:rsidRDefault="00B433E4">
      <w:pPr>
        <w:rPr>
          <w:rFonts w:ascii="Times New Roman" w:hAnsi="Times New Roman"/>
          <w:sz w:val="24"/>
          <w:szCs w:val="20"/>
        </w:rPr>
      </w:pP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De vaststelling van de begrotingsstaten geschiedt in duizenden euro’s.</w:t>
      </w:r>
    </w:p>
    <w:p w:rsidR="00B433E4" w:rsidP="00B433E4" w:rsidRDefault="00B433E4">
      <w:pPr>
        <w:rPr>
          <w:rFonts w:ascii="Times New Roman" w:hAnsi="Times New Roman"/>
          <w:sz w:val="24"/>
          <w:szCs w:val="20"/>
        </w:rPr>
      </w:pPr>
    </w:p>
    <w:p w:rsidRPr="00B433E4" w:rsidR="00B433E4" w:rsidP="00B433E4" w:rsidRDefault="00B433E4">
      <w:pPr>
        <w:rPr>
          <w:rFonts w:ascii="Times New Roman" w:hAnsi="Times New Roman"/>
          <w:b/>
          <w:sz w:val="24"/>
          <w:szCs w:val="20"/>
        </w:rPr>
      </w:pPr>
      <w:r w:rsidRPr="00B433E4">
        <w:rPr>
          <w:rFonts w:ascii="Times New Roman" w:hAnsi="Times New Roman"/>
          <w:b/>
          <w:sz w:val="24"/>
          <w:szCs w:val="20"/>
        </w:rPr>
        <w:t>Artikel 3</w:t>
      </w:r>
    </w:p>
    <w:p w:rsidR="00B433E4" w:rsidP="00B433E4" w:rsidRDefault="00B433E4">
      <w:pPr>
        <w:rPr>
          <w:rFonts w:ascii="Times New Roman" w:hAnsi="Times New Roman"/>
          <w:sz w:val="24"/>
          <w:szCs w:val="20"/>
        </w:rPr>
      </w:pP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t>Deze wet treedt in werking met ingang van de dag na de datum van uitgifte van het Staatsblad waarin zij wordt geplaatst en werkt terug tot en met 1 juni 2022.</w:t>
      </w:r>
    </w:p>
    <w:p w:rsidR="00B433E4" w:rsidP="00B433E4" w:rsidRDefault="00B433E4">
      <w:pPr>
        <w:rPr>
          <w:rFonts w:ascii="Times New Roman" w:hAnsi="Times New Roman"/>
          <w:sz w:val="24"/>
          <w:szCs w:val="20"/>
        </w:rPr>
      </w:pPr>
    </w:p>
    <w:p w:rsidR="0035554A" w:rsidP="00B433E4" w:rsidRDefault="0035554A">
      <w:pPr>
        <w:ind w:firstLine="284"/>
        <w:rPr>
          <w:rFonts w:ascii="Times New Roman" w:hAnsi="Times New Roman"/>
          <w:sz w:val="24"/>
          <w:szCs w:val="20"/>
        </w:rPr>
      </w:pPr>
    </w:p>
    <w:p w:rsidRPr="00B433E4" w:rsidR="00B433E4" w:rsidP="00B433E4" w:rsidRDefault="00B433E4">
      <w:pPr>
        <w:ind w:firstLine="284"/>
        <w:rPr>
          <w:rFonts w:ascii="Times New Roman" w:hAnsi="Times New Roman"/>
          <w:sz w:val="24"/>
          <w:szCs w:val="20"/>
        </w:rPr>
      </w:pPr>
      <w:r w:rsidRPr="00B433E4">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B433E4" w:rsidR="00B433E4" w:rsidP="00B433E4" w:rsidRDefault="00B433E4">
      <w:pPr>
        <w:rPr>
          <w:rFonts w:ascii="Times New Roman" w:hAnsi="Times New Roman"/>
          <w:sz w:val="24"/>
          <w:szCs w:val="20"/>
        </w:rPr>
      </w:pPr>
    </w:p>
    <w:p w:rsidRPr="00B433E4" w:rsidR="00B433E4" w:rsidP="00B433E4" w:rsidRDefault="00B433E4">
      <w:pPr>
        <w:rPr>
          <w:rFonts w:ascii="Times New Roman" w:hAnsi="Times New Roman"/>
          <w:sz w:val="24"/>
          <w:szCs w:val="20"/>
        </w:rPr>
      </w:pPr>
      <w:r w:rsidRPr="00B433E4">
        <w:rPr>
          <w:rFonts w:ascii="Times New Roman" w:hAnsi="Times New Roman"/>
          <w:sz w:val="24"/>
          <w:szCs w:val="20"/>
        </w:rPr>
        <w:t>Gegeven</w:t>
      </w:r>
    </w:p>
    <w:p w:rsidRPr="00B433E4"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00B433E4" w:rsidP="00B433E4" w:rsidRDefault="00B433E4">
      <w:pPr>
        <w:rPr>
          <w:rFonts w:ascii="Times New Roman" w:hAnsi="Times New Roman"/>
          <w:sz w:val="24"/>
          <w:szCs w:val="20"/>
        </w:rPr>
      </w:pPr>
    </w:p>
    <w:p w:rsidRPr="00B433E4" w:rsidR="00B433E4" w:rsidP="00B433E4" w:rsidRDefault="00B433E4">
      <w:pPr>
        <w:rPr>
          <w:rFonts w:ascii="Times New Roman" w:hAnsi="Times New Roman"/>
          <w:sz w:val="24"/>
          <w:szCs w:val="20"/>
        </w:rPr>
      </w:pPr>
    </w:p>
    <w:p w:rsidRPr="00B433E4" w:rsidR="00B433E4" w:rsidP="00B433E4" w:rsidRDefault="00B433E4">
      <w:pPr>
        <w:rPr>
          <w:rFonts w:ascii="Times New Roman" w:hAnsi="Times New Roman"/>
          <w:sz w:val="24"/>
          <w:szCs w:val="20"/>
        </w:rPr>
      </w:pPr>
      <w:r w:rsidRPr="00B433E4">
        <w:rPr>
          <w:rFonts w:ascii="Times New Roman" w:hAnsi="Times New Roman"/>
          <w:sz w:val="24"/>
          <w:szCs w:val="20"/>
        </w:rPr>
        <w:t>De Minister van Infrastructuur en Waterstaat</w:t>
      </w:r>
      <w:r w:rsidR="0035554A">
        <w:rPr>
          <w:rFonts w:ascii="Times New Roman" w:hAnsi="Times New Roman"/>
          <w:sz w:val="24"/>
          <w:szCs w:val="20"/>
        </w:rPr>
        <w:t>,</w:t>
      </w:r>
    </w:p>
    <w:p w:rsidRPr="00B433E4"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0035554A" w:rsidP="0035554A" w:rsidRDefault="0035554A">
      <w:pPr>
        <w:rPr>
          <w:rFonts w:ascii="Times New Roman" w:hAnsi="Times New Roman"/>
          <w:sz w:val="24"/>
          <w:szCs w:val="20"/>
        </w:rPr>
      </w:pPr>
    </w:p>
    <w:p w:rsidRPr="00B433E4" w:rsidR="0035554A" w:rsidP="0035554A" w:rsidRDefault="0035554A">
      <w:pPr>
        <w:rPr>
          <w:rFonts w:ascii="Times New Roman" w:hAnsi="Times New Roman"/>
          <w:sz w:val="24"/>
          <w:szCs w:val="20"/>
        </w:rPr>
      </w:pPr>
    </w:p>
    <w:p w:rsidRPr="00B433E4" w:rsidR="0035554A" w:rsidP="0035554A" w:rsidRDefault="0035554A">
      <w:pPr>
        <w:rPr>
          <w:rFonts w:ascii="Times New Roman" w:hAnsi="Times New Roman"/>
          <w:sz w:val="24"/>
          <w:szCs w:val="20"/>
        </w:rPr>
      </w:pPr>
      <w:r w:rsidRPr="00B433E4">
        <w:rPr>
          <w:rFonts w:ascii="Times New Roman" w:hAnsi="Times New Roman"/>
          <w:sz w:val="24"/>
          <w:szCs w:val="20"/>
        </w:rPr>
        <w:t>De Minister van Infrastructuur en Waterstaat</w:t>
      </w:r>
      <w:r>
        <w:rPr>
          <w:rFonts w:ascii="Times New Roman" w:hAnsi="Times New Roman"/>
          <w:sz w:val="24"/>
          <w:szCs w:val="20"/>
        </w:rPr>
        <w:t>,</w:t>
      </w:r>
    </w:p>
    <w:p w:rsidR="00B433E4" w:rsidRDefault="00B433E4">
      <w:pPr>
        <w:rPr>
          <w:rFonts w:ascii="Times New Roman" w:hAnsi="Times New Roman"/>
          <w:sz w:val="24"/>
          <w:szCs w:val="20"/>
        </w:rPr>
      </w:pPr>
      <w:r>
        <w:rPr>
          <w:rFonts w:ascii="Times New Roman" w:hAnsi="Times New Roman"/>
          <w:sz w:val="24"/>
          <w:szCs w:val="20"/>
        </w:rPr>
        <w:br w:type="page"/>
      </w:r>
    </w:p>
    <w:p w:rsidR="00B433E4" w:rsidP="00B433E4" w:rsidRDefault="00B433E4">
      <w:pPr>
        <w:pStyle w:val="page-break"/>
      </w:pPr>
    </w:p>
    <w:tbl>
      <w:tblPr>
        <w:tblW w:w="9694" w:type="dxa"/>
        <w:tblInd w:w="-171" w:type="dxa"/>
        <w:tblCellMar>
          <w:left w:w="10" w:type="dxa"/>
          <w:right w:w="10" w:type="dxa"/>
        </w:tblCellMar>
        <w:tblLook w:val="04A0" w:firstRow="1" w:lastRow="0" w:firstColumn="1" w:lastColumn="0" w:noHBand="0" w:noVBand="1"/>
      </w:tblPr>
      <w:tblGrid>
        <w:gridCol w:w="464"/>
        <w:gridCol w:w="2995"/>
        <w:gridCol w:w="1228"/>
        <w:gridCol w:w="813"/>
        <w:gridCol w:w="1096"/>
        <w:gridCol w:w="1228"/>
        <w:gridCol w:w="774"/>
        <w:gridCol w:w="1096"/>
      </w:tblGrid>
      <w:tr w:rsidR="00B433E4" w:rsidTr="00B433E4">
        <w:trPr>
          <w:tblHeader/>
        </w:trPr>
        <w:tc>
          <w:tcPr>
            <w:tcW w:w="9694" w:type="dxa"/>
            <w:gridSpan w:val="8"/>
            <w:shd w:val="clear" w:color="auto" w:fill="009EE0"/>
            <w:tcMar>
              <w:top w:w="22" w:type="dxa"/>
              <w:left w:w="113" w:type="dxa"/>
              <w:bottom w:w="22" w:type="dxa"/>
              <w:right w:w="10" w:type="dxa"/>
            </w:tcMar>
          </w:tcPr>
          <w:p w:rsidR="00B433E4" w:rsidP="000360AF" w:rsidRDefault="00B433E4">
            <w:pPr>
              <w:pStyle w:val="kio2-table-title"/>
            </w:pPr>
            <w:r>
              <w:t>Wijziging begrotingsstaat van Mobiliteitsfonds (A) voor het jaar 2022 (Eerste suppletoire begroting) (bedragen x € 1.000)</w:t>
            </w:r>
          </w:p>
        </w:tc>
      </w:tr>
      <w:tr w:rsidR="00B433E4" w:rsidTr="00B433E4">
        <w:trPr>
          <w:tblHeader/>
        </w:trPr>
        <w:tc>
          <w:tcPr>
            <w:tcW w:w="464" w:type="dxa"/>
            <w:tcBorders>
              <w:top w:val="single" w:color="000000" w:sz="2" w:space="0"/>
              <w:bottom w:val="single" w:color="009EE0" w:sz="2" w:space="0"/>
            </w:tcBorders>
            <w:shd w:val="clear" w:color="auto" w:fill="auto"/>
            <w:tcMar>
              <w:top w:w="28" w:type="dxa"/>
              <w:left w:w="10" w:type="dxa"/>
              <w:bottom w:w="28" w:type="dxa"/>
              <w:right w:w="28" w:type="dxa"/>
            </w:tcMar>
          </w:tcPr>
          <w:p w:rsidR="00B433E4" w:rsidP="000360AF" w:rsidRDefault="00B433E4">
            <w:pPr>
              <w:pStyle w:val="p-table"/>
              <w:rPr>
                <w:color w:val="000000"/>
                <w:sz w:val="17"/>
              </w:rPr>
            </w:pPr>
            <w:r>
              <w:rPr>
                <w:color w:val="000000"/>
                <w:sz w:val="17"/>
              </w:rPr>
              <w:t>Art.</w:t>
            </w:r>
          </w:p>
        </w:tc>
        <w:tc>
          <w:tcPr>
            <w:tcW w:w="2995" w:type="dxa"/>
            <w:tcBorders>
              <w:top w:val="single" w:color="000000" w:sz="2" w:space="0"/>
              <w:bottom w:val="single" w:color="009EE0" w:sz="2" w:space="0"/>
            </w:tcBorders>
            <w:shd w:val="clear" w:color="auto" w:fill="auto"/>
            <w:tcMar>
              <w:top w:w="28" w:type="dxa"/>
              <w:left w:w="28" w:type="dxa"/>
              <w:bottom w:w="28" w:type="dxa"/>
              <w:right w:w="28" w:type="dxa"/>
            </w:tcMar>
          </w:tcPr>
          <w:p w:rsidR="00B433E4" w:rsidP="000360AF" w:rsidRDefault="00B433E4">
            <w:pPr>
              <w:pStyle w:val="p-table"/>
              <w:rPr>
                <w:color w:val="000000"/>
                <w:sz w:val="17"/>
              </w:rPr>
            </w:pPr>
            <w:r>
              <w:rPr>
                <w:color w:val="000000"/>
                <w:sz w:val="17"/>
              </w:rPr>
              <w:t>Omschrijving</w:t>
            </w:r>
          </w:p>
        </w:tc>
        <w:tc>
          <w:tcPr>
            <w:tcW w:w="313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B433E4" w:rsidP="000360AF" w:rsidRDefault="00B433E4">
            <w:pPr>
              <w:pStyle w:val="p-table"/>
              <w:jc w:val="center"/>
              <w:rPr>
                <w:color w:val="000000"/>
                <w:sz w:val="17"/>
              </w:rPr>
            </w:pPr>
            <w:r>
              <w:rPr>
                <w:color w:val="000000"/>
                <w:sz w:val="17"/>
              </w:rPr>
              <w:t>Vastgestelde begroting</w:t>
            </w:r>
          </w:p>
        </w:tc>
        <w:tc>
          <w:tcPr>
            <w:tcW w:w="3098"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B433E4" w:rsidP="000360AF" w:rsidRDefault="00B433E4">
            <w:pPr>
              <w:pStyle w:val="p-table"/>
              <w:jc w:val="center"/>
              <w:rPr>
                <w:color w:val="000000"/>
                <w:sz w:val="17"/>
              </w:rPr>
            </w:pPr>
            <w:r>
              <w:rPr>
                <w:color w:val="000000"/>
                <w:sz w:val="17"/>
              </w:rPr>
              <w:t>Mutaties (+ of -) 1e suppletoire begroting</w:t>
            </w:r>
          </w:p>
        </w:tc>
      </w:tr>
      <w:tr w:rsidR="00B433E4" w:rsidTr="00B433E4">
        <w:tc>
          <w:tcPr>
            <w:tcW w:w="464" w:type="dxa"/>
            <w:tcBorders>
              <w:bottom w:val="single" w:color="009EE0" w:sz="2" w:space="0"/>
            </w:tcBorders>
            <w:shd w:val="clear" w:color="auto" w:fill="auto"/>
            <w:tcMar>
              <w:top w:w="22" w:type="dxa"/>
              <w:left w:w="10" w:type="dxa"/>
              <w:bottom w:w="22" w:type="dxa"/>
              <w:right w:w="28" w:type="dxa"/>
            </w:tcMar>
          </w:tcPr>
          <w:p w:rsidR="00B433E4" w:rsidP="000360AF" w:rsidRDefault="00B433E4">
            <w:pPr>
              <w:pStyle w:val="p-table"/>
              <w:rPr>
                <w:sz w:val="17"/>
              </w:rPr>
            </w:pPr>
          </w:p>
        </w:tc>
        <w:tc>
          <w:tcPr>
            <w:tcW w:w="2995"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rPr>
                <w:sz w:val="17"/>
              </w:rPr>
            </w:pPr>
          </w:p>
        </w:tc>
        <w:tc>
          <w:tcPr>
            <w:tcW w:w="1228"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jc w:val="right"/>
            </w:pPr>
            <w:r>
              <w:rPr>
                <w:b/>
                <w:sz w:val="17"/>
              </w:rPr>
              <w:t>Verplichtingen</w:t>
            </w:r>
          </w:p>
        </w:tc>
        <w:tc>
          <w:tcPr>
            <w:tcW w:w="813"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jc w:val="right"/>
            </w:pPr>
            <w:r>
              <w:rPr>
                <w:b/>
                <w:sz w:val="17"/>
              </w:rPr>
              <w:t>Uitgaven</w:t>
            </w:r>
          </w:p>
        </w:tc>
        <w:tc>
          <w:tcPr>
            <w:tcW w:w="1096"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jc w:val="right"/>
            </w:pPr>
            <w:r>
              <w:rPr>
                <w:b/>
                <w:sz w:val="17"/>
              </w:rPr>
              <w:t>Ontvangsten</w:t>
            </w:r>
          </w:p>
        </w:tc>
        <w:tc>
          <w:tcPr>
            <w:tcW w:w="1228"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jc w:val="right"/>
            </w:pPr>
            <w:r>
              <w:rPr>
                <w:b/>
                <w:sz w:val="17"/>
              </w:rPr>
              <w:t>Verplichtingen</w:t>
            </w:r>
          </w:p>
        </w:tc>
        <w:tc>
          <w:tcPr>
            <w:tcW w:w="774"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jc w:val="right"/>
            </w:pPr>
            <w:r>
              <w:rPr>
                <w:b/>
                <w:sz w:val="17"/>
              </w:rPr>
              <w:t>Uitgaven</w:t>
            </w:r>
          </w:p>
        </w:tc>
        <w:tc>
          <w:tcPr>
            <w:tcW w:w="1096"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jc w:val="right"/>
            </w:pPr>
            <w:r>
              <w:rPr>
                <w:b/>
                <w:sz w:val="17"/>
              </w:rPr>
              <w:t>Ontvangsten</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11</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Verkenningen, reserveringen en investeringsruimte</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205.684</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186.895</w:t>
            </w:r>
          </w:p>
        </w:tc>
        <w:tc>
          <w:tcPr>
            <w:tcW w:w="1096" w:type="dxa"/>
            <w:shd w:val="clear" w:color="auto" w:fill="auto"/>
            <w:tcMar>
              <w:top w:w="22" w:type="dxa"/>
              <w:left w:w="28" w:type="dxa"/>
              <w:bottom w:w="22" w:type="dxa"/>
              <w:right w:w="28" w:type="dxa"/>
            </w:tcMar>
          </w:tcPr>
          <w:p w:rsidR="00B433E4" w:rsidP="000360AF" w:rsidRDefault="00B433E4">
            <w:pPr>
              <w:pStyle w:val="p-table"/>
              <w:rPr>
                <w:sz w:val="17"/>
              </w:rPr>
            </w:pP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364.391</w:t>
            </w:r>
          </w:p>
        </w:tc>
        <w:tc>
          <w:tcPr>
            <w:tcW w:w="774"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335.849</w:t>
            </w:r>
          </w:p>
        </w:tc>
        <w:tc>
          <w:tcPr>
            <w:tcW w:w="1096" w:type="dxa"/>
            <w:shd w:val="clear" w:color="auto" w:fill="auto"/>
            <w:tcMar>
              <w:top w:w="22" w:type="dxa"/>
              <w:left w:w="28" w:type="dxa"/>
              <w:bottom w:w="22" w:type="dxa"/>
              <w:right w:w="28" w:type="dxa"/>
            </w:tcMar>
          </w:tcPr>
          <w:p w:rsidR="00B433E4" w:rsidP="000360AF" w:rsidRDefault="00B433E4">
            <w:pPr>
              <w:pStyle w:val="p-table"/>
              <w:rPr>
                <w:sz w:val="17"/>
              </w:rPr>
            </w:pP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12</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Hoofdwegennet</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3.232.984</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2.982.240</w:t>
            </w: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27.724</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1.369.183</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152.899</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127.722</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13</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Spoorwegen</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2.250.544</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2.190.296</w:t>
            </w: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208.458</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185.623</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57.396</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 483</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14</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Regionaal, lokale infrastructuur</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47.909</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90.368</w:t>
            </w: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0</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703</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 7.107</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 958</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15</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Hoofdvaarwegennet</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933.856</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1.295.676</w:t>
            </w: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74.241</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108.407</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115.237</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 6.845</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17</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Megaprojecten Verkeer en Vervoer</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365.977</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455.830</w:t>
            </w: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49.020</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386.876</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41.520</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22.549</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18</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Overige uitgaven en ontvangsten</w:t>
            </w:r>
          </w:p>
        </w:tc>
        <w:tc>
          <w:tcPr>
            <w:tcW w:w="1228"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0</w:t>
            </w:r>
          </w:p>
        </w:tc>
        <w:tc>
          <w:tcPr>
            <w:tcW w:w="813"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0</w:t>
            </w: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0</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3.487</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3.345</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4</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19</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Bijdragen andere begrotingen Rijk</w:t>
            </w:r>
          </w:p>
        </w:tc>
        <w:tc>
          <w:tcPr>
            <w:tcW w:w="1228" w:type="dxa"/>
            <w:shd w:val="clear" w:color="auto" w:fill="auto"/>
            <w:tcMar>
              <w:top w:w="22" w:type="dxa"/>
              <w:left w:w="28" w:type="dxa"/>
              <w:bottom w:w="22" w:type="dxa"/>
              <w:right w:w="28" w:type="dxa"/>
            </w:tcMar>
          </w:tcPr>
          <w:p w:rsidR="00B433E4" w:rsidP="000360AF" w:rsidRDefault="00B433E4">
            <w:pPr>
              <w:pStyle w:val="p-table"/>
              <w:rPr>
                <w:sz w:val="17"/>
              </w:rPr>
            </w:pPr>
          </w:p>
        </w:tc>
        <w:tc>
          <w:tcPr>
            <w:tcW w:w="813" w:type="dxa"/>
            <w:shd w:val="clear" w:color="auto" w:fill="auto"/>
            <w:tcMar>
              <w:top w:w="22" w:type="dxa"/>
              <w:left w:w="28" w:type="dxa"/>
              <w:bottom w:w="22" w:type="dxa"/>
              <w:right w:w="28" w:type="dxa"/>
            </w:tcMar>
          </w:tcPr>
          <w:p w:rsidR="00B433E4" w:rsidP="000360AF" w:rsidRDefault="00B433E4">
            <w:pPr>
              <w:pStyle w:val="p-table"/>
              <w:rPr>
                <w:sz w:val="17"/>
              </w:rPr>
            </w:pPr>
          </w:p>
        </w:tc>
        <w:tc>
          <w:tcPr>
            <w:tcW w:w="1096" w:type="dxa"/>
            <w:shd w:val="clear" w:color="auto" w:fill="auto"/>
            <w:tcMar>
              <w:top w:w="22" w:type="dxa"/>
              <w:left w:w="28" w:type="dxa"/>
              <w:bottom w:w="22" w:type="dxa"/>
              <w:right w:w="28" w:type="dxa"/>
            </w:tcMar>
          </w:tcPr>
          <w:p w:rsidR="00B433E4" w:rsidP="000360AF" w:rsidRDefault="00B433E4">
            <w:pPr>
              <w:pStyle w:val="p-table"/>
              <w:jc w:val="right"/>
              <w:rPr>
                <w:sz w:val="17"/>
              </w:rPr>
            </w:pPr>
            <w:r>
              <w:rPr>
                <w:sz w:val="17"/>
              </w:rPr>
              <w:t>6.841.862</w:t>
            </w:r>
          </w:p>
        </w:tc>
        <w:tc>
          <w:tcPr>
            <w:tcW w:w="1228" w:type="dxa"/>
            <w:shd w:val="clear" w:color="auto" w:fill="auto"/>
            <w:tcMar>
              <w:top w:w="22" w:type="dxa"/>
              <w:left w:w="28" w:type="dxa"/>
              <w:bottom w:w="22" w:type="dxa"/>
              <w:right w:w="28" w:type="dxa"/>
            </w:tcMar>
          </w:tcPr>
          <w:p w:rsidR="00B433E4" w:rsidP="000360AF" w:rsidRDefault="00B433E4">
            <w:pPr>
              <w:pStyle w:val="p-table"/>
              <w:rPr>
                <w:sz w:val="17"/>
              </w:rPr>
            </w:pPr>
          </w:p>
        </w:tc>
        <w:tc>
          <w:tcPr>
            <w:tcW w:w="774" w:type="dxa"/>
            <w:shd w:val="clear" w:color="auto" w:fill="auto"/>
            <w:tcMar>
              <w:top w:w="22" w:type="dxa"/>
              <w:left w:w="28" w:type="dxa"/>
              <w:bottom w:w="22" w:type="dxa"/>
              <w:right w:w="28" w:type="dxa"/>
            </w:tcMar>
          </w:tcPr>
          <w:p w:rsidR="00B433E4" w:rsidP="000360AF" w:rsidRDefault="00B433E4">
            <w:pPr>
              <w:pStyle w:val="p-table"/>
              <w:rPr>
                <w:sz w:val="17"/>
              </w:rPr>
            </w:pP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316.190</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p>
        </w:tc>
        <w:tc>
          <w:tcPr>
            <w:tcW w:w="2995" w:type="dxa"/>
            <w:shd w:val="clear" w:color="auto" w:fill="auto"/>
            <w:tcMar>
              <w:top w:w="22" w:type="dxa"/>
              <w:left w:w="28" w:type="dxa"/>
              <w:bottom w:w="22" w:type="dxa"/>
              <w:right w:w="28" w:type="dxa"/>
            </w:tcMar>
          </w:tcPr>
          <w:p w:rsidR="00B433E4" w:rsidP="000360AF" w:rsidRDefault="00B433E4">
            <w:pPr>
              <w:pStyle w:val="p-table"/>
            </w:pPr>
            <w:r>
              <w:rPr>
                <w:b/>
                <w:sz w:val="17"/>
              </w:rPr>
              <w:t>Subtotaal</w:t>
            </w:r>
          </w:p>
        </w:tc>
        <w:tc>
          <w:tcPr>
            <w:tcW w:w="1228" w:type="dxa"/>
            <w:shd w:val="clear" w:color="auto" w:fill="auto"/>
            <w:tcMar>
              <w:top w:w="22" w:type="dxa"/>
              <w:left w:w="28" w:type="dxa"/>
              <w:bottom w:w="22" w:type="dxa"/>
              <w:right w:w="28" w:type="dxa"/>
            </w:tcMar>
          </w:tcPr>
          <w:p w:rsidR="00B433E4" w:rsidP="000360AF" w:rsidRDefault="00B433E4">
            <w:pPr>
              <w:pStyle w:val="p-table"/>
              <w:jc w:val="right"/>
            </w:pPr>
            <w:r>
              <w:rPr>
                <w:b/>
                <w:sz w:val="17"/>
              </w:rPr>
              <w:t>7.036.954</w:t>
            </w:r>
          </w:p>
        </w:tc>
        <w:tc>
          <w:tcPr>
            <w:tcW w:w="813" w:type="dxa"/>
            <w:shd w:val="clear" w:color="auto" w:fill="auto"/>
            <w:tcMar>
              <w:top w:w="22" w:type="dxa"/>
              <w:left w:w="28" w:type="dxa"/>
              <w:bottom w:w="22" w:type="dxa"/>
              <w:right w:w="28" w:type="dxa"/>
            </w:tcMar>
          </w:tcPr>
          <w:p w:rsidR="00B433E4" w:rsidP="000360AF" w:rsidRDefault="00B433E4">
            <w:pPr>
              <w:pStyle w:val="p-table"/>
              <w:jc w:val="right"/>
            </w:pPr>
            <w:r>
              <w:rPr>
                <w:b/>
                <w:sz w:val="17"/>
              </w:rPr>
              <w:t>7.201.305</w:t>
            </w:r>
          </w:p>
        </w:tc>
        <w:tc>
          <w:tcPr>
            <w:tcW w:w="1096" w:type="dxa"/>
            <w:shd w:val="clear" w:color="auto" w:fill="auto"/>
            <w:tcMar>
              <w:top w:w="22" w:type="dxa"/>
              <w:left w:w="28" w:type="dxa"/>
              <w:bottom w:w="22" w:type="dxa"/>
              <w:right w:w="28" w:type="dxa"/>
            </w:tcMar>
          </w:tcPr>
          <w:p w:rsidR="00B433E4" w:rsidP="000360AF" w:rsidRDefault="00B433E4">
            <w:pPr>
              <w:pStyle w:val="p-table"/>
              <w:jc w:val="right"/>
            </w:pPr>
            <w:r>
              <w:rPr>
                <w:b/>
                <w:sz w:val="17"/>
              </w:rPr>
              <w:t>7.201.305</w:t>
            </w:r>
          </w:p>
        </w:tc>
        <w:tc>
          <w:tcPr>
            <w:tcW w:w="1228" w:type="dxa"/>
            <w:shd w:val="clear" w:color="auto" w:fill="auto"/>
            <w:tcMar>
              <w:top w:w="22" w:type="dxa"/>
              <w:left w:w="28" w:type="dxa"/>
              <w:bottom w:w="22" w:type="dxa"/>
              <w:right w:w="28" w:type="dxa"/>
            </w:tcMar>
          </w:tcPr>
          <w:p w:rsidR="00B433E4" w:rsidP="000360AF" w:rsidRDefault="00B433E4">
            <w:pPr>
              <w:pStyle w:val="p-table"/>
              <w:jc w:val="right"/>
            </w:pPr>
            <w:r>
              <w:rPr>
                <w:b/>
                <w:sz w:val="17"/>
              </w:rPr>
              <w:t>2.418.670</w:t>
            </w:r>
          </w:p>
        </w:tc>
        <w:tc>
          <w:tcPr>
            <w:tcW w:w="774" w:type="dxa"/>
            <w:shd w:val="clear" w:color="auto" w:fill="auto"/>
            <w:tcMar>
              <w:top w:w="22" w:type="dxa"/>
              <w:left w:w="28" w:type="dxa"/>
              <w:bottom w:w="22" w:type="dxa"/>
              <w:right w:w="28" w:type="dxa"/>
            </w:tcMar>
          </w:tcPr>
          <w:p w:rsidR="00B433E4" w:rsidP="000360AF" w:rsidRDefault="00B433E4">
            <w:pPr>
              <w:pStyle w:val="p-table"/>
              <w:jc w:val="right"/>
            </w:pPr>
            <w:r>
              <w:rPr>
                <w:b/>
                <w:sz w:val="17"/>
              </w:rPr>
              <w:t>699.139</w:t>
            </w:r>
          </w:p>
        </w:tc>
        <w:tc>
          <w:tcPr>
            <w:tcW w:w="1096" w:type="dxa"/>
            <w:shd w:val="clear" w:color="auto" w:fill="auto"/>
            <w:tcMar>
              <w:top w:w="22" w:type="dxa"/>
              <w:left w:w="28" w:type="dxa"/>
              <w:bottom w:w="22" w:type="dxa"/>
              <w:right w:w="28" w:type="dxa"/>
            </w:tcMar>
          </w:tcPr>
          <w:p w:rsidR="00B433E4" w:rsidP="000360AF" w:rsidRDefault="00B433E4">
            <w:pPr>
              <w:pStyle w:val="p-table"/>
              <w:jc w:val="right"/>
            </w:pPr>
            <w:r>
              <w:rPr>
                <w:b/>
                <w:sz w:val="17"/>
              </w:rPr>
              <w:t>458.179</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r>
              <w:rPr>
                <w:sz w:val="17"/>
              </w:rPr>
              <w:t>18.10</w:t>
            </w: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Voordelig eindsaldo (cumulatief) vorig jaar</w:t>
            </w:r>
          </w:p>
        </w:tc>
        <w:tc>
          <w:tcPr>
            <w:tcW w:w="1228" w:type="dxa"/>
            <w:shd w:val="clear" w:color="auto" w:fill="auto"/>
            <w:tcMar>
              <w:top w:w="22" w:type="dxa"/>
              <w:left w:w="28" w:type="dxa"/>
              <w:bottom w:w="22" w:type="dxa"/>
              <w:right w:w="28" w:type="dxa"/>
            </w:tcMar>
          </w:tcPr>
          <w:p w:rsidR="00B433E4" w:rsidP="000360AF" w:rsidRDefault="00B433E4">
            <w:pPr>
              <w:pStyle w:val="p-table"/>
              <w:rPr>
                <w:sz w:val="17"/>
              </w:rPr>
            </w:pPr>
          </w:p>
        </w:tc>
        <w:tc>
          <w:tcPr>
            <w:tcW w:w="813" w:type="dxa"/>
            <w:shd w:val="clear" w:color="auto" w:fill="auto"/>
            <w:tcMar>
              <w:top w:w="22" w:type="dxa"/>
              <w:left w:w="28" w:type="dxa"/>
              <w:bottom w:w="22" w:type="dxa"/>
              <w:right w:w="28" w:type="dxa"/>
            </w:tcMar>
          </w:tcPr>
          <w:p w:rsidR="00B433E4" w:rsidP="000360AF" w:rsidRDefault="00B433E4">
            <w:pPr>
              <w:pStyle w:val="p-table"/>
              <w:rPr>
                <w:sz w:val="17"/>
              </w:rPr>
            </w:pPr>
          </w:p>
        </w:tc>
        <w:tc>
          <w:tcPr>
            <w:tcW w:w="1096" w:type="dxa"/>
            <w:shd w:val="clear" w:color="auto" w:fill="auto"/>
            <w:tcMar>
              <w:top w:w="22" w:type="dxa"/>
              <w:left w:w="28" w:type="dxa"/>
              <w:bottom w:w="22" w:type="dxa"/>
              <w:right w:w="28" w:type="dxa"/>
            </w:tcMar>
          </w:tcPr>
          <w:p w:rsidR="00B433E4" w:rsidP="000360AF" w:rsidRDefault="00B433E4">
            <w:pPr>
              <w:pStyle w:val="p-table"/>
              <w:rPr>
                <w:sz w:val="17"/>
              </w:rPr>
            </w:pPr>
          </w:p>
        </w:tc>
        <w:tc>
          <w:tcPr>
            <w:tcW w:w="1228" w:type="dxa"/>
            <w:shd w:val="clear" w:color="auto" w:fill="auto"/>
            <w:tcMar>
              <w:top w:w="22" w:type="dxa"/>
              <w:left w:w="28" w:type="dxa"/>
              <w:bottom w:w="22" w:type="dxa"/>
              <w:right w:w="28" w:type="dxa"/>
            </w:tcMar>
          </w:tcPr>
          <w:p w:rsidR="00B433E4" w:rsidP="000360AF" w:rsidRDefault="00B433E4">
            <w:pPr>
              <w:pStyle w:val="p-table"/>
              <w:rPr>
                <w:sz w:val="17"/>
              </w:rPr>
            </w:pPr>
          </w:p>
        </w:tc>
        <w:tc>
          <w:tcPr>
            <w:tcW w:w="774" w:type="dxa"/>
            <w:shd w:val="clear" w:color="auto" w:fill="auto"/>
            <w:tcMar>
              <w:top w:w="22" w:type="dxa"/>
              <w:left w:w="28" w:type="dxa"/>
              <w:bottom w:w="22" w:type="dxa"/>
              <w:right w:w="28" w:type="dxa"/>
            </w:tcMar>
          </w:tcPr>
          <w:p w:rsidR="00B433E4" w:rsidP="000360AF" w:rsidRDefault="00B433E4">
            <w:pPr>
              <w:pStyle w:val="p-table"/>
              <w:rPr>
                <w:sz w:val="17"/>
              </w:rPr>
            </w:pP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240.960</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p>
        </w:tc>
        <w:tc>
          <w:tcPr>
            <w:tcW w:w="2995" w:type="dxa"/>
            <w:shd w:val="clear" w:color="auto" w:fill="auto"/>
            <w:tcMar>
              <w:top w:w="22" w:type="dxa"/>
              <w:left w:w="28" w:type="dxa"/>
              <w:bottom w:w="22" w:type="dxa"/>
              <w:right w:w="28" w:type="dxa"/>
            </w:tcMar>
          </w:tcPr>
          <w:p w:rsidR="00B433E4" w:rsidP="000360AF" w:rsidRDefault="00B433E4">
            <w:pPr>
              <w:pStyle w:val="p-table"/>
            </w:pPr>
            <w:r>
              <w:rPr>
                <w:b/>
                <w:sz w:val="17"/>
              </w:rPr>
              <w:t>Subtotaal</w:t>
            </w:r>
          </w:p>
        </w:tc>
        <w:tc>
          <w:tcPr>
            <w:tcW w:w="1228" w:type="dxa"/>
            <w:shd w:val="clear" w:color="auto" w:fill="auto"/>
            <w:tcMar>
              <w:top w:w="22" w:type="dxa"/>
              <w:left w:w="28" w:type="dxa"/>
              <w:bottom w:w="22" w:type="dxa"/>
              <w:right w:w="28" w:type="dxa"/>
            </w:tcMar>
          </w:tcPr>
          <w:p w:rsidR="00B433E4" w:rsidP="000360AF" w:rsidRDefault="00B433E4">
            <w:pPr>
              <w:pStyle w:val="p-table"/>
              <w:jc w:val="right"/>
            </w:pPr>
            <w:r>
              <w:rPr>
                <w:b/>
                <w:sz w:val="17"/>
              </w:rPr>
              <w:t>7.036.954</w:t>
            </w:r>
          </w:p>
        </w:tc>
        <w:tc>
          <w:tcPr>
            <w:tcW w:w="813" w:type="dxa"/>
            <w:shd w:val="clear" w:color="auto" w:fill="auto"/>
            <w:tcMar>
              <w:top w:w="22" w:type="dxa"/>
              <w:left w:w="28" w:type="dxa"/>
              <w:bottom w:w="22" w:type="dxa"/>
              <w:right w:w="28" w:type="dxa"/>
            </w:tcMar>
          </w:tcPr>
          <w:p w:rsidR="00B433E4" w:rsidP="000360AF" w:rsidRDefault="00B433E4">
            <w:pPr>
              <w:pStyle w:val="p-table"/>
              <w:jc w:val="right"/>
            </w:pPr>
            <w:r>
              <w:rPr>
                <w:b/>
                <w:sz w:val="17"/>
              </w:rPr>
              <w:t>7.201.305</w:t>
            </w:r>
          </w:p>
        </w:tc>
        <w:tc>
          <w:tcPr>
            <w:tcW w:w="1096" w:type="dxa"/>
            <w:shd w:val="clear" w:color="auto" w:fill="auto"/>
            <w:tcMar>
              <w:top w:w="22" w:type="dxa"/>
              <w:left w:w="28" w:type="dxa"/>
              <w:bottom w:w="22" w:type="dxa"/>
              <w:right w:w="28" w:type="dxa"/>
            </w:tcMar>
          </w:tcPr>
          <w:p w:rsidR="00B433E4" w:rsidP="000360AF" w:rsidRDefault="00B433E4">
            <w:pPr>
              <w:pStyle w:val="p-table"/>
              <w:jc w:val="right"/>
            </w:pPr>
            <w:r>
              <w:rPr>
                <w:b/>
                <w:sz w:val="17"/>
              </w:rPr>
              <w:t>7.201.305</w:t>
            </w:r>
          </w:p>
        </w:tc>
        <w:tc>
          <w:tcPr>
            <w:tcW w:w="1228" w:type="dxa"/>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2.418.670</w:t>
            </w:r>
          </w:p>
        </w:tc>
        <w:tc>
          <w:tcPr>
            <w:tcW w:w="774" w:type="dxa"/>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699.139</w:t>
            </w: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699.139</w:t>
            </w:r>
          </w:p>
        </w:tc>
      </w:tr>
      <w:tr w:rsidR="00B433E4" w:rsidTr="00B433E4">
        <w:tc>
          <w:tcPr>
            <w:tcW w:w="464" w:type="dxa"/>
            <w:shd w:val="clear" w:color="auto" w:fill="auto"/>
            <w:tcMar>
              <w:top w:w="22" w:type="dxa"/>
              <w:left w:w="10" w:type="dxa"/>
              <w:bottom w:w="22" w:type="dxa"/>
              <w:right w:w="28" w:type="dxa"/>
            </w:tcMar>
          </w:tcPr>
          <w:p w:rsidR="00B433E4" w:rsidP="000360AF" w:rsidRDefault="00B433E4">
            <w:pPr>
              <w:pStyle w:val="p-table"/>
              <w:rPr>
                <w:sz w:val="17"/>
              </w:rPr>
            </w:pPr>
          </w:p>
        </w:tc>
        <w:tc>
          <w:tcPr>
            <w:tcW w:w="2995" w:type="dxa"/>
            <w:shd w:val="clear" w:color="auto" w:fill="auto"/>
            <w:tcMar>
              <w:top w:w="22" w:type="dxa"/>
              <w:left w:w="28" w:type="dxa"/>
              <w:bottom w:w="22" w:type="dxa"/>
              <w:right w:w="28" w:type="dxa"/>
            </w:tcMar>
          </w:tcPr>
          <w:p w:rsidR="00B433E4" w:rsidP="000360AF" w:rsidRDefault="00B433E4">
            <w:pPr>
              <w:pStyle w:val="p-table"/>
              <w:rPr>
                <w:sz w:val="17"/>
              </w:rPr>
            </w:pPr>
            <w:r>
              <w:rPr>
                <w:sz w:val="17"/>
              </w:rPr>
              <w:t>Voordelig eindsaldo (cumulatief) huidig jaar</w:t>
            </w:r>
          </w:p>
        </w:tc>
        <w:tc>
          <w:tcPr>
            <w:tcW w:w="1228" w:type="dxa"/>
            <w:shd w:val="clear" w:color="auto" w:fill="auto"/>
            <w:tcMar>
              <w:top w:w="22" w:type="dxa"/>
              <w:left w:w="28" w:type="dxa"/>
              <w:bottom w:w="22" w:type="dxa"/>
              <w:right w:w="28" w:type="dxa"/>
            </w:tcMar>
          </w:tcPr>
          <w:p w:rsidR="00B433E4" w:rsidP="000360AF" w:rsidRDefault="00B433E4">
            <w:pPr>
              <w:pStyle w:val="p-table"/>
              <w:rPr>
                <w:sz w:val="17"/>
              </w:rPr>
            </w:pPr>
          </w:p>
        </w:tc>
        <w:tc>
          <w:tcPr>
            <w:tcW w:w="813" w:type="dxa"/>
            <w:shd w:val="clear" w:color="auto" w:fill="auto"/>
            <w:tcMar>
              <w:top w:w="22" w:type="dxa"/>
              <w:left w:w="28" w:type="dxa"/>
              <w:bottom w:w="22" w:type="dxa"/>
              <w:right w:w="28" w:type="dxa"/>
            </w:tcMar>
          </w:tcPr>
          <w:p w:rsidR="00B433E4" w:rsidP="000360AF" w:rsidRDefault="00B433E4">
            <w:pPr>
              <w:pStyle w:val="p-table"/>
              <w:rPr>
                <w:sz w:val="17"/>
              </w:rPr>
            </w:pPr>
          </w:p>
        </w:tc>
        <w:tc>
          <w:tcPr>
            <w:tcW w:w="1096" w:type="dxa"/>
            <w:shd w:val="clear" w:color="auto" w:fill="auto"/>
            <w:tcMar>
              <w:top w:w="22" w:type="dxa"/>
              <w:left w:w="28" w:type="dxa"/>
              <w:bottom w:w="22" w:type="dxa"/>
              <w:right w:w="28" w:type="dxa"/>
            </w:tcMar>
          </w:tcPr>
          <w:p w:rsidR="00B433E4" w:rsidP="000360AF" w:rsidRDefault="00B433E4">
            <w:pPr>
              <w:pStyle w:val="p-table"/>
              <w:rPr>
                <w:sz w:val="17"/>
              </w:rPr>
            </w:pPr>
          </w:p>
        </w:tc>
        <w:tc>
          <w:tcPr>
            <w:tcW w:w="1228" w:type="dxa"/>
            <w:shd w:val="clear" w:color="auto" w:fill="auto"/>
            <w:tcMar>
              <w:top w:w="22" w:type="dxa"/>
              <w:left w:w="28" w:type="dxa"/>
              <w:bottom w:w="22" w:type="dxa"/>
              <w:right w:w="28" w:type="dxa"/>
            </w:tcMar>
          </w:tcPr>
          <w:p w:rsidR="00B433E4" w:rsidP="000360AF" w:rsidRDefault="00B433E4">
            <w:pPr>
              <w:pStyle w:val="p-table"/>
              <w:rPr>
                <w:sz w:val="17"/>
              </w:rPr>
            </w:pPr>
          </w:p>
        </w:tc>
        <w:tc>
          <w:tcPr>
            <w:tcW w:w="774" w:type="dxa"/>
            <w:shd w:val="clear" w:color="auto" w:fill="auto"/>
            <w:tcMar>
              <w:top w:w="22" w:type="dxa"/>
              <w:left w:w="28" w:type="dxa"/>
              <w:bottom w:w="22" w:type="dxa"/>
              <w:right w:w="28" w:type="dxa"/>
            </w:tcMar>
          </w:tcPr>
          <w:p w:rsidR="00B433E4" w:rsidP="000360AF" w:rsidRDefault="00B433E4">
            <w:pPr>
              <w:pStyle w:val="p-table"/>
              <w:rPr>
                <w:sz w:val="17"/>
              </w:rPr>
            </w:pPr>
          </w:p>
        </w:tc>
        <w:tc>
          <w:tcPr>
            <w:tcW w:w="1096" w:type="dxa"/>
            <w:shd w:val="clear" w:color="auto" w:fill="auto"/>
            <w:tcMar>
              <w:top w:w="22" w:type="dxa"/>
              <w:left w:w="28" w:type="dxa"/>
              <w:bottom w:w="22" w:type="dxa"/>
              <w:right w:w="28" w:type="dxa"/>
            </w:tcMar>
            <w:vAlign w:val="bottom"/>
          </w:tcPr>
          <w:p w:rsidR="00B433E4" w:rsidP="000360AF" w:rsidRDefault="00B433E4">
            <w:pPr>
              <w:pStyle w:val="p-table"/>
              <w:jc w:val="right"/>
              <w:rPr>
                <w:sz w:val="17"/>
              </w:rPr>
            </w:pPr>
            <w:r>
              <w:rPr>
                <w:sz w:val="17"/>
              </w:rPr>
              <w:t>0</w:t>
            </w:r>
          </w:p>
        </w:tc>
      </w:tr>
      <w:tr w:rsidR="00B433E4" w:rsidTr="00B433E4">
        <w:tc>
          <w:tcPr>
            <w:tcW w:w="464" w:type="dxa"/>
            <w:tcBorders>
              <w:bottom w:val="single" w:color="009EE0" w:sz="2" w:space="0"/>
            </w:tcBorders>
            <w:shd w:val="clear" w:color="auto" w:fill="auto"/>
            <w:tcMar>
              <w:top w:w="22" w:type="dxa"/>
              <w:left w:w="10" w:type="dxa"/>
              <w:bottom w:w="22" w:type="dxa"/>
              <w:right w:w="28" w:type="dxa"/>
            </w:tcMar>
          </w:tcPr>
          <w:p w:rsidR="00B433E4" w:rsidP="000360AF" w:rsidRDefault="00B433E4">
            <w:pPr>
              <w:pStyle w:val="p-table"/>
              <w:rPr>
                <w:sz w:val="17"/>
              </w:rPr>
            </w:pPr>
          </w:p>
        </w:tc>
        <w:tc>
          <w:tcPr>
            <w:tcW w:w="2995" w:type="dxa"/>
            <w:tcBorders>
              <w:bottom w:val="single" w:color="009EE0" w:sz="2" w:space="0"/>
            </w:tcBorders>
            <w:shd w:val="clear" w:color="auto" w:fill="auto"/>
            <w:tcMar>
              <w:top w:w="22" w:type="dxa"/>
              <w:left w:w="28" w:type="dxa"/>
              <w:bottom w:w="22" w:type="dxa"/>
              <w:right w:w="28" w:type="dxa"/>
            </w:tcMar>
          </w:tcPr>
          <w:p w:rsidR="00B433E4" w:rsidP="000360AF" w:rsidRDefault="00B433E4">
            <w:pPr>
              <w:pStyle w:val="p-table"/>
            </w:pPr>
            <w:r>
              <w:rPr>
                <w:b/>
                <w:sz w:val="17"/>
              </w:rPr>
              <w:t>Totaal</w:t>
            </w:r>
          </w:p>
        </w:tc>
        <w:tc>
          <w:tcPr>
            <w:tcW w:w="1228" w:type="dxa"/>
            <w:tcBorders>
              <w:bottom w:val="single" w:color="009EE0" w:sz="2" w:space="0"/>
            </w:tcBorders>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7.036.954</w:t>
            </w:r>
          </w:p>
        </w:tc>
        <w:tc>
          <w:tcPr>
            <w:tcW w:w="813" w:type="dxa"/>
            <w:tcBorders>
              <w:bottom w:val="single" w:color="009EE0" w:sz="2" w:space="0"/>
            </w:tcBorders>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7.201.305</w:t>
            </w:r>
          </w:p>
        </w:tc>
        <w:tc>
          <w:tcPr>
            <w:tcW w:w="1096" w:type="dxa"/>
            <w:tcBorders>
              <w:bottom w:val="single" w:color="009EE0" w:sz="2" w:space="0"/>
            </w:tcBorders>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7.201.305</w:t>
            </w:r>
          </w:p>
        </w:tc>
        <w:tc>
          <w:tcPr>
            <w:tcW w:w="1228" w:type="dxa"/>
            <w:tcBorders>
              <w:bottom w:val="single" w:color="009EE0" w:sz="2" w:space="0"/>
            </w:tcBorders>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2.418.670</w:t>
            </w:r>
          </w:p>
        </w:tc>
        <w:tc>
          <w:tcPr>
            <w:tcW w:w="774" w:type="dxa"/>
            <w:tcBorders>
              <w:bottom w:val="single" w:color="009EE0" w:sz="2" w:space="0"/>
            </w:tcBorders>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699.139</w:t>
            </w:r>
          </w:p>
        </w:tc>
        <w:tc>
          <w:tcPr>
            <w:tcW w:w="1096" w:type="dxa"/>
            <w:tcBorders>
              <w:bottom w:val="single" w:color="009EE0" w:sz="2" w:space="0"/>
            </w:tcBorders>
            <w:shd w:val="clear" w:color="auto" w:fill="auto"/>
            <w:tcMar>
              <w:top w:w="22" w:type="dxa"/>
              <w:left w:w="28" w:type="dxa"/>
              <w:bottom w:w="22" w:type="dxa"/>
              <w:right w:w="28" w:type="dxa"/>
            </w:tcMar>
            <w:vAlign w:val="bottom"/>
          </w:tcPr>
          <w:p w:rsidR="00B433E4" w:rsidP="000360AF" w:rsidRDefault="00B433E4">
            <w:pPr>
              <w:pStyle w:val="p-table"/>
              <w:jc w:val="right"/>
            </w:pPr>
            <w:r>
              <w:rPr>
                <w:b/>
                <w:sz w:val="17"/>
              </w:rPr>
              <w:t>699.139</w:t>
            </w:r>
          </w:p>
        </w:tc>
      </w:tr>
    </w:tbl>
    <w:p w:rsidR="00B433E4" w:rsidP="00B433E4" w:rsidRDefault="00B433E4">
      <w:pPr>
        <w:pStyle w:val="p-marginbottom"/>
      </w:pPr>
    </w:p>
    <w:p w:rsidRPr="002168F4" w:rsidR="00B433E4" w:rsidP="00A11E73" w:rsidRDefault="00B433E4">
      <w:pPr>
        <w:tabs>
          <w:tab w:val="left" w:pos="284"/>
          <w:tab w:val="left" w:pos="567"/>
          <w:tab w:val="left" w:pos="851"/>
        </w:tabs>
        <w:ind w:right="1848"/>
        <w:rPr>
          <w:rFonts w:ascii="Times New Roman" w:hAnsi="Times New Roman"/>
          <w:sz w:val="24"/>
          <w:szCs w:val="20"/>
        </w:rPr>
      </w:pPr>
    </w:p>
    <w:sectPr w:rsidRPr="002168F4" w:rsidR="00B433E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3E4" w:rsidRDefault="00B433E4">
      <w:pPr>
        <w:spacing w:line="20" w:lineRule="exact"/>
      </w:pPr>
    </w:p>
  </w:endnote>
  <w:endnote w:type="continuationSeparator" w:id="0">
    <w:p w:rsidR="00B433E4" w:rsidRDefault="00B433E4">
      <w:pPr>
        <w:pStyle w:val="Amendement"/>
      </w:pPr>
      <w:r>
        <w:rPr>
          <w:b w:val="0"/>
          <w:bCs w:val="0"/>
        </w:rPr>
        <w:t xml:space="preserve"> </w:t>
      </w:r>
    </w:p>
  </w:endnote>
  <w:endnote w:type="continuationNotice" w:id="1">
    <w:p w:rsidR="00B433E4" w:rsidRDefault="00B433E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56D5">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3E4" w:rsidRDefault="00B433E4">
      <w:pPr>
        <w:pStyle w:val="Amendement"/>
      </w:pPr>
      <w:r>
        <w:rPr>
          <w:b w:val="0"/>
          <w:bCs w:val="0"/>
        </w:rPr>
        <w:separator/>
      </w:r>
    </w:p>
  </w:footnote>
  <w:footnote w:type="continuationSeparator" w:id="0">
    <w:p w:rsidR="00B433E4" w:rsidRDefault="00B43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E4"/>
    <w:rsid w:val="00012DBE"/>
    <w:rsid w:val="000A1D81"/>
    <w:rsid w:val="00111ED3"/>
    <w:rsid w:val="001C190E"/>
    <w:rsid w:val="002168F4"/>
    <w:rsid w:val="002A727C"/>
    <w:rsid w:val="0035554A"/>
    <w:rsid w:val="00544E9D"/>
    <w:rsid w:val="005D2707"/>
    <w:rsid w:val="00606255"/>
    <w:rsid w:val="006B607A"/>
    <w:rsid w:val="007D451C"/>
    <w:rsid w:val="00826224"/>
    <w:rsid w:val="00930A23"/>
    <w:rsid w:val="009C7354"/>
    <w:rsid w:val="009E6D7F"/>
    <w:rsid w:val="00A11E73"/>
    <w:rsid w:val="00A2521E"/>
    <w:rsid w:val="00A336E9"/>
    <w:rsid w:val="00AE436A"/>
    <w:rsid w:val="00B433E4"/>
    <w:rsid w:val="00C135B1"/>
    <w:rsid w:val="00C92DF8"/>
    <w:rsid w:val="00CB3578"/>
    <w:rsid w:val="00D20AFA"/>
    <w:rsid w:val="00D55648"/>
    <w:rsid w:val="00DD56D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4BB28"/>
  <w15:docId w15:val="{37C199C8-DAF9-4992-856F-259C1BF6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433E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433E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433E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433E4"/>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544E9D"/>
  </w:style>
  <w:style w:type="paragraph" w:styleId="Ballontekst">
    <w:name w:val="Balloon Text"/>
    <w:basedOn w:val="Standaard"/>
    <w:link w:val="BallontekstChar"/>
    <w:semiHidden/>
    <w:unhideWhenUsed/>
    <w:rsid w:val="00DD56D5"/>
    <w:rPr>
      <w:rFonts w:ascii="Segoe UI" w:hAnsi="Segoe UI" w:cs="Segoe UI"/>
      <w:sz w:val="18"/>
      <w:szCs w:val="18"/>
    </w:rPr>
  </w:style>
  <w:style w:type="character" w:customStyle="1" w:styleId="BallontekstChar">
    <w:name w:val="Ballontekst Char"/>
    <w:basedOn w:val="Standaardalinea-lettertype"/>
    <w:link w:val="Ballontekst"/>
    <w:semiHidden/>
    <w:rsid w:val="00DD56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378</ap:Words>
  <ap:Characters>2404</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2022-07-05T09:26:00.0000000Z</lastPrinted>
  <dcterms:created xsi:type="dcterms:W3CDTF">2022-07-05T09:25:00.0000000Z</dcterms:created>
  <dcterms:modified xsi:type="dcterms:W3CDTF">2022-07-05T10:03:00.0000000Z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