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Tweede Kamer der Staten-</w:t>
            </w:r>
            <w:r w:rsidRPr="00B24D62">
              <w:rPr>
                <w:rFonts w:ascii="Times New Roman" w:hAnsi="Times New Roman"/>
              </w:rPr>
              <w:fldChar w:fldCharType="begin"/>
            </w:r>
            <w:r w:rsidRPr="00B24D62">
              <w:rPr>
                <w:rFonts w:ascii="Times New Roman" w:hAnsi="Times New Roman"/>
              </w:rPr>
              <w:instrText xml:space="preserve">PRIVATE </w:instrText>
            </w:r>
            <w:r w:rsidRPr="00B24D62">
              <w:rPr>
                <w:rFonts w:ascii="Times New Roman" w:hAnsi="Times New Roman"/>
              </w:rPr>
              <w:fldChar w:fldCharType="end"/>
            </w: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Generaal zendt bijgaand door</w:t>
            </w: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haar aangenomen wetsvoorstel</w:t>
            </w: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aan de Eerste Kamer.</w:t>
            </w: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Voorzitter,</w:t>
            </w: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9E142C" w:rsidP="009E142C" w:rsidRDefault="009E142C">
            <w:pPr>
              <w:rPr>
                <w:rFonts w:ascii="Times New Roman" w:hAnsi="Times New Roman"/>
              </w:rPr>
            </w:pPr>
          </w:p>
          <w:p w:rsidRPr="002168F4" w:rsidR="00CB3578" w:rsidP="009E142C" w:rsidRDefault="009E142C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E142C" w:rsidTr="00C5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35AAF" w:rsidR="009E142C" w:rsidP="009E142C" w:rsidRDefault="009E142C">
            <w:pPr>
              <w:rPr>
                <w:rFonts w:ascii="Times New Roman" w:hAnsi="Times New Roman"/>
                <w:b/>
                <w:sz w:val="24"/>
              </w:rPr>
            </w:pPr>
            <w:r w:rsidRPr="002A727C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2A727C">
              <w:rPr>
                <w:rFonts w:ascii="Times New Roman" w:hAnsi="Times New Roman"/>
                <w:b/>
                <w:sz w:val="24"/>
              </w:rPr>
              <w:instrText xml:space="preserve"> =  \* MERGEFORMAT </w:instrText>
            </w:r>
            <w:r w:rsidRPr="002A727C">
              <w:rPr>
                <w:rFonts w:ascii="Times New Roman" w:hAnsi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35AAF">
              <w:rPr>
                <w:rFonts w:ascii="Times New Roman" w:hAnsi="Times New Roman"/>
                <w:b/>
                <w:sz w:val="24"/>
              </w:rPr>
              <w:t>Wijziging van de begrotingsstaten van het Ministerie van Infrastructuur en Waterstaat (XII)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E142C" w:rsidTr="00C0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E142C" w:rsidRDefault="009E142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415645" w:rsidP="00323CD6" w:rsidRDefault="0041564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Infrastructuur en Waterst</w:t>
      </w:r>
      <w:r w:rsidR="002618CF">
        <w:rPr>
          <w:rFonts w:ascii="Times New Roman" w:hAnsi="Times New Roman"/>
          <w:sz w:val="24"/>
          <w:szCs w:val="20"/>
        </w:rPr>
        <w:t>a</w:t>
      </w:r>
      <w:r w:rsidRPr="00323CD6">
        <w:rPr>
          <w:rFonts w:ascii="Times New Roman" w:hAnsi="Times New Roman"/>
          <w:sz w:val="24"/>
          <w:szCs w:val="20"/>
        </w:rPr>
        <w:t>at en van de begro</w:t>
      </w:r>
      <w:r w:rsidR="002618CF">
        <w:rPr>
          <w:rFonts w:ascii="Times New Roman" w:hAnsi="Times New Roman"/>
          <w:sz w:val="24"/>
          <w:szCs w:val="20"/>
        </w:rPr>
        <w:t>tingsstaat inzake de agentschap</w:t>
      </w:r>
      <w:r w:rsidRPr="00323CD6">
        <w:rPr>
          <w:rFonts w:ascii="Times New Roman" w:hAnsi="Times New Roman"/>
          <w:sz w:val="24"/>
          <w:szCs w:val="20"/>
        </w:rPr>
        <w:t>pen van dit ministerie, alle voor het jaar 2022;</w:t>
      </w: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Zo is het, dat Wij, met gemeen overleg d</w:t>
      </w:r>
      <w:r w:rsidR="002618CF">
        <w:rPr>
          <w:rFonts w:ascii="Times New Roman" w:hAnsi="Times New Roman"/>
          <w:sz w:val="24"/>
          <w:szCs w:val="20"/>
        </w:rPr>
        <w:t>er Staten-Generaal, hebben goed</w:t>
      </w:r>
      <w:r w:rsidRPr="00323CD6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23CD6">
        <w:rPr>
          <w:rFonts w:ascii="Times New Roman" w:hAnsi="Times New Roman"/>
          <w:b/>
          <w:sz w:val="24"/>
          <w:szCs w:val="20"/>
        </w:rPr>
        <w:t>Artikel 1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De departementale begrotingsstaat van het Ministerie van Infrastructuur en Waterstaat (XII) voor het jaar 2022 wordt gewij</w:t>
      </w:r>
      <w:r w:rsidR="002618CF">
        <w:rPr>
          <w:rFonts w:ascii="Times New Roman" w:hAnsi="Times New Roman"/>
          <w:sz w:val="24"/>
          <w:szCs w:val="20"/>
        </w:rPr>
        <w:t>zigd, zoals blijkt uit de desbe</w:t>
      </w:r>
      <w:r w:rsidRPr="00323CD6">
        <w:rPr>
          <w:rFonts w:ascii="Times New Roman" w:hAnsi="Times New Roman"/>
          <w:sz w:val="24"/>
          <w:szCs w:val="20"/>
        </w:rPr>
        <w:t>treffende bij deze wet behorende staat.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23CD6">
        <w:rPr>
          <w:rFonts w:ascii="Times New Roman" w:hAnsi="Times New Roman"/>
          <w:b/>
          <w:sz w:val="24"/>
          <w:szCs w:val="20"/>
        </w:rPr>
        <w:t>Artikel 2</w:t>
      </w:r>
    </w:p>
    <w:p w:rsidRPr="00323CD6" w:rsidR="009E142C" w:rsidP="009E142C" w:rsidRDefault="009E14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De begrotingsstaat inzake de agentschap</w:t>
      </w:r>
      <w:r w:rsidR="002618CF">
        <w:rPr>
          <w:rFonts w:ascii="Times New Roman" w:hAnsi="Times New Roman"/>
          <w:sz w:val="24"/>
          <w:szCs w:val="20"/>
        </w:rPr>
        <w:t>pen voor het jaar 2022 wordt ge</w:t>
      </w:r>
      <w:r w:rsidRPr="00323CD6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23CD6">
        <w:rPr>
          <w:rFonts w:ascii="Times New Roman" w:hAnsi="Times New Roman"/>
          <w:b/>
          <w:sz w:val="24"/>
          <w:szCs w:val="20"/>
        </w:rPr>
        <w:t>Artikel 3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23CD6">
        <w:rPr>
          <w:rFonts w:ascii="Times New Roman" w:hAnsi="Times New Roman"/>
          <w:b/>
          <w:sz w:val="24"/>
          <w:szCs w:val="20"/>
        </w:rPr>
        <w:t>Artikel 4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323CD6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3CD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23CD6" w:rsidR="00323CD6" w:rsidP="009E142C" w:rsidRDefault="00323CD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23CD6">
        <w:rPr>
          <w:rFonts w:ascii="Times New Roman" w:hAnsi="Times New Roman"/>
          <w:sz w:val="24"/>
          <w:szCs w:val="20"/>
        </w:rPr>
        <w:t>Gegeven</w:t>
      </w:r>
    </w:p>
    <w:p w:rsidRPr="00323CD6"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23CD6"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23CD6" w:rsidR="00323CD6" w:rsidP="00323CD6" w:rsidRDefault="00323CD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323CD6">
        <w:rPr>
          <w:rFonts w:ascii="Times New Roman" w:hAnsi="Times New Roman"/>
          <w:sz w:val="24"/>
          <w:szCs w:val="20"/>
        </w:rPr>
        <w:t>De Minister van Infrastructuur en Waterstaat</w:t>
      </w:r>
      <w:r w:rsidR="009E142C">
        <w:rPr>
          <w:rFonts w:ascii="Times New Roman" w:hAnsi="Times New Roman"/>
          <w:sz w:val="24"/>
          <w:szCs w:val="20"/>
        </w:rPr>
        <w:t>,</w:t>
      </w:r>
    </w:p>
    <w:p w:rsidRPr="00323CD6"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23CD6"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323CD6" w:rsidR="009E142C" w:rsidP="009E142C" w:rsidRDefault="009E142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323CD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323CD6" w:rsidRDefault="00323CD6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="002618CF" w:rsidP="002618CF" w:rsidRDefault="002618CF">
      <w:pPr>
        <w:pStyle w:val="page-break"/>
        <w:sectPr w:rsidR="002618CF" w:rsidSect="002618CF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</w:p>
    <w:p w:rsidR="002618CF" w:rsidP="002618CF" w:rsidRDefault="002618CF">
      <w:pPr>
        <w:pStyle w:val="page-break"/>
      </w:pPr>
    </w:p>
    <w:tbl>
      <w:tblPr>
        <w:tblW w:w="9694" w:type="dxa"/>
        <w:tblInd w:w="-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047"/>
        <w:gridCol w:w="1217"/>
        <w:gridCol w:w="1039"/>
        <w:gridCol w:w="1024"/>
        <w:gridCol w:w="1186"/>
        <w:gridCol w:w="815"/>
        <w:gridCol w:w="1020"/>
      </w:tblGrid>
      <w:tr w:rsidR="002618CF" w:rsidTr="002618CF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2618CF" w:rsidP="002E1A5C" w:rsidRDefault="002618CF">
            <w:pPr>
              <w:pStyle w:val="kio2-table-title"/>
            </w:pPr>
            <w:r>
              <w:t>Wijziging begrotingsstaat van het Ministerie van Infrastructuur en Waterstaat voor het jaar 2022 (Eerste suppletoire begroting) (bedragen x € 1.000)</w:t>
            </w:r>
          </w:p>
        </w:tc>
      </w:tr>
      <w:tr w:rsidR="002618CF" w:rsidTr="002618CF">
        <w:trPr>
          <w:tblHeader/>
        </w:trPr>
        <w:tc>
          <w:tcPr>
            <w:tcW w:w="34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28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302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2618CF" w:rsidTr="002618CF">
        <w:tc>
          <w:tcPr>
            <w:tcW w:w="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30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2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10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81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10.478.932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10.938.794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45.011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1.145.132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927.788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7.145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Integraal Waterbeleid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55.320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55.580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143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55.191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5.576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Bodem en Ondergrond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113.560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137.280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9.832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‒ 12.929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3.500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Wegen en Verkeersveiligheid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258.169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222.407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6.782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221.803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14.805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Openbaar Vervoer en Spoor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145.532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613.184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19.244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58.065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Luchtvaart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87.413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27.366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4.257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10.842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10.725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530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Scheepvaart en Havens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27.497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38.880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17.393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23.115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Internationaal beleid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46.119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46.411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‒ 33.645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‒ 34.515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Lucht en Geluid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25.492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28.188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28.666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28.174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400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Duurzaamheid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52.076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62.770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4.401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4.172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Omgevingsveiligheid en Milieurisico’s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58.219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71.008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250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40.622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39.120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765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Meteorologie, Seismologie en Aardobservatie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63.904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62.818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‒ 986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1.040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Handhaving en Toezicht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182.359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182.359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24.700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2.000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2.000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Brede Doeluitkering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954.173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954.172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14.203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Bijdrage Investeringsfondsen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8.014.590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8.003.281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217.297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224.548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Algemeen Departement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32.121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75.697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1.101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13.494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9.055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1.000</w:t>
            </w:r>
          </w:p>
        </w:tc>
      </w:tr>
      <w:tr w:rsidR="002618CF" w:rsidTr="002618CF">
        <w:tc>
          <w:tcPr>
            <w:tcW w:w="34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30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Apparaatsuitgaven Kerndepartement</w:t>
            </w:r>
          </w:p>
        </w:tc>
        <w:tc>
          <w:tcPr>
            <w:tcW w:w="12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357.749</w:t>
            </w:r>
          </w:p>
        </w:tc>
        <w:tc>
          <w:tcPr>
            <w:tcW w:w="103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352.754</w:t>
            </w:r>
          </w:p>
        </w:tc>
        <w:tc>
          <w:tcPr>
            <w:tcW w:w="10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7.778</w:t>
            </w:r>
          </w:p>
        </w:tc>
        <w:tc>
          <w:tcPr>
            <w:tcW w:w="11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20.419</w:t>
            </w:r>
          </w:p>
        </w:tc>
        <w:tc>
          <w:tcPr>
            <w:tcW w:w="81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22.076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920</w:t>
            </w:r>
          </w:p>
        </w:tc>
      </w:tr>
      <w:tr w:rsidR="002618CF" w:rsidTr="002618CF">
        <w:tc>
          <w:tcPr>
            <w:tcW w:w="3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30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2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4.639</w:t>
            </w:r>
          </w:p>
        </w:tc>
        <w:tc>
          <w:tcPr>
            <w:tcW w:w="10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4.639</w:t>
            </w:r>
          </w:p>
        </w:tc>
        <w:tc>
          <w:tcPr>
            <w:tcW w:w="10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518.558</w:t>
            </w:r>
          </w:p>
        </w:tc>
        <w:tc>
          <w:tcPr>
            <w:tcW w:w="81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518.558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</w:tbl>
    <w:p w:rsidR="002618CF" w:rsidP="002618CF" w:rsidRDefault="002618CF">
      <w:pPr>
        <w:pStyle w:val="p-footnote"/>
        <w:numPr>
          <w:ilvl w:val="0"/>
          <w:numId w:val="2"/>
        </w:numPr>
      </w:pPr>
      <w:r>
        <w:t>Incl. ISB, NvW en amendementen</w:t>
      </w:r>
    </w:p>
    <w:p w:rsidR="002618CF" w:rsidP="002618CF" w:rsidRDefault="002618CF">
      <w:pPr>
        <w:pStyle w:val="p-marginbottom"/>
      </w:pPr>
    </w:p>
    <w:tbl>
      <w:tblPr>
        <w:tblW w:w="9694" w:type="dxa"/>
        <w:tblInd w:w="-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312"/>
        <w:gridCol w:w="1340"/>
        <w:gridCol w:w="1890"/>
        <w:gridCol w:w="1253"/>
        <w:gridCol w:w="1281"/>
        <w:gridCol w:w="1890"/>
      </w:tblGrid>
      <w:tr w:rsidR="002618CF" w:rsidTr="002618CF">
        <w:trPr>
          <w:tblHeader/>
        </w:trPr>
        <w:tc>
          <w:tcPr>
            <w:tcW w:w="9694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2618CF" w:rsidP="002E1A5C" w:rsidRDefault="002618CF">
            <w:pPr>
              <w:pStyle w:val="kio2-table-title"/>
            </w:pPr>
            <w:r>
              <w:t>Suppletoire begrotingsstaat inzake de baten-lastenagentschappen Ministerie van Infrastructuur en Waterstaat (Eerste suppletoire begroting 2022) (bedragen x € 1.000)</w:t>
            </w:r>
          </w:p>
        </w:tc>
      </w:tr>
      <w:tr w:rsidR="002618CF" w:rsidTr="002618CF">
        <w:trPr>
          <w:tblHeader/>
        </w:trPr>
        <w:tc>
          <w:tcPr>
            <w:tcW w:w="72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Naam</w:t>
            </w:r>
          </w:p>
        </w:tc>
        <w:tc>
          <w:tcPr>
            <w:tcW w:w="454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442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2618CF" w:rsidTr="002618CF"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13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baten</w:t>
            </w:r>
          </w:p>
        </w:tc>
        <w:tc>
          <w:tcPr>
            <w:tcW w:w="13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lasten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Saldo baten en lasten</w:t>
            </w:r>
          </w:p>
        </w:tc>
        <w:tc>
          <w:tcPr>
            <w:tcW w:w="12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baten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lasten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Saldo baten en lasten</w:t>
            </w:r>
          </w:p>
        </w:tc>
      </w:tr>
      <w:tr w:rsidR="002618CF" w:rsidTr="002618CF">
        <w:tc>
          <w:tcPr>
            <w:tcW w:w="72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RWS</w:t>
            </w:r>
          </w:p>
        </w:tc>
        <w:tc>
          <w:tcPr>
            <w:tcW w:w="13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3.384.355</w:t>
            </w:r>
          </w:p>
        </w:tc>
        <w:tc>
          <w:tcPr>
            <w:tcW w:w="13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3.379.379</w:t>
            </w:r>
          </w:p>
        </w:tc>
        <w:tc>
          <w:tcPr>
            <w:tcW w:w="18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4.976</w:t>
            </w:r>
          </w:p>
        </w:tc>
        <w:tc>
          <w:tcPr>
            <w:tcW w:w="125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217.113</w:t>
            </w:r>
          </w:p>
        </w:tc>
        <w:tc>
          <w:tcPr>
            <w:tcW w:w="12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216.864</w:t>
            </w:r>
          </w:p>
        </w:tc>
        <w:tc>
          <w:tcPr>
            <w:tcW w:w="18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249</w:t>
            </w:r>
          </w:p>
        </w:tc>
      </w:tr>
      <w:tr w:rsidR="002618CF" w:rsidTr="002618CF"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KNMI</w:t>
            </w:r>
          </w:p>
        </w:tc>
        <w:tc>
          <w:tcPr>
            <w:tcW w:w="13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94.761</w:t>
            </w:r>
          </w:p>
        </w:tc>
        <w:tc>
          <w:tcPr>
            <w:tcW w:w="13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94.761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6.089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6.090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</w:t>
            </w:r>
          </w:p>
        </w:tc>
      </w:tr>
      <w:tr w:rsidR="002618CF" w:rsidTr="002618CF">
        <w:tc>
          <w:tcPr>
            <w:tcW w:w="7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3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3.479.116</w:t>
            </w:r>
          </w:p>
        </w:tc>
        <w:tc>
          <w:tcPr>
            <w:tcW w:w="13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3.474.140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4.976</w:t>
            </w:r>
          </w:p>
        </w:tc>
        <w:tc>
          <w:tcPr>
            <w:tcW w:w="12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223.202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222.954</w:t>
            </w:r>
          </w:p>
        </w:tc>
        <w:tc>
          <w:tcPr>
            <w:tcW w:w="1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248</w:t>
            </w:r>
          </w:p>
        </w:tc>
      </w:tr>
    </w:tbl>
    <w:p w:rsidR="002618CF" w:rsidP="002618CF" w:rsidRDefault="002618CF">
      <w:pPr>
        <w:pStyle w:val="p-footnote"/>
        <w:numPr>
          <w:ilvl w:val="0"/>
          <w:numId w:val="3"/>
        </w:numPr>
      </w:pPr>
      <w:r>
        <w:t>Incl. ISB, NvW en amendementen</w:t>
      </w:r>
    </w:p>
    <w:p w:rsidR="002618CF" w:rsidP="002618CF" w:rsidRDefault="002618CF">
      <w:pPr>
        <w:pStyle w:val="p-marginbottom"/>
      </w:pPr>
    </w:p>
    <w:tbl>
      <w:tblPr>
        <w:tblW w:w="13110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6"/>
        <w:gridCol w:w="2101"/>
        <w:gridCol w:w="2436"/>
        <w:gridCol w:w="2101"/>
        <w:gridCol w:w="2436"/>
      </w:tblGrid>
      <w:tr w:rsidR="002618CF" w:rsidTr="001A3FCD">
        <w:trPr>
          <w:tblHeader/>
        </w:trPr>
        <w:tc>
          <w:tcPr>
            <w:tcW w:w="403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lastRenderedPageBreak/>
              <w:t>Naam</w:t>
            </w:r>
          </w:p>
        </w:tc>
        <w:tc>
          <w:tcPr>
            <w:tcW w:w="4537" w:type="dxa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4537" w:type="dxa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</w:p>
        </w:tc>
      </w:tr>
      <w:tr w:rsidR="002618CF" w:rsidTr="001A3FCD">
        <w:tc>
          <w:tcPr>
            <w:tcW w:w="40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kapitaaluitgaven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kapitaalontvangsten</w:t>
            </w: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kapitaaluitgaven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Totaal kapitaalontvangsten</w:t>
            </w:r>
          </w:p>
        </w:tc>
      </w:tr>
      <w:tr w:rsidR="002618CF" w:rsidTr="001A3FCD">
        <w:tc>
          <w:tcPr>
            <w:tcW w:w="4036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RWS</w:t>
            </w:r>
          </w:p>
        </w:tc>
        <w:tc>
          <w:tcPr>
            <w:tcW w:w="210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67.246</w:t>
            </w:r>
          </w:p>
        </w:tc>
        <w:tc>
          <w:tcPr>
            <w:tcW w:w="243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56.450</w:t>
            </w:r>
          </w:p>
        </w:tc>
        <w:tc>
          <w:tcPr>
            <w:tcW w:w="210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5.559</w:t>
            </w:r>
          </w:p>
        </w:tc>
        <w:tc>
          <w:tcPr>
            <w:tcW w:w="243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8.258</w:t>
            </w:r>
          </w:p>
        </w:tc>
      </w:tr>
      <w:tr w:rsidR="002618CF" w:rsidTr="001A3FCD">
        <w:tc>
          <w:tcPr>
            <w:tcW w:w="40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KNMI</w:t>
            </w: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3.704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1.750</w:t>
            </w: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4.233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5.100</w:t>
            </w:r>
          </w:p>
        </w:tc>
      </w:tr>
      <w:tr w:rsidR="002618CF" w:rsidTr="001A3FCD">
        <w:tc>
          <w:tcPr>
            <w:tcW w:w="40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618CF" w:rsidP="002E1A5C" w:rsidRDefault="002618CF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70.950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58.200</w:t>
            </w:r>
          </w:p>
        </w:tc>
        <w:tc>
          <w:tcPr>
            <w:tcW w:w="2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9.792</w:t>
            </w:r>
          </w:p>
        </w:tc>
        <w:tc>
          <w:tcPr>
            <w:tcW w:w="243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2618CF" w:rsidP="002E1A5C" w:rsidRDefault="002618CF">
            <w:pPr>
              <w:pStyle w:val="p-table"/>
              <w:jc w:val="right"/>
            </w:pPr>
            <w:r>
              <w:rPr>
                <w:b/>
                <w:sz w:val="17"/>
              </w:rPr>
              <w:t>‒ 3.158</w:t>
            </w:r>
          </w:p>
        </w:tc>
      </w:tr>
    </w:tbl>
    <w:p w:rsidR="002618CF" w:rsidP="002618CF" w:rsidRDefault="002618CF">
      <w:pPr>
        <w:pStyle w:val="p-footnote"/>
        <w:numPr>
          <w:ilvl w:val="0"/>
          <w:numId w:val="4"/>
        </w:numPr>
      </w:pPr>
      <w:r>
        <w:t>Incl. ISB, NvW en amendementen</w:t>
      </w:r>
    </w:p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168F4" w:rsidR="002618CF" w:rsidP="00A11E73" w:rsidRDefault="002618C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618CF" w:rsidSect="002618CF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D6" w:rsidRDefault="00323CD6">
      <w:pPr>
        <w:spacing w:line="20" w:lineRule="exact"/>
      </w:pPr>
    </w:p>
  </w:endnote>
  <w:endnote w:type="continuationSeparator" w:id="0">
    <w:p w:rsidR="00323CD6" w:rsidRDefault="00323CD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23CD6" w:rsidRDefault="00323CD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E142C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D6" w:rsidRDefault="00323CD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23CD6" w:rsidRDefault="0032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B7C"/>
    <w:multiLevelType w:val="multilevel"/>
    <w:tmpl w:val="7CA06A5A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6"/>
    <w:rsid w:val="00012DBE"/>
    <w:rsid w:val="000A1D81"/>
    <w:rsid w:val="00111ED3"/>
    <w:rsid w:val="001A3FCD"/>
    <w:rsid w:val="001C190E"/>
    <w:rsid w:val="002168F4"/>
    <w:rsid w:val="002618CF"/>
    <w:rsid w:val="002A727C"/>
    <w:rsid w:val="00323CD6"/>
    <w:rsid w:val="00415645"/>
    <w:rsid w:val="005D2707"/>
    <w:rsid w:val="00606255"/>
    <w:rsid w:val="006B607A"/>
    <w:rsid w:val="007D451C"/>
    <w:rsid w:val="00826224"/>
    <w:rsid w:val="00930A23"/>
    <w:rsid w:val="009C7354"/>
    <w:rsid w:val="009E142C"/>
    <w:rsid w:val="009E6D7F"/>
    <w:rsid w:val="00A11E73"/>
    <w:rsid w:val="00A2521E"/>
    <w:rsid w:val="00A45E5E"/>
    <w:rsid w:val="00AE436A"/>
    <w:rsid w:val="00B35AAF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A26E"/>
  <w15:docId w15:val="{73F143CD-CB72-4B45-8356-59C1EB83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2618CF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2618C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2618C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2618CF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2618CF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2618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593</ap:Words>
  <ap:Characters>3631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2022-07-07T12:04:00.0000000Z</dcterms:created>
  <dcterms:modified xsi:type="dcterms:W3CDTF">2022-07-07T12:04:00.0000000Z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