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06AC2" w:rsidR="00CB3578" w:rsidRDefault="00CB3578">
            <w:pPr>
              <w:pStyle w:val="Amendemen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D06AC2">
              <w:rPr>
                <w:rFonts w:ascii="Times New Roman" w:hAnsi="Times New Roman"/>
                <w:szCs w:val="20"/>
              </w:rPr>
              <w:t>De Tweede Kamer der Staten-</w:t>
            </w:r>
            <w:r w:rsidRPr="00D06AC2">
              <w:rPr>
                <w:rFonts w:ascii="Times New Roman" w:hAnsi="Times New Roman"/>
                <w:szCs w:val="20"/>
              </w:rPr>
              <w:fldChar w:fldCharType="begin"/>
            </w:r>
            <w:r w:rsidRPr="00D06AC2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D06AC2">
              <w:rPr>
                <w:rFonts w:ascii="Times New Roman" w:hAnsi="Times New Roman"/>
                <w:szCs w:val="20"/>
              </w:rPr>
              <w:fldChar w:fldCharType="end"/>
            </w: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D06AC2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D06AC2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D06AC2">
              <w:rPr>
                <w:rFonts w:ascii="Times New Roman" w:hAnsi="Times New Roman"/>
                <w:szCs w:val="20"/>
              </w:rPr>
              <w:t>aan de Eerste Kamer.</w:t>
            </w: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D06AC2">
              <w:rPr>
                <w:rFonts w:ascii="Times New Roman" w:hAnsi="Times New Roman"/>
                <w:szCs w:val="20"/>
              </w:rPr>
              <w:t>De Voorzitter,</w:t>
            </w: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06AC2" w:rsidR="00D06AC2" w:rsidP="000D0DF5" w:rsidRDefault="00D06AC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06AC2" w:rsidR="00D06AC2" w:rsidP="000D0DF5" w:rsidRDefault="00D06AC2">
            <w:pPr>
              <w:rPr>
                <w:rFonts w:ascii="Times New Roman" w:hAnsi="Times New Roman"/>
                <w:szCs w:val="20"/>
              </w:rPr>
            </w:pPr>
          </w:p>
          <w:p w:rsidR="00CB3578" w:rsidRDefault="00D06AC2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22 december 2022</w:t>
            </w:r>
          </w:p>
          <w:p w:rsidRPr="00D06AC2" w:rsidR="00D06AC2" w:rsidRDefault="00D06AC2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06AC2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Pr="002168F4" w:rsidR="00D06AC2" w:rsidTr="000F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411E5" w:rsidR="00D06AC2" w:rsidP="000D5BC4" w:rsidRDefault="00D06AC2">
            <w:pPr>
              <w:rPr>
                <w:rFonts w:ascii="Times New Roman" w:hAnsi="Times New Roman"/>
                <w:b/>
                <w:sz w:val="24"/>
              </w:rPr>
            </w:pPr>
            <w:r w:rsidRPr="00150F70">
              <w:rPr>
                <w:rFonts w:ascii="Times New Roman" w:hAnsi="Times New Roman"/>
                <w:b/>
                <w:sz w:val="24"/>
              </w:rPr>
              <w:t>Wijziging van de b</w:t>
            </w:r>
            <w:r>
              <w:rPr>
                <w:rFonts w:ascii="Times New Roman" w:hAnsi="Times New Roman"/>
                <w:b/>
                <w:sz w:val="24"/>
              </w:rPr>
              <w:t>egrotingsstaat van het gemeente</w:t>
            </w:r>
            <w:r w:rsidRPr="00150F70">
              <w:rPr>
                <w:rFonts w:ascii="Times New Roman" w:hAnsi="Times New Roman"/>
                <w:b/>
                <w:sz w:val="24"/>
              </w:rPr>
              <w:t xml:space="preserve">fonds voor het jaar </w:t>
            </w:r>
            <w:r>
              <w:rPr>
                <w:rFonts w:ascii="Times New Roman" w:hAnsi="Times New Roman"/>
                <w:b/>
                <w:sz w:val="24"/>
              </w:rPr>
              <w:t>2022 (Tweede incidentele supple</w:t>
            </w:r>
            <w:r w:rsidRPr="00150F70">
              <w:rPr>
                <w:rFonts w:ascii="Times New Roman" w:hAnsi="Times New Roman"/>
                <w:b/>
                <w:sz w:val="24"/>
              </w:rPr>
              <w:t>toire begroting inzake energietoeslag lage inkomens)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06AC2" w:rsidTr="004D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06AC2" w:rsidRDefault="00D06AC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411E5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11E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11E5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11E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1411E5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11E5">
        <w:rPr>
          <w:rFonts w:ascii="Times New Roman" w:hAnsi="Times New Roman"/>
          <w:sz w:val="24"/>
          <w:szCs w:val="20"/>
        </w:rPr>
        <w:t xml:space="preserve">Alzo Wij in overweging genomen hebben, dat de noodzaak is gebleken van een </w:t>
      </w:r>
      <w:r w:rsidR="00150F70">
        <w:rPr>
          <w:rFonts w:ascii="Times New Roman" w:hAnsi="Times New Roman"/>
          <w:sz w:val="24"/>
          <w:szCs w:val="20"/>
        </w:rPr>
        <w:t xml:space="preserve">wijziging van de </w:t>
      </w:r>
      <w:r w:rsidRPr="001411E5">
        <w:rPr>
          <w:rFonts w:ascii="Times New Roman" w:hAnsi="Times New Roman"/>
          <w:sz w:val="24"/>
          <w:szCs w:val="20"/>
        </w:rPr>
        <w:t xml:space="preserve">begrotingsstaat van het </w:t>
      </w:r>
      <w:r w:rsidR="00150F70">
        <w:rPr>
          <w:rFonts w:ascii="Times New Roman" w:hAnsi="Times New Roman"/>
          <w:sz w:val="24"/>
          <w:szCs w:val="20"/>
        </w:rPr>
        <w:t xml:space="preserve">gemeentefonds </w:t>
      </w:r>
      <w:r w:rsidRPr="001411E5">
        <w:rPr>
          <w:rFonts w:ascii="Times New Roman" w:hAnsi="Times New Roman"/>
          <w:sz w:val="24"/>
          <w:szCs w:val="20"/>
        </w:rPr>
        <w:t>voor het jaar 2022;</w:t>
      </w:r>
    </w:p>
    <w:p w:rsidRPr="001411E5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11E5">
        <w:rPr>
          <w:rFonts w:ascii="Times New Roman" w:hAnsi="Times New Roman"/>
          <w:sz w:val="24"/>
          <w:szCs w:val="20"/>
        </w:rPr>
        <w:t xml:space="preserve">Zo is het, </w:t>
      </w:r>
      <w:r w:rsidRPr="00150F70" w:rsidR="00150F70">
        <w:rPr>
          <w:rFonts w:ascii="Times New Roman" w:hAnsi="Times New Roman"/>
          <w:sz w:val="24"/>
          <w:szCs w:val="20"/>
        </w:rPr>
        <w:t>dat Wij, de Afdeling advisering van de Ra</w:t>
      </w:r>
      <w:r w:rsidR="00150F70">
        <w:rPr>
          <w:rFonts w:ascii="Times New Roman" w:hAnsi="Times New Roman"/>
          <w:sz w:val="24"/>
          <w:szCs w:val="20"/>
        </w:rPr>
        <w:t>ad van State gehoord, en met ge</w:t>
      </w:r>
      <w:r w:rsidRPr="00150F70" w:rsidR="00150F70">
        <w:rPr>
          <w:rFonts w:ascii="Times New Roman" w:hAnsi="Times New Roman"/>
          <w:sz w:val="24"/>
          <w:szCs w:val="20"/>
        </w:rPr>
        <w:t>meen overleg der Staten-Generaal, hebb</w:t>
      </w:r>
      <w:r w:rsidR="00150F70">
        <w:rPr>
          <w:rFonts w:ascii="Times New Roman" w:hAnsi="Times New Roman"/>
          <w:sz w:val="24"/>
          <w:szCs w:val="20"/>
        </w:rPr>
        <w:t>en goedgevonden en verstaan, ge</w:t>
      </w:r>
      <w:r w:rsidRPr="00150F70" w:rsidR="00150F70">
        <w:rPr>
          <w:rFonts w:ascii="Times New Roman" w:hAnsi="Times New Roman"/>
          <w:sz w:val="24"/>
          <w:szCs w:val="20"/>
        </w:rPr>
        <w:t>lijk Wij goedvinden en verstaan bij deze</w:t>
      </w:r>
      <w:r w:rsidRPr="001411E5">
        <w:rPr>
          <w:rFonts w:ascii="Times New Roman" w:hAnsi="Times New Roman"/>
          <w:sz w:val="24"/>
          <w:szCs w:val="20"/>
        </w:rPr>
        <w:t>:</w:t>
      </w: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411E5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411E5">
        <w:rPr>
          <w:rFonts w:ascii="Times New Roman" w:hAnsi="Times New Roman"/>
          <w:b/>
          <w:sz w:val="24"/>
          <w:szCs w:val="20"/>
        </w:rPr>
        <w:t>Artikel 1</w:t>
      </w: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11E5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50F70" w:rsidR="00150F70">
        <w:rPr>
          <w:rFonts w:ascii="Times New Roman" w:hAnsi="Times New Roman"/>
          <w:sz w:val="24"/>
          <w:szCs w:val="20"/>
        </w:rPr>
        <w:t xml:space="preserve">De begrotingsstaat van het gemeentefonds </w:t>
      </w:r>
      <w:r w:rsidR="00150F70">
        <w:rPr>
          <w:rFonts w:ascii="Times New Roman" w:hAnsi="Times New Roman"/>
          <w:sz w:val="24"/>
          <w:szCs w:val="20"/>
        </w:rPr>
        <w:t>(B) voor het jaar 2022 wordt ge</w:t>
      </w:r>
      <w:r w:rsidRPr="00150F70" w:rsidR="00150F70">
        <w:rPr>
          <w:rFonts w:ascii="Times New Roman" w:hAnsi="Times New Roman"/>
          <w:sz w:val="24"/>
          <w:szCs w:val="20"/>
        </w:rPr>
        <w:t>wijzigd, zoals blijkt uit de desbetreffende bij deze wet behorende staat.</w:t>
      </w: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411E5" w:rsidR="001411E5" w:rsidP="00150F70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411E5">
        <w:rPr>
          <w:rFonts w:ascii="Times New Roman" w:hAnsi="Times New Roman"/>
          <w:b/>
          <w:sz w:val="24"/>
          <w:szCs w:val="20"/>
        </w:rPr>
        <w:t>Artikel 2</w:t>
      </w: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50F70" w:rsidR="00150F70">
        <w:rPr>
          <w:rFonts w:ascii="Times New Roman" w:hAnsi="Times New Roman"/>
          <w:sz w:val="24"/>
          <w:szCs w:val="20"/>
        </w:rPr>
        <w:t>De vaststelling van de begrotingsstaat geschiedt in duizenden euro’s.</w:t>
      </w:r>
      <w:r w:rsidR="00150F70">
        <w:rPr>
          <w:rFonts w:ascii="Times New Roman" w:hAnsi="Times New Roman"/>
          <w:sz w:val="24"/>
          <w:szCs w:val="20"/>
        </w:rPr>
        <w:t xml:space="preserve"> </w:t>
      </w:r>
    </w:p>
    <w:p w:rsidR="00150F70" w:rsidP="001411E5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150F70" w:rsidP="001411E5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3</w:t>
      </w:r>
    </w:p>
    <w:p w:rsidR="00150F70" w:rsidP="001411E5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50F70" w:rsidR="00150F70" w:rsidP="001411E5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 w:rsidRPr="00150F70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150F70">
        <w:rPr>
          <w:rFonts w:ascii="Times New Roman" w:hAnsi="Times New Roman"/>
          <w:sz w:val="24"/>
          <w:szCs w:val="20"/>
        </w:rPr>
        <w:t>Fvw</w:t>
      </w:r>
      <w:proofErr w:type="spellEnd"/>
      <w:r w:rsidRPr="00150F70">
        <w:rPr>
          <w:rFonts w:ascii="Times New Roman" w:hAnsi="Times New Roman"/>
          <w:sz w:val="24"/>
          <w:szCs w:val="20"/>
        </w:rPr>
        <w:t>) ter zake van de al</w:t>
      </w:r>
      <w:r>
        <w:rPr>
          <w:rFonts w:ascii="Times New Roman" w:hAnsi="Times New Roman"/>
          <w:sz w:val="24"/>
          <w:szCs w:val="20"/>
        </w:rPr>
        <w:t>gemene uitkeringen en de aanvul</w:t>
      </w:r>
      <w:r w:rsidRPr="00150F70">
        <w:rPr>
          <w:rFonts w:ascii="Times New Roman" w:hAnsi="Times New Roman"/>
          <w:sz w:val="24"/>
          <w:szCs w:val="20"/>
        </w:rPr>
        <w:t>lende uitkeringen wordt voor het uitkeringsjaar 2022 gewijzigd in € 33.697.562.000. Het verplichtingenbedrag ter zake van de decentralisatie-uitkeringen wordt voor het uitkeringsjaar 2022 gewijzigd in €1.611.305.000.</w:t>
      </w:r>
    </w:p>
    <w:p w:rsidR="00150F70" w:rsidP="001411E5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411E5" w:rsidR="001411E5" w:rsidP="001411E5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4</w:t>
      </w: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11E5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11E5">
        <w:rPr>
          <w:rFonts w:ascii="Times New Roman" w:hAnsi="Times New Roman"/>
          <w:sz w:val="24"/>
          <w:szCs w:val="20"/>
        </w:rPr>
        <w:t xml:space="preserve">Deze wet treedt in werking met ingang van </w:t>
      </w:r>
      <w:r w:rsidR="00150F70">
        <w:rPr>
          <w:rFonts w:ascii="Times New Roman" w:hAnsi="Times New Roman"/>
          <w:sz w:val="24"/>
          <w:szCs w:val="20"/>
        </w:rPr>
        <w:t>20 september</w:t>
      </w:r>
      <w:r w:rsidRPr="001411E5">
        <w:rPr>
          <w:rFonts w:ascii="Times New Roman" w:hAnsi="Times New Roman"/>
          <w:sz w:val="24"/>
          <w:szCs w:val="20"/>
        </w:rPr>
        <w:t xml:space="preserve"> van het onderhavige begrotingsjaar. Indien het Staatsblad waarin deze wet wordt geplaatst, wordt uitgegeven op of na deze datum van</w:t>
      </w:r>
      <w:r w:rsidR="00150F70">
        <w:rPr>
          <w:rFonts w:ascii="Times New Roman" w:hAnsi="Times New Roman"/>
          <w:sz w:val="24"/>
          <w:szCs w:val="20"/>
        </w:rPr>
        <w:t xml:space="preserve"> 20 september 2022</w:t>
      </w:r>
      <w:r w:rsidRPr="001411E5">
        <w:rPr>
          <w:rFonts w:ascii="Times New Roman" w:hAnsi="Times New Roman"/>
          <w:sz w:val="24"/>
          <w:szCs w:val="20"/>
        </w:rPr>
        <w:t xml:space="preserve">, treedt zij in werking met ingang van de dag na de datum van uitgifte van dat Staatsblad en werkt zij terug tot en met </w:t>
      </w:r>
      <w:r w:rsidR="00150F70">
        <w:rPr>
          <w:rFonts w:ascii="Times New Roman" w:hAnsi="Times New Roman"/>
          <w:sz w:val="24"/>
          <w:szCs w:val="20"/>
        </w:rPr>
        <w:t>20 september 2022</w:t>
      </w:r>
      <w:r w:rsidRPr="001411E5">
        <w:rPr>
          <w:rFonts w:ascii="Times New Roman" w:hAnsi="Times New Roman"/>
          <w:sz w:val="24"/>
          <w:szCs w:val="20"/>
        </w:rPr>
        <w:t>.</w:t>
      </w: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11E5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411E5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1411E5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411E5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411E5">
        <w:rPr>
          <w:rFonts w:ascii="Times New Roman" w:hAnsi="Times New Roman"/>
          <w:sz w:val="24"/>
          <w:szCs w:val="20"/>
        </w:rPr>
        <w:t>Gegeven</w:t>
      </w:r>
    </w:p>
    <w:p w:rsidR="00CB3578" w:rsidP="001411E5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50F70" w:rsidP="001411E5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50F70" w:rsidR="00150F70" w:rsidP="00150F70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411E5">
        <w:rPr>
          <w:rFonts w:ascii="Times New Roman" w:hAnsi="Times New Roman"/>
          <w:sz w:val="24"/>
          <w:szCs w:val="20"/>
        </w:rPr>
        <w:t xml:space="preserve">De Minister van </w:t>
      </w:r>
      <w:r w:rsidRPr="00150F70" w:rsidR="00150F70">
        <w:rPr>
          <w:rFonts w:ascii="Times New Roman" w:hAnsi="Times New Roman"/>
          <w:sz w:val="24"/>
          <w:szCs w:val="20"/>
        </w:rPr>
        <w:t>Binnenlandse Zaken en Koninkrijksrelaties</w:t>
      </w:r>
      <w:r w:rsidR="00150F70">
        <w:rPr>
          <w:rFonts w:ascii="Times New Roman" w:hAnsi="Times New Roman"/>
          <w:sz w:val="24"/>
          <w:szCs w:val="20"/>
        </w:rPr>
        <w:t>,</w:t>
      </w:r>
    </w:p>
    <w:p w:rsidR="00150F70" w:rsidP="00150F70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50F70" w:rsidP="00150F70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50F70" w:rsidP="00150F70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50F70" w:rsidP="00150F70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50F70" w:rsidP="00150F70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50F70" w:rsidP="00150F70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50F70" w:rsidR="00150F70" w:rsidP="00150F70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50F70" w:rsidR="00150F70" w:rsidP="00150F70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411E5" w:rsidP="00150F70" w:rsidRDefault="00150F7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50F70">
        <w:rPr>
          <w:rFonts w:ascii="Times New Roman" w:hAnsi="Times New Roman"/>
          <w:sz w:val="24"/>
          <w:szCs w:val="20"/>
        </w:rPr>
        <w:t>De Staatssecretaris van Financiën</w:t>
      </w:r>
      <w:r>
        <w:rPr>
          <w:rFonts w:ascii="Times New Roman" w:hAnsi="Times New Roman"/>
          <w:sz w:val="24"/>
          <w:szCs w:val="20"/>
        </w:rPr>
        <w:t>,</w:t>
      </w: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50F70"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411E5">
        <w:rPr>
          <w:rFonts w:ascii="Times New Roman" w:hAnsi="Times New Roman"/>
          <w:sz w:val="24"/>
          <w:szCs w:val="20"/>
        </w:rPr>
        <w:t xml:space="preserve">De Minister van </w:t>
      </w:r>
      <w:r w:rsidRPr="00150F70">
        <w:rPr>
          <w:rFonts w:ascii="Times New Roman" w:hAnsi="Times New Roman"/>
          <w:sz w:val="24"/>
          <w:szCs w:val="20"/>
        </w:rPr>
        <w:t>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50F70"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50F70" w:rsidR="00D06AC2" w:rsidP="00D06AC2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06AC2" w:rsidP="00150F70" w:rsidRDefault="00D06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50F70">
        <w:rPr>
          <w:rFonts w:ascii="Times New Roman" w:hAnsi="Times New Roman"/>
          <w:sz w:val="24"/>
          <w:szCs w:val="20"/>
        </w:rPr>
        <w:t>De Staatssecretaris van Financiën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</w:p>
    <w:p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1411E5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935EC7" w:rsidP="00935EC7" w:rsidRDefault="00935EC7">
      <w:pPr>
        <w:pStyle w:val="page-break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1384"/>
        <w:gridCol w:w="1386"/>
        <w:gridCol w:w="1208"/>
        <w:gridCol w:w="1303"/>
        <w:gridCol w:w="1266"/>
        <w:gridCol w:w="940"/>
        <w:gridCol w:w="1181"/>
      </w:tblGrid>
      <w:tr w:rsidR="00935EC7" w:rsidTr="00935EC7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935EC7" w:rsidP="00006910" w:rsidRDefault="00935EC7">
            <w:pPr>
              <w:pStyle w:val="kio2-table-title"/>
            </w:pPr>
            <w:r>
              <w:t>Tabel 1 Wijziging begrotingsstaat van het gemeentefonds (B) voor het jaar 2022 (Tweede incidentele suppletoire begroting inzake energietoeslag lage inkomens) (bedragen x € 1.000)</w:t>
            </w:r>
          </w:p>
        </w:tc>
      </w:tr>
      <w:tr w:rsidR="00935EC7" w:rsidTr="00935EC7">
        <w:trPr>
          <w:tblHeader/>
        </w:trPr>
        <w:tc>
          <w:tcPr>
            <w:tcW w:w="222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76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2148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5EC7" w:rsidP="00006910" w:rsidRDefault="00935EC7">
            <w:pPr>
              <w:pStyle w:val="p-table"/>
            </w:pPr>
            <w:r>
              <w:rPr>
                <w:color w:val="000000"/>
                <w:sz w:val="17"/>
              </w:rPr>
              <w:t>Vastgestelde begroting na 1e suppletoire begroting</w:t>
            </w:r>
            <w:r>
              <w:rPr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186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2e Incidentele Suppletoire Begroting</w:t>
            </w:r>
          </w:p>
        </w:tc>
      </w:tr>
      <w:tr w:rsidR="00935EC7" w:rsidTr="00935EC7">
        <w:tc>
          <w:tcPr>
            <w:tcW w:w="22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</w:p>
        </w:tc>
        <w:tc>
          <w:tcPr>
            <w:tcW w:w="7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</w:p>
        </w:tc>
        <w:tc>
          <w:tcPr>
            <w:tcW w:w="76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935EC7" w:rsidP="00006910" w:rsidRDefault="00935EC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6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7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6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5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6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935EC7" w:rsidTr="00935EC7">
        <w:tc>
          <w:tcPr>
            <w:tcW w:w="22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</w:p>
        </w:tc>
        <w:tc>
          <w:tcPr>
            <w:tcW w:w="7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</w:p>
        </w:tc>
        <w:tc>
          <w:tcPr>
            <w:tcW w:w="76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</w:p>
        </w:tc>
        <w:tc>
          <w:tcPr>
            <w:tcW w:w="6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</w:p>
        </w:tc>
        <w:tc>
          <w:tcPr>
            <w:tcW w:w="7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</w:p>
        </w:tc>
        <w:tc>
          <w:tcPr>
            <w:tcW w:w="6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</w:p>
        </w:tc>
        <w:tc>
          <w:tcPr>
            <w:tcW w:w="5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</w:p>
        </w:tc>
        <w:tc>
          <w:tcPr>
            <w:tcW w:w="6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  <w:rPr>
                <w:sz w:val="17"/>
              </w:rPr>
            </w:pPr>
          </w:p>
        </w:tc>
      </w:tr>
      <w:tr w:rsidR="00935EC7" w:rsidTr="00935EC7">
        <w:tc>
          <w:tcPr>
            <w:tcW w:w="22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7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</w:pPr>
            <w:r>
              <w:rPr>
                <w:b/>
                <w:sz w:val="17"/>
              </w:rPr>
              <w:t>Gemeentefonds</w:t>
            </w:r>
          </w:p>
        </w:tc>
        <w:tc>
          <w:tcPr>
            <w:tcW w:w="76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35EC7" w:rsidP="00006910" w:rsidRDefault="00935EC7">
            <w:pPr>
              <w:pStyle w:val="p-table"/>
            </w:pPr>
            <w:r>
              <w:rPr>
                <w:b/>
                <w:sz w:val="17"/>
              </w:rPr>
              <w:t>39.099.270</w:t>
            </w:r>
          </w:p>
        </w:tc>
        <w:tc>
          <w:tcPr>
            <w:tcW w:w="6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35EC7" w:rsidP="00006910" w:rsidRDefault="00935EC7">
            <w:pPr>
              <w:pStyle w:val="p-table"/>
            </w:pPr>
            <w:r>
              <w:rPr>
                <w:b/>
                <w:sz w:val="17"/>
              </w:rPr>
              <w:t>39.360.718</w:t>
            </w:r>
          </w:p>
        </w:tc>
        <w:tc>
          <w:tcPr>
            <w:tcW w:w="7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35EC7" w:rsidP="00006910" w:rsidRDefault="00935EC7">
            <w:pPr>
              <w:pStyle w:val="p-table"/>
            </w:pPr>
            <w:r>
              <w:rPr>
                <w:b/>
                <w:sz w:val="17"/>
              </w:rPr>
              <w:t>39.360.718</w:t>
            </w:r>
          </w:p>
        </w:tc>
        <w:tc>
          <w:tcPr>
            <w:tcW w:w="6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</w:pPr>
            <w:r>
              <w:rPr>
                <w:b/>
                <w:sz w:val="17"/>
              </w:rPr>
              <w:t>520.000</w:t>
            </w:r>
          </w:p>
        </w:tc>
        <w:tc>
          <w:tcPr>
            <w:tcW w:w="5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</w:pPr>
            <w:r>
              <w:rPr>
                <w:b/>
                <w:sz w:val="17"/>
              </w:rPr>
              <w:t>520.000</w:t>
            </w:r>
          </w:p>
        </w:tc>
        <w:tc>
          <w:tcPr>
            <w:tcW w:w="6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35EC7" w:rsidP="00006910" w:rsidRDefault="00935EC7">
            <w:pPr>
              <w:pStyle w:val="p-table"/>
            </w:pPr>
            <w:r>
              <w:rPr>
                <w:b/>
                <w:sz w:val="17"/>
              </w:rPr>
              <w:t>520.000</w:t>
            </w:r>
          </w:p>
        </w:tc>
      </w:tr>
    </w:tbl>
    <w:p w:rsidR="00935EC7" w:rsidP="00935EC7" w:rsidRDefault="00935EC7">
      <w:pPr>
        <w:pStyle w:val="p-footnote"/>
        <w:numPr>
          <w:ilvl w:val="0"/>
          <w:numId w:val="2"/>
        </w:numPr>
      </w:pPr>
      <w:r>
        <w:t xml:space="preserve">Stand is inclusief de ontwerpbegroting (Kamerstukken II 2021/22, </w:t>
      </w:r>
      <w:hyperlink w:history="1" r:id="rId9">
        <w:r>
          <w:rPr>
            <w:color w:val="548DD4"/>
            <w:u w:val="single"/>
          </w:rPr>
          <w:t>35925 B, nr. 1</w:t>
        </w:r>
      </w:hyperlink>
      <w:r>
        <w:t xml:space="preserve">), drie </w:t>
      </w:r>
      <w:proofErr w:type="spellStart"/>
      <w:r>
        <w:t>NvW's</w:t>
      </w:r>
      <w:proofErr w:type="spellEnd"/>
      <w:r>
        <w:t xml:space="preserve"> op de ontwerpbegroting (Kamerstukken II 2021/22, </w:t>
      </w:r>
      <w:hyperlink w:history="1" r:id="rId10">
        <w:r>
          <w:rPr>
            <w:color w:val="548DD4"/>
            <w:u w:val="single"/>
          </w:rPr>
          <w:t>35925 B, nr. 6</w:t>
        </w:r>
      </w:hyperlink>
      <w:r>
        <w:t xml:space="preserve">, Kamerstukken II 2021/22, </w:t>
      </w:r>
      <w:hyperlink w:history="1" r:id="rId11">
        <w:r>
          <w:rPr>
            <w:color w:val="548DD4"/>
            <w:u w:val="single"/>
          </w:rPr>
          <w:t>35925 B, nr. 13</w:t>
        </w:r>
      </w:hyperlink>
      <w:r>
        <w:t xml:space="preserve"> en Kamerstukken II 2021/22, </w:t>
      </w:r>
      <w:hyperlink w:history="1" r:id="rId12">
        <w:r>
          <w:rPr>
            <w:color w:val="548DD4"/>
            <w:u w:val="single"/>
          </w:rPr>
          <w:t>35925 B, nr. 15</w:t>
        </w:r>
      </w:hyperlink>
      <w:r>
        <w:t xml:space="preserve">), de incidentele suppletoire begroting (Kamerstukken II 2021/22, </w:t>
      </w:r>
      <w:hyperlink w:history="1" r:id="rId13">
        <w:r>
          <w:rPr>
            <w:color w:val="548DD4"/>
            <w:u w:val="single"/>
          </w:rPr>
          <w:t>36065, nr. 2</w:t>
        </w:r>
      </w:hyperlink>
      <w:r>
        <w:t xml:space="preserve">), eerste suppletoire begroting (Kamerstukken II 2021/22, </w:t>
      </w:r>
      <w:hyperlink w:history="1" r:id="rId14">
        <w:r>
          <w:rPr>
            <w:color w:val="548DD4"/>
            <w:u w:val="single"/>
          </w:rPr>
          <w:t>36120 B, nr. 1</w:t>
        </w:r>
      </w:hyperlink>
      <w:r>
        <w:t xml:space="preserve">) en twee </w:t>
      </w:r>
      <w:proofErr w:type="spellStart"/>
      <w:r>
        <w:t>NvW's</w:t>
      </w:r>
      <w:proofErr w:type="spellEnd"/>
      <w:r>
        <w:t xml:space="preserve"> op de eerste suppletoire begroting (Kamerstukken II 2021/22, </w:t>
      </w:r>
      <w:hyperlink w:history="1" r:id="rId15">
        <w:r>
          <w:rPr>
            <w:color w:val="548DD4"/>
            <w:u w:val="single"/>
          </w:rPr>
          <w:t>36120 B, nr. 5</w:t>
        </w:r>
      </w:hyperlink>
      <w:r>
        <w:t xml:space="preserve"> en Kamerstukken II 2021/22, </w:t>
      </w:r>
      <w:hyperlink w:history="1" r:id="rId16">
        <w:r>
          <w:rPr>
            <w:color w:val="548DD4"/>
            <w:u w:val="single"/>
          </w:rPr>
          <w:t>36120 B, nr. 6</w:t>
        </w:r>
      </w:hyperlink>
      <w:r>
        <w:t>)</w:t>
      </w:r>
    </w:p>
    <w:p w:rsidRPr="002168F4" w:rsidR="001411E5" w:rsidP="001411E5" w:rsidRDefault="00141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1411E5" w:rsidSect="00935EC7">
      <w:pgSz w:w="11906" w:h="16838"/>
      <w:pgMar w:top="1417" w:right="1417" w:bottom="1417" w:left="1417" w:header="357" w:footer="1440" w:gutter="0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E5" w:rsidRDefault="001411E5">
      <w:pPr>
        <w:spacing w:line="20" w:lineRule="exact"/>
      </w:pPr>
    </w:p>
  </w:endnote>
  <w:endnote w:type="continuationSeparator" w:id="0">
    <w:p w:rsidR="001411E5" w:rsidRDefault="001411E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411E5" w:rsidRDefault="001411E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82467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E5" w:rsidRDefault="001411E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411E5" w:rsidRDefault="0014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27036"/>
    <w:multiLevelType w:val="multilevel"/>
    <w:tmpl w:val="472A8776"/>
    <w:styleLink w:val="ol-footnotes"/>
    <w:lvl w:ilvl="0">
      <w:start w:val="1"/>
      <w:numFmt w:val="decimal"/>
      <w:lvlText w:val="%1"/>
      <w:lvlJc w:val="left"/>
      <w:pPr>
        <w:ind w:left="3340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E5"/>
    <w:rsid w:val="00012DBE"/>
    <w:rsid w:val="000A1D81"/>
    <w:rsid w:val="00111ED3"/>
    <w:rsid w:val="001411E5"/>
    <w:rsid w:val="00150F70"/>
    <w:rsid w:val="001C190E"/>
    <w:rsid w:val="002168F4"/>
    <w:rsid w:val="002A727C"/>
    <w:rsid w:val="005D2707"/>
    <w:rsid w:val="00606255"/>
    <w:rsid w:val="006B607A"/>
    <w:rsid w:val="007D451C"/>
    <w:rsid w:val="00826224"/>
    <w:rsid w:val="00882467"/>
    <w:rsid w:val="00930A23"/>
    <w:rsid w:val="00935EC7"/>
    <w:rsid w:val="009C7354"/>
    <w:rsid w:val="009E6D7F"/>
    <w:rsid w:val="00A11E73"/>
    <w:rsid w:val="00A219DA"/>
    <w:rsid w:val="00A2521E"/>
    <w:rsid w:val="00AE436A"/>
    <w:rsid w:val="00C135B1"/>
    <w:rsid w:val="00C92DF8"/>
    <w:rsid w:val="00CB3578"/>
    <w:rsid w:val="00D06AC2"/>
    <w:rsid w:val="00D20AFA"/>
    <w:rsid w:val="00D55648"/>
    <w:rsid w:val="00E16443"/>
    <w:rsid w:val="00E36EE9"/>
    <w:rsid w:val="00F13442"/>
    <w:rsid w:val="00F65F1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AF19D"/>
  <w15:docId w15:val="{E407E0D8-111A-4CDA-A22D-4DB4CA79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1411E5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1411E5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footnote">
    <w:name w:val="p-footnote"/>
    <w:rsid w:val="00935EC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page-break">
    <w:name w:val="page-break"/>
    <w:rsid w:val="00935EC7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935EC7"/>
    <w:pPr>
      <w:numPr>
        <w:numId w:val="1"/>
      </w:numPr>
    </w:pPr>
  </w:style>
  <w:style w:type="paragraph" w:customStyle="1" w:styleId="avmp">
    <w:name w:val="avmp"/>
    <w:rsid w:val="00D06AC2"/>
  </w:style>
  <w:style w:type="paragraph" w:styleId="Ballontekst">
    <w:name w:val="Balloon Text"/>
    <w:basedOn w:val="Standaard"/>
    <w:link w:val="BallontekstChar"/>
    <w:semiHidden/>
    <w:unhideWhenUsed/>
    <w:rsid w:val="0088246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88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zoek.officielebekendmakingen.nl/kst-36065-2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zoek.officielebekendmakingen.nl/kst-35925-B-1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oek.officielebekendmakingen.nl/kst-36120-B-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ek.officielebekendmakingen.nl/kst-35925-B-1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oek.officielebekendmakingen.nl/kst-36120-B-5.html" TargetMode="External"/><Relationship Id="rId10" Type="http://schemas.openxmlformats.org/officeDocument/2006/relationships/hyperlink" Target="https://zoek.officielebekendmakingen.nl/kst-35925-B-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5925-B-1.html" TargetMode="External"/><Relationship Id="rId14" Type="http://schemas.openxmlformats.org/officeDocument/2006/relationships/hyperlink" Target="https://zoek.officielebekendmakingen.nl/kst-36120-B-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457</ap:Words>
  <ap:Characters>3404</ap:Characters>
  <ap:DocSecurity>0</ap:DocSecurity>
  <ap:Lines>28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2022-12-22T12:59:00.0000000Z</lastPrinted>
  <dcterms:created xsi:type="dcterms:W3CDTF">2022-12-22T12:13:00.0000000Z</dcterms:created>
  <dcterms:modified xsi:type="dcterms:W3CDTF">2022-12-22T13:05:00.0000000Z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