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227F" w:rsidR="00A828E3" w:rsidRDefault="00E02D08">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5926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736908">
                              <w:t>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D14A89">
                            <w:pPr>
                              <w:pStyle w:val="Huisstijl-Agendatitel"/>
                              <w:ind w:left="0" w:firstLine="0"/>
                              <w:jc w:val="right"/>
                            </w:pPr>
                            <w:r>
                              <w:t>22 december 2022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736908">
                        <w:t>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D14A89">
                      <w:pPr>
                        <w:pStyle w:val="Huisstijl-Agendatitel"/>
                        <w:ind w:left="0" w:firstLine="0"/>
                        <w:jc w:val="right"/>
                      </w:pPr>
                      <w:r>
                        <w:t>22 december 2022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57216"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A9227F" w:rsidR="00E02D08" w:rsidP="00C727FA" w:rsidRDefault="00E02D08">
      <w:pPr>
        <w:rPr>
          <w:b/>
          <w:szCs w:val="18"/>
        </w:rPr>
      </w:pPr>
      <w:r w:rsidRPr="00A9227F">
        <w:rPr>
          <w:b/>
          <w:szCs w:val="18"/>
        </w:rPr>
        <w:t xml:space="preserve">Lijst van nieuwe EU-voorstellen </w:t>
      </w:r>
    </w:p>
    <w:p w:rsidRPr="00A9227F" w:rsidR="00E02D08" w:rsidP="00C727FA" w:rsidRDefault="00E02D08">
      <w:pPr>
        <w:rPr>
          <w:b/>
          <w:szCs w:val="18"/>
        </w:rPr>
      </w:pPr>
    </w:p>
    <w:p w:rsidRPr="00A9227F" w:rsidR="005115F8" w:rsidP="005115F8" w:rsidRDefault="005115F8">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w:t>
      </w:r>
      <w:bookmarkStart w:name="_GoBack" w:id="0"/>
      <w:bookmarkEnd w:id="0"/>
      <w:r w:rsidRPr="00A9227F">
        <w:rPr>
          <w:rFonts w:ascii="Verdana" w:hAnsi="Verdana"/>
          <w:sz w:val="18"/>
          <w:szCs w:val="18"/>
        </w:rPr>
        <w:t>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pPr>
        <w:rPr>
          <w:szCs w:val="18"/>
        </w:rPr>
      </w:pPr>
    </w:p>
    <w:p w:rsidRPr="00A9227F" w:rsidR="00820149" w:rsidP="00820149" w:rsidRDefault="00D27FE7">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Pr="00A9227F" w:rsidR="00970CA0" w:rsidP="00C727FA" w:rsidRDefault="00970CA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5C2F48"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5C16CC" w:rsidR="002A4BD8" w:rsidP="00172FFF" w:rsidRDefault="005C16CC">
            <w:pPr>
              <w:spacing w:after="240"/>
              <w:rPr>
                <w:rStyle w:val="Hyperlink"/>
                <w:szCs w:val="18"/>
                <w:lang w:val="en-GB"/>
              </w:rPr>
            </w:pPr>
            <w:r w:rsidRPr="005C16CC">
              <w:rPr>
                <w:szCs w:val="18"/>
                <w:lang w:val="en-GB"/>
              </w:rPr>
              <w:t xml:space="preserve">Proposal for a COUNCIL DIRECTIVE amending Directive 2006/112/EC as regards VAT rules for the digital age </w:t>
            </w:r>
            <w:hyperlink w:history="1" r:id="rId15">
              <w:r w:rsidRPr="005C16CC">
                <w:rPr>
                  <w:rStyle w:val="Hyperlink"/>
                  <w:szCs w:val="18"/>
                  <w:lang w:val="en-GB"/>
                </w:rPr>
                <w:t>COM(2022)701</w:t>
              </w:r>
            </w:hyperlink>
          </w:p>
          <w:p w:rsidRPr="005C16CC" w:rsidR="005C16CC" w:rsidP="00172FFF" w:rsidRDefault="005C16CC">
            <w:pPr>
              <w:spacing w:after="240"/>
              <w:rPr>
                <w:rStyle w:val="Hyperlink"/>
                <w:szCs w:val="18"/>
                <w:lang w:val="en-GB"/>
              </w:rPr>
            </w:pPr>
            <w:r w:rsidRPr="005C16CC">
              <w:rPr>
                <w:szCs w:val="18"/>
                <w:lang w:val="en-GB"/>
              </w:rPr>
              <w:t xml:space="preserve">Proposal for a COUNCIL REGULATION amending Regulation (EU) No 904/2010 as regards the VAT administrative cooperation arrangements needed for the digital age </w:t>
            </w:r>
            <w:hyperlink w:history="1" r:id="rId16">
              <w:r w:rsidRPr="005C16CC">
                <w:rPr>
                  <w:rStyle w:val="Hyperlink"/>
                  <w:szCs w:val="18"/>
                  <w:lang w:val="en-GB"/>
                </w:rPr>
                <w:t>COM(2022)703</w:t>
              </w:r>
            </w:hyperlink>
          </w:p>
          <w:p w:rsidRPr="005C16CC" w:rsidR="005C16CC" w:rsidP="005C16CC" w:rsidRDefault="005C16CC">
            <w:pPr>
              <w:shd w:val="clear" w:color="auto" w:fill="FFFFFF"/>
              <w:spacing w:after="75"/>
              <w:rPr>
                <w:szCs w:val="18"/>
                <w:lang w:val="en-GB" w:eastAsia="nl-NL"/>
              </w:rPr>
            </w:pPr>
            <w:r w:rsidRPr="005C16CC">
              <w:rPr>
                <w:szCs w:val="18"/>
                <w:lang w:val="en-GB"/>
              </w:rPr>
              <w:t xml:space="preserve">Proposal for a COUNCIL IMPLEMENTING REGULATION amending Implementing Regulation (EU) No 282/2011 as regards information requirements for certain VAT schemes </w:t>
            </w:r>
            <w:hyperlink w:history="1" r:id="rId17">
              <w:r w:rsidRPr="005C16CC">
                <w:rPr>
                  <w:rStyle w:val="Hyperlink"/>
                  <w:szCs w:val="18"/>
                  <w:lang w:val="en-GB"/>
                </w:rPr>
                <w:t>COM(2022)704</w:t>
              </w:r>
            </w:hyperlink>
          </w:p>
          <w:p w:rsidRPr="005C16CC" w:rsidR="005C16CC" w:rsidP="00172FFF" w:rsidRDefault="005C16CC">
            <w:pPr>
              <w:spacing w:after="240"/>
              <w:rPr>
                <w:b/>
                <w:color w:val="595959" w:themeColor="text1" w:themeTint="A6"/>
                <w:szCs w:val="18"/>
                <w:lang w:val="en-GB"/>
              </w:rPr>
            </w:pP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5C16CC" w:rsidR="002A4BD8" w:rsidP="003A21AA" w:rsidRDefault="002A4BD8">
            <w:pPr>
              <w:spacing w:after="240"/>
              <w:rPr>
                <w:szCs w:val="18"/>
                <w:lang w:val="en-GB"/>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65221B" w:rsidRDefault="005C16CC">
            <w:pPr>
              <w:spacing w:after="240"/>
              <w:rPr>
                <w:szCs w:val="18"/>
              </w:rPr>
            </w:pPr>
            <w:r>
              <w:rPr>
                <w:szCs w:val="18"/>
              </w:rPr>
              <w:t xml:space="preserve">BNC-fiches afwachten en agenderen voor een </w:t>
            </w:r>
            <w:r w:rsidR="0065221B">
              <w:rPr>
                <w:szCs w:val="18"/>
              </w:rPr>
              <w:t>schriftelijk</w:t>
            </w:r>
            <w:r>
              <w:rPr>
                <w:szCs w:val="18"/>
              </w:rPr>
              <w:t xml:space="preserve"> overleg </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5C16CC" w:rsidR="002A4BD8" w:rsidP="006C4B63" w:rsidRDefault="005C16CC">
            <w:pPr>
              <w:spacing w:after="240"/>
              <w:rPr>
                <w:i/>
                <w:color w:val="595959" w:themeColor="text1" w:themeTint="A6"/>
                <w:szCs w:val="18"/>
              </w:rPr>
            </w:pPr>
            <w:r w:rsidRPr="005C16CC">
              <w:rPr>
                <w:i/>
                <w:color w:val="595959" w:themeColor="text1" w:themeTint="A6"/>
                <w:szCs w:val="18"/>
              </w:rPr>
              <w:t>De drie voorstellen maken deel uit van een op 8 december jl. gelanceerd pakket maatregelen voorgesteld om het btw-stelsel van de EU te moderniseren, en fraudebestendiger en bedrijfsvriendelijker te maken</w:t>
            </w:r>
            <w:r w:rsidR="006C4B63">
              <w:rPr>
                <w:i/>
                <w:color w:val="595959" w:themeColor="text1" w:themeTint="A6"/>
                <w:szCs w:val="18"/>
              </w:rPr>
              <w:t>. Dit o</w:t>
            </w:r>
            <w:r w:rsidRPr="005C16CC">
              <w:rPr>
                <w:i/>
                <w:color w:val="595959" w:themeColor="text1" w:themeTint="A6"/>
                <w:szCs w:val="18"/>
              </w:rPr>
              <w:t xml:space="preserve">nder meer door in te zetten op verdere digitalisering. </w:t>
            </w:r>
          </w:p>
        </w:tc>
      </w:tr>
    </w:tbl>
    <w:p w:rsidR="001666FE" w:rsidP="001666FE" w:rsidRDefault="001666FE">
      <w:pPr>
        <w:rPr>
          <w:szCs w:val="18"/>
        </w:rPr>
      </w:pPr>
    </w:p>
    <w:tbl>
      <w:tblPr>
        <w:tblStyle w:val="Tabelraster"/>
        <w:tblW w:w="798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5C2F48" w:rsidR="001666FE" w:rsidTr="00A50638">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1666FE" w:rsidP="00A50638" w:rsidRDefault="001666FE">
            <w:pPr>
              <w:pStyle w:val="Lijstalinea"/>
              <w:numPr>
                <w:ilvl w:val="0"/>
                <w:numId w:val="10"/>
              </w:numPr>
              <w:spacing w:after="240"/>
              <w:ind w:left="312"/>
              <w:rPr>
                <w:color w:val="595959" w:themeColor="text1" w:themeTint="A6"/>
                <w:szCs w:val="18"/>
              </w:rPr>
            </w:pPr>
          </w:p>
        </w:tc>
        <w:tc>
          <w:tcPr>
            <w:tcW w:w="1035" w:type="dxa"/>
          </w:tcPr>
          <w:p w:rsidRPr="00A9227F" w:rsidR="001666FE" w:rsidP="00A50638" w:rsidRDefault="001666FE">
            <w:pPr>
              <w:spacing w:after="240"/>
              <w:rPr>
                <w:color w:val="595959" w:themeColor="text1" w:themeTint="A6"/>
                <w:szCs w:val="18"/>
              </w:rPr>
            </w:pPr>
            <w:r w:rsidRPr="00A9227F">
              <w:rPr>
                <w:color w:val="595959" w:themeColor="text1" w:themeTint="A6"/>
                <w:szCs w:val="18"/>
              </w:rPr>
              <w:t>Titel</w:t>
            </w:r>
          </w:p>
        </w:tc>
        <w:tc>
          <w:tcPr>
            <w:tcW w:w="6529" w:type="dxa"/>
            <w:tcBorders>
              <w:top w:val="single" w:color="D9D9D9" w:sz="8" w:space="0"/>
              <w:left w:val="nil"/>
              <w:bottom w:val="nil"/>
              <w:right w:val="single" w:color="D9D9D9" w:sz="8" w:space="0"/>
            </w:tcBorders>
          </w:tcPr>
          <w:p w:rsidR="00FA0CB3" w:rsidP="00A50638" w:rsidRDefault="00FA0CB3">
            <w:pPr>
              <w:spacing w:after="240"/>
              <w:rPr>
                <w:szCs w:val="18"/>
                <w:lang w:val="en-GB"/>
              </w:rPr>
            </w:pPr>
            <w:r w:rsidRPr="005C2F48">
              <w:rPr>
                <w:color w:val="595959" w:themeColor="text1" w:themeTint="A6"/>
                <w:szCs w:val="18"/>
                <w:lang w:val="en-GB"/>
              </w:rPr>
              <w:t xml:space="preserve">COMMUNICATION FROM THE COMMISSION TO THE EUROPEAN PARLIAMENT, THE COUNCIL, THE EUROPEAN CENTRAL BANK AND THE EUROPEAN </w:t>
            </w:r>
            <w:r w:rsidRPr="00D73B24">
              <w:rPr>
                <w:color w:val="595959" w:themeColor="text1" w:themeTint="A6"/>
                <w:szCs w:val="18"/>
                <w:lang w:val="en-GB"/>
              </w:rPr>
              <w:t xml:space="preserve">ECONOMIC AND SOCIAL COMMITTEE A path towards a stronger EU clearing system </w:t>
            </w:r>
            <w:hyperlink w:history="1" r:id="rId18">
              <w:r w:rsidRPr="00D73B24">
                <w:rPr>
                  <w:rStyle w:val="Hyperlink"/>
                  <w:szCs w:val="18"/>
                  <w:lang w:val="en-GB"/>
                </w:rPr>
                <w:t>COM(2022)696</w:t>
              </w:r>
            </w:hyperlink>
          </w:p>
          <w:p w:rsidRPr="00FA0CB3" w:rsidR="001666FE" w:rsidP="00A50638" w:rsidRDefault="001666FE">
            <w:pPr>
              <w:spacing w:after="240"/>
              <w:rPr>
                <w:szCs w:val="18"/>
                <w:lang w:val="en-GB"/>
              </w:rPr>
            </w:pPr>
            <w:r w:rsidRPr="00D73B24">
              <w:rPr>
                <w:szCs w:val="18"/>
                <w:lang w:val="en-GB"/>
              </w:rPr>
              <w:t xml:space="preserve">Proposal for a REGULATION OF THE EUROPEAN PARLIAMENT AND OF THE COUNCIL amending Regulations (EU) No 648/2012, (EU) No 575/2013 and (EU) 2017/1131 as regards measures to mitigate excessive exposures to third-country central counterparties and improve the efficiency of Union clearing markets </w:t>
            </w:r>
            <w:hyperlink w:history="1" r:id="rId19">
              <w:r w:rsidRPr="00D73B24">
                <w:rPr>
                  <w:rStyle w:val="Hyperlink"/>
                  <w:szCs w:val="18"/>
                  <w:lang w:val="en-GB"/>
                </w:rPr>
                <w:t>COM(2022)697</w:t>
              </w:r>
            </w:hyperlink>
          </w:p>
          <w:p w:rsidRPr="00FA0CB3" w:rsidR="00FA0CB3" w:rsidP="00A50638" w:rsidRDefault="00FA0CB3">
            <w:pPr>
              <w:spacing w:after="240"/>
              <w:rPr>
                <w:b/>
                <w:color w:val="595959" w:themeColor="text1" w:themeTint="A6"/>
                <w:szCs w:val="18"/>
                <w:lang w:val="en-GB"/>
              </w:rPr>
            </w:pPr>
            <w:r w:rsidRPr="005C16CC">
              <w:rPr>
                <w:szCs w:val="18"/>
                <w:lang w:val="en-GB"/>
              </w:rPr>
              <w:t xml:space="preserve">Proposal for a DIRECTIVE OF THE EUROPEAN PARLIAMENT AND OF THE COUNCIL amending Directives 2009/65/EU, 2013/36/EU and (EU) 2019/2034 as regards the treatment of concentration risk towards central counterparties and the counterparty risk on centrally cleared derivative transactions </w:t>
            </w:r>
            <w:hyperlink w:history="1" r:id="rId20">
              <w:r w:rsidRPr="005C16CC">
                <w:rPr>
                  <w:rStyle w:val="Hyperlink"/>
                  <w:szCs w:val="18"/>
                  <w:lang w:val="en-GB"/>
                </w:rPr>
                <w:t>COM(2022)698</w:t>
              </w:r>
            </w:hyperlink>
          </w:p>
        </w:tc>
      </w:tr>
      <w:tr w:rsidRPr="00A9227F" w:rsidR="001666FE" w:rsidTr="00A50638">
        <w:tc>
          <w:tcPr>
            <w:tcW w:w="421" w:type="dxa"/>
            <w:vMerge/>
            <w:tcBorders>
              <w:top w:val="nil"/>
              <w:bottom w:val="single" w:color="D9D9D9" w:themeColor="background1" w:themeShade="D9" w:sz="4" w:space="0"/>
            </w:tcBorders>
            <w:shd w:val="clear" w:color="auto" w:fill="F2F2F2" w:themeFill="background1" w:themeFillShade="F2"/>
          </w:tcPr>
          <w:p w:rsidRPr="005C16CC" w:rsidR="001666FE" w:rsidP="00A50638" w:rsidRDefault="001666FE">
            <w:pPr>
              <w:spacing w:after="240"/>
              <w:rPr>
                <w:szCs w:val="18"/>
                <w:lang w:val="en-GB"/>
              </w:rPr>
            </w:pPr>
          </w:p>
        </w:tc>
        <w:tc>
          <w:tcPr>
            <w:tcW w:w="1035" w:type="dxa"/>
          </w:tcPr>
          <w:p w:rsidRPr="00A9227F" w:rsidR="001666FE" w:rsidP="00A50638" w:rsidRDefault="001666FE">
            <w:pPr>
              <w:spacing w:after="240"/>
              <w:rPr>
                <w:szCs w:val="18"/>
              </w:rPr>
            </w:pPr>
            <w:r w:rsidRPr="00A9227F">
              <w:rPr>
                <w:szCs w:val="18"/>
              </w:rPr>
              <w:t>Voorstel</w:t>
            </w:r>
          </w:p>
        </w:tc>
        <w:tc>
          <w:tcPr>
            <w:tcW w:w="6529" w:type="dxa"/>
          </w:tcPr>
          <w:p w:rsidRPr="00A9227F" w:rsidR="001666FE" w:rsidP="00A50638" w:rsidRDefault="00FA0CB3">
            <w:pPr>
              <w:spacing w:after="240"/>
              <w:rPr>
                <w:szCs w:val="18"/>
              </w:rPr>
            </w:pPr>
            <w:r w:rsidRPr="00FA0CB3">
              <w:rPr>
                <w:szCs w:val="18"/>
              </w:rPr>
              <w:t>BNC-fiches afwachten en agenderen voor een schriftelijk overleg</w:t>
            </w:r>
          </w:p>
        </w:tc>
      </w:tr>
      <w:tr w:rsidRPr="00A9227F" w:rsidR="001666FE" w:rsidTr="00A50638">
        <w:tc>
          <w:tcPr>
            <w:tcW w:w="421" w:type="dxa"/>
            <w:vMerge/>
            <w:tcBorders>
              <w:top w:val="nil"/>
              <w:bottom w:val="single" w:color="D9D9D9" w:themeColor="background1" w:themeShade="D9" w:sz="4" w:space="0"/>
            </w:tcBorders>
            <w:shd w:val="clear" w:color="auto" w:fill="F2F2F2" w:themeFill="background1" w:themeFillShade="F2"/>
          </w:tcPr>
          <w:p w:rsidRPr="00A9227F" w:rsidR="001666FE" w:rsidP="00A50638" w:rsidRDefault="001666FE">
            <w:pPr>
              <w:spacing w:after="240"/>
              <w:rPr>
                <w:color w:val="595959" w:themeColor="text1" w:themeTint="A6"/>
                <w:szCs w:val="18"/>
              </w:rPr>
            </w:pPr>
          </w:p>
        </w:tc>
        <w:tc>
          <w:tcPr>
            <w:tcW w:w="1035" w:type="dxa"/>
          </w:tcPr>
          <w:p w:rsidRPr="00A9227F" w:rsidR="001666FE" w:rsidP="00A50638" w:rsidRDefault="001666FE">
            <w:pPr>
              <w:spacing w:after="240"/>
              <w:rPr>
                <w:color w:val="595959" w:themeColor="text1" w:themeTint="A6"/>
                <w:szCs w:val="18"/>
              </w:rPr>
            </w:pPr>
            <w:r w:rsidRPr="00A9227F">
              <w:rPr>
                <w:color w:val="595959" w:themeColor="text1" w:themeTint="A6"/>
                <w:szCs w:val="18"/>
              </w:rPr>
              <w:t>Noot</w:t>
            </w:r>
          </w:p>
        </w:tc>
        <w:tc>
          <w:tcPr>
            <w:tcW w:w="6529" w:type="dxa"/>
          </w:tcPr>
          <w:p w:rsidRPr="00D660E3" w:rsidR="001666FE" w:rsidP="006C4B63" w:rsidRDefault="00FA0CB3">
            <w:pPr>
              <w:spacing w:after="240"/>
              <w:rPr>
                <w:i/>
                <w:color w:val="595959" w:themeColor="text1" w:themeTint="A6"/>
                <w:szCs w:val="18"/>
              </w:rPr>
            </w:pPr>
            <w:r w:rsidRPr="00D660E3">
              <w:rPr>
                <w:i/>
                <w:color w:val="595959" w:themeColor="text1" w:themeTint="A6"/>
                <w:szCs w:val="18"/>
              </w:rPr>
              <w:t xml:space="preserve">Het betreft </w:t>
            </w:r>
            <w:r w:rsidRPr="00682DDE" w:rsidR="00682DDE">
              <w:rPr>
                <w:i/>
                <w:color w:val="595959" w:themeColor="text1" w:themeTint="A6"/>
                <w:szCs w:val="18"/>
              </w:rPr>
              <w:t xml:space="preserve">voorstellen uit een </w:t>
            </w:r>
            <w:r w:rsidRPr="00D660E3">
              <w:rPr>
                <w:i/>
                <w:color w:val="595959" w:themeColor="text1" w:themeTint="A6"/>
                <w:szCs w:val="18"/>
              </w:rPr>
              <w:t>pakket maatregelen d</w:t>
            </w:r>
            <w:r w:rsidR="006C4B63">
              <w:rPr>
                <w:i/>
                <w:color w:val="595959" w:themeColor="text1" w:themeTint="A6"/>
                <w:szCs w:val="18"/>
              </w:rPr>
              <w:t>at</w:t>
            </w:r>
            <w:r w:rsidRPr="00D660E3">
              <w:rPr>
                <w:i/>
                <w:color w:val="595959" w:themeColor="text1" w:themeTint="A6"/>
                <w:szCs w:val="18"/>
              </w:rPr>
              <w:t xml:space="preserve"> de Europese Commissie op 7 december jl. gelanceerd heeft binnen het Kapitaalmarktunie-kader. De voorstellen </w:t>
            </w:r>
            <w:r w:rsidRPr="00D660E3" w:rsidR="00D660E3">
              <w:rPr>
                <w:i/>
                <w:color w:val="595959" w:themeColor="text1" w:themeTint="A6"/>
                <w:szCs w:val="18"/>
              </w:rPr>
              <w:t xml:space="preserve">beogen </w:t>
            </w:r>
            <w:r w:rsidRPr="00D660E3">
              <w:rPr>
                <w:i/>
                <w:color w:val="595959" w:themeColor="text1" w:themeTint="A6"/>
                <w:szCs w:val="18"/>
              </w:rPr>
              <w:t>EU-clearingdiensten aantrekkelijker en robuuster te maken</w:t>
            </w:r>
            <w:r w:rsidRPr="00D660E3" w:rsidR="00D660E3">
              <w:rPr>
                <w:i/>
                <w:color w:val="595959" w:themeColor="text1" w:themeTint="A6"/>
                <w:szCs w:val="18"/>
              </w:rPr>
              <w:t xml:space="preserve">. De voorstellen dienen </w:t>
            </w:r>
            <w:r w:rsidR="006C4B63">
              <w:rPr>
                <w:i/>
                <w:color w:val="595959" w:themeColor="text1" w:themeTint="A6"/>
                <w:szCs w:val="18"/>
              </w:rPr>
              <w:t xml:space="preserve">verder </w:t>
            </w:r>
            <w:r w:rsidRPr="00D660E3" w:rsidR="00D660E3">
              <w:rPr>
                <w:i/>
                <w:color w:val="595959" w:themeColor="text1" w:themeTint="A6"/>
                <w:szCs w:val="18"/>
              </w:rPr>
              <w:t xml:space="preserve">de belangen van </w:t>
            </w:r>
            <w:r w:rsidRPr="00D660E3">
              <w:rPr>
                <w:i/>
                <w:color w:val="595959" w:themeColor="text1" w:themeTint="A6"/>
                <w:szCs w:val="18"/>
              </w:rPr>
              <w:t>versterking van financiële stabiliteit</w:t>
            </w:r>
            <w:r w:rsidRPr="00D660E3" w:rsidR="00D660E3">
              <w:rPr>
                <w:i/>
                <w:color w:val="595959" w:themeColor="text1" w:themeTint="A6"/>
                <w:szCs w:val="18"/>
              </w:rPr>
              <w:t xml:space="preserve">, en </w:t>
            </w:r>
            <w:r w:rsidR="006C4B63">
              <w:rPr>
                <w:i/>
                <w:color w:val="595959" w:themeColor="text1" w:themeTint="A6"/>
                <w:szCs w:val="18"/>
              </w:rPr>
              <w:t xml:space="preserve">van </w:t>
            </w:r>
            <w:r w:rsidRPr="00D660E3" w:rsidR="00D660E3">
              <w:rPr>
                <w:i/>
                <w:color w:val="595959" w:themeColor="text1" w:themeTint="A6"/>
                <w:szCs w:val="18"/>
              </w:rPr>
              <w:t>het nastreven van e</w:t>
            </w:r>
            <w:r w:rsidR="006C4B63">
              <w:rPr>
                <w:i/>
                <w:color w:val="595959" w:themeColor="text1" w:themeTint="A6"/>
                <w:szCs w:val="18"/>
              </w:rPr>
              <w:t>e</w:t>
            </w:r>
            <w:r w:rsidRPr="00D660E3" w:rsidR="00D660E3">
              <w:rPr>
                <w:i/>
                <w:color w:val="595959" w:themeColor="text1" w:themeTint="A6"/>
                <w:szCs w:val="18"/>
              </w:rPr>
              <w:t>n hogere mate van s</w:t>
            </w:r>
            <w:r w:rsidRPr="00D660E3">
              <w:rPr>
                <w:i/>
                <w:color w:val="595959" w:themeColor="text1" w:themeTint="A6"/>
                <w:szCs w:val="18"/>
              </w:rPr>
              <w:t xml:space="preserve">trategische </w:t>
            </w:r>
            <w:r w:rsidR="006C4B63">
              <w:rPr>
                <w:i/>
                <w:color w:val="595959" w:themeColor="text1" w:themeTint="A6"/>
                <w:szCs w:val="18"/>
              </w:rPr>
              <w:t>EU-</w:t>
            </w:r>
            <w:r w:rsidRPr="00D660E3">
              <w:rPr>
                <w:i/>
                <w:color w:val="595959" w:themeColor="text1" w:themeTint="A6"/>
                <w:szCs w:val="18"/>
              </w:rPr>
              <w:t>autonomie</w:t>
            </w:r>
            <w:r w:rsidRPr="00D660E3" w:rsidR="00D660E3">
              <w:rPr>
                <w:i/>
                <w:color w:val="595959" w:themeColor="text1" w:themeTint="A6"/>
                <w:szCs w:val="18"/>
              </w:rPr>
              <w:t>.</w:t>
            </w:r>
          </w:p>
        </w:tc>
      </w:tr>
    </w:tbl>
    <w:p w:rsidRPr="00A9227F" w:rsidR="001666FE" w:rsidP="001666FE" w:rsidRDefault="001666FE">
      <w:pPr>
        <w:rPr>
          <w:szCs w:val="18"/>
        </w:rPr>
      </w:pPr>
    </w:p>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5C2F48"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00FA0CB3" w:rsidP="003A21AA" w:rsidRDefault="00FA0CB3">
            <w:pPr>
              <w:spacing w:after="240"/>
              <w:rPr>
                <w:szCs w:val="18"/>
                <w:lang w:val="en-GB"/>
              </w:rPr>
            </w:pPr>
            <w:r w:rsidRPr="005C2F48">
              <w:rPr>
                <w:szCs w:val="18"/>
                <w:lang w:val="en-GB"/>
              </w:rPr>
              <w:t xml:space="preserve">Proposal for a DIRECTIVE OF THE EUROPEAN PARLIAMENT AND OF THE COUNCIL </w:t>
            </w:r>
            <w:r w:rsidRPr="005C16CC">
              <w:rPr>
                <w:szCs w:val="18"/>
                <w:lang w:val="en-GB"/>
              </w:rPr>
              <w:t xml:space="preserve">amending Directive 2014/65/EU to make public capital markets in the Union more attractive for companies and to facilitate access to capital for small and medium-sized enterprises and repealing Directive 2001/34/EC </w:t>
            </w:r>
            <w:hyperlink w:history="1" r:id="rId21">
              <w:r w:rsidRPr="005C16CC">
                <w:rPr>
                  <w:rStyle w:val="Hyperlink"/>
                  <w:szCs w:val="18"/>
                  <w:lang w:val="en-GB"/>
                </w:rPr>
                <w:t>COM(2022)760</w:t>
              </w:r>
            </w:hyperlink>
            <w:r w:rsidRPr="005C16CC">
              <w:rPr>
                <w:szCs w:val="18"/>
                <w:lang w:val="en-GB"/>
              </w:rPr>
              <w:t xml:space="preserve"> </w:t>
            </w:r>
          </w:p>
          <w:p w:rsidR="00FA0CB3" w:rsidP="00FA0CB3" w:rsidRDefault="00FA0CB3">
            <w:pPr>
              <w:shd w:val="clear" w:color="auto" w:fill="FFFFFF"/>
              <w:spacing w:after="75"/>
              <w:rPr>
                <w:szCs w:val="18"/>
                <w:lang w:val="en-GB"/>
              </w:rPr>
            </w:pPr>
            <w:r w:rsidRPr="005C16CC">
              <w:rPr>
                <w:szCs w:val="18"/>
                <w:lang w:val="en-GB"/>
              </w:rPr>
              <w:t xml:space="preserve">Proposal for a DIRECTIVE OF THE EUROPEAN PARLIAMENT AND OF THE COUNCIL on multiple-vote share structures in companies that seek the admission to trading of their shares on an SME growth market </w:t>
            </w:r>
            <w:hyperlink w:history="1" r:id="rId22">
              <w:r w:rsidRPr="005C16CC">
                <w:rPr>
                  <w:rStyle w:val="Hyperlink"/>
                  <w:szCs w:val="18"/>
                  <w:lang w:val="en-GB"/>
                </w:rPr>
                <w:t>COM(2022)761</w:t>
              </w:r>
            </w:hyperlink>
            <w:r w:rsidRPr="005C16CC">
              <w:rPr>
                <w:szCs w:val="18"/>
                <w:lang w:val="en-GB"/>
              </w:rPr>
              <w:t xml:space="preserve"> </w:t>
            </w:r>
          </w:p>
          <w:p w:rsidRPr="005C16CC" w:rsidR="00FA0CB3" w:rsidP="00FA0CB3" w:rsidRDefault="00FA0CB3">
            <w:pPr>
              <w:shd w:val="clear" w:color="auto" w:fill="FFFFFF"/>
              <w:spacing w:after="75"/>
              <w:rPr>
                <w:szCs w:val="18"/>
                <w:lang w:val="en-GB" w:eastAsia="nl-NL"/>
              </w:rPr>
            </w:pPr>
            <w:r w:rsidRPr="005C16CC">
              <w:rPr>
                <w:szCs w:val="18"/>
                <w:lang w:val="en-GB"/>
              </w:rPr>
              <w:t xml:space="preserve">Proposal for a REGULATION OF THE EUROPEAN PARLIAMENT AND OF THE COUNCIL amending Regulations (EU) 2017/1129, (EU) No 596/2014 and (EU) No 600/2014 to make public capital markets in the Union more attractive for companies and to facilitate access to capital for small and medium-sized enterprises </w:t>
            </w:r>
            <w:hyperlink w:history="1" r:id="rId23">
              <w:r w:rsidRPr="005C16CC">
                <w:rPr>
                  <w:rStyle w:val="Hyperlink"/>
                  <w:szCs w:val="18"/>
                  <w:lang w:val="en-GB"/>
                </w:rPr>
                <w:t>COM(2022)762</w:t>
              </w:r>
            </w:hyperlink>
          </w:p>
          <w:p w:rsidRPr="005C16CC" w:rsidR="002A4BD8" w:rsidP="003A21AA" w:rsidRDefault="002A4BD8">
            <w:pPr>
              <w:spacing w:after="240"/>
              <w:rPr>
                <w:b/>
                <w:color w:val="595959" w:themeColor="text1" w:themeTint="A6"/>
                <w:szCs w:val="18"/>
                <w:lang w:val="en-GB"/>
              </w:rPr>
            </w:pP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5C16CC" w:rsidR="002A4BD8" w:rsidP="003A21AA" w:rsidRDefault="002A4BD8">
            <w:pPr>
              <w:spacing w:after="240"/>
              <w:rPr>
                <w:szCs w:val="18"/>
                <w:lang w:val="en-GB"/>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D73B24" w:rsidRDefault="00682DDE">
            <w:pPr>
              <w:spacing w:after="240"/>
              <w:rPr>
                <w:szCs w:val="18"/>
              </w:rPr>
            </w:pPr>
            <w:r w:rsidRPr="00682DDE">
              <w:rPr>
                <w:szCs w:val="18"/>
              </w:rPr>
              <w:t>BNC-fiches afwachten en agenderen voor een schriftelijk overleg</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6C4B63" w:rsidRDefault="00D660E3">
            <w:pPr>
              <w:spacing w:after="240"/>
              <w:rPr>
                <w:color w:val="595959" w:themeColor="text1" w:themeTint="A6"/>
                <w:szCs w:val="18"/>
              </w:rPr>
            </w:pPr>
            <w:r w:rsidRPr="00D660E3">
              <w:rPr>
                <w:i/>
                <w:color w:val="595959" w:themeColor="text1" w:themeTint="A6"/>
                <w:szCs w:val="18"/>
              </w:rPr>
              <w:t xml:space="preserve">Het betreft </w:t>
            </w:r>
            <w:r w:rsidR="00682DDE">
              <w:rPr>
                <w:i/>
                <w:color w:val="595959" w:themeColor="text1" w:themeTint="A6"/>
                <w:szCs w:val="18"/>
              </w:rPr>
              <w:t xml:space="preserve">voorstellen uit </w:t>
            </w:r>
            <w:r w:rsidRPr="00D660E3">
              <w:rPr>
                <w:i/>
                <w:color w:val="595959" w:themeColor="text1" w:themeTint="A6"/>
                <w:szCs w:val="18"/>
              </w:rPr>
              <w:t>een pakket maatregelen d</w:t>
            </w:r>
            <w:r w:rsidR="006C4B63">
              <w:rPr>
                <w:i/>
                <w:color w:val="595959" w:themeColor="text1" w:themeTint="A6"/>
                <w:szCs w:val="18"/>
              </w:rPr>
              <w:t>at</w:t>
            </w:r>
            <w:r w:rsidRPr="00D660E3">
              <w:rPr>
                <w:i/>
                <w:color w:val="595959" w:themeColor="text1" w:themeTint="A6"/>
                <w:szCs w:val="18"/>
              </w:rPr>
              <w:t xml:space="preserve"> de Europese Commissie op 7 december jl. gelanceerd heeft binnen het Kapitaalmarktunie-kader. De voorstellen beogen</w:t>
            </w:r>
            <w:r>
              <w:rPr>
                <w:i/>
                <w:color w:val="595959" w:themeColor="text1" w:themeTint="A6"/>
                <w:szCs w:val="18"/>
              </w:rPr>
              <w:t xml:space="preserve"> </w:t>
            </w:r>
            <w:r w:rsidRPr="00D660E3">
              <w:rPr>
                <w:i/>
                <w:color w:val="595959" w:themeColor="text1" w:themeTint="A6"/>
                <w:szCs w:val="18"/>
              </w:rPr>
              <w:t xml:space="preserve">de administratieve lasten </w:t>
            </w:r>
            <w:r>
              <w:rPr>
                <w:i/>
                <w:color w:val="595959" w:themeColor="text1" w:themeTint="A6"/>
                <w:szCs w:val="18"/>
              </w:rPr>
              <w:t>van beursnotering</w:t>
            </w:r>
            <w:r w:rsidR="006C4B63">
              <w:rPr>
                <w:i/>
                <w:color w:val="595959" w:themeColor="text1" w:themeTint="A6"/>
                <w:szCs w:val="18"/>
              </w:rPr>
              <w:t>en</w:t>
            </w:r>
            <w:r>
              <w:rPr>
                <w:i/>
                <w:color w:val="595959" w:themeColor="text1" w:themeTint="A6"/>
                <w:szCs w:val="18"/>
              </w:rPr>
              <w:t xml:space="preserve"> van </w:t>
            </w:r>
            <w:r w:rsidRPr="00D660E3">
              <w:rPr>
                <w:i/>
                <w:color w:val="595959" w:themeColor="text1" w:themeTint="A6"/>
                <w:szCs w:val="18"/>
              </w:rPr>
              <w:t>bedrijven</w:t>
            </w:r>
            <w:r>
              <w:rPr>
                <w:i/>
                <w:color w:val="595959" w:themeColor="text1" w:themeTint="A6"/>
                <w:szCs w:val="18"/>
              </w:rPr>
              <w:t xml:space="preserve">, inclusief </w:t>
            </w:r>
            <w:r w:rsidR="006C4B63">
              <w:rPr>
                <w:i/>
                <w:color w:val="595959" w:themeColor="text1" w:themeTint="A6"/>
                <w:szCs w:val="18"/>
              </w:rPr>
              <w:t>kleinere bedrijven</w:t>
            </w:r>
            <w:r w:rsidRPr="00D660E3">
              <w:rPr>
                <w:i/>
                <w:color w:val="595959" w:themeColor="text1" w:themeTint="A6"/>
                <w:szCs w:val="18"/>
              </w:rPr>
              <w:t xml:space="preserve"> te verlichten, </w:t>
            </w:r>
            <w:r w:rsidR="006C4B63">
              <w:rPr>
                <w:i/>
                <w:color w:val="595959" w:themeColor="text1" w:themeTint="A6"/>
                <w:szCs w:val="18"/>
              </w:rPr>
              <w:t xml:space="preserve">opdat deze </w:t>
            </w:r>
            <w:r>
              <w:rPr>
                <w:i/>
                <w:color w:val="595959" w:themeColor="text1" w:themeTint="A6"/>
                <w:szCs w:val="18"/>
              </w:rPr>
              <w:t xml:space="preserve">een betere </w:t>
            </w:r>
            <w:r w:rsidRPr="00D660E3">
              <w:rPr>
                <w:i/>
                <w:color w:val="595959" w:themeColor="text1" w:themeTint="A6"/>
                <w:szCs w:val="18"/>
              </w:rPr>
              <w:t xml:space="preserve">toegang </w:t>
            </w:r>
            <w:r>
              <w:rPr>
                <w:i/>
                <w:color w:val="595959" w:themeColor="text1" w:themeTint="A6"/>
                <w:szCs w:val="18"/>
              </w:rPr>
              <w:t>tot de kapitaalmarkt krijgen.</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5C2F48"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5C16CC" w:rsidR="002A4BD8" w:rsidP="003A21AA" w:rsidRDefault="005C16CC">
            <w:pPr>
              <w:spacing w:after="240"/>
              <w:rPr>
                <w:b/>
                <w:color w:val="595959" w:themeColor="text1" w:themeTint="A6"/>
                <w:szCs w:val="18"/>
                <w:lang w:val="en-GB"/>
              </w:rPr>
            </w:pPr>
            <w:r w:rsidRPr="005C16CC">
              <w:rPr>
                <w:szCs w:val="18"/>
                <w:lang w:val="en-GB"/>
              </w:rPr>
              <w:t xml:space="preserve">Proposal for a DIRECTIVE OF THE EUROPEAN PARLIAMENT AND OF THE COUNCIL harmonising certain aspects of insolvency law </w:t>
            </w:r>
            <w:hyperlink w:history="1" r:id="rId24">
              <w:r w:rsidRPr="005C16CC">
                <w:rPr>
                  <w:rStyle w:val="Hyperlink"/>
                  <w:szCs w:val="18"/>
                  <w:lang w:val="en-GB"/>
                </w:rPr>
                <w:t>COM(2022)702</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5C16CC" w:rsidR="002A4BD8" w:rsidP="003A21AA" w:rsidRDefault="002A4BD8">
            <w:pPr>
              <w:spacing w:after="240"/>
              <w:rPr>
                <w:szCs w:val="18"/>
                <w:lang w:val="en-GB"/>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682DDE" w:rsidRDefault="00682DDE">
            <w:pPr>
              <w:spacing w:after="240"/>
              <w:rPr>
                <w:szCs w:val="18"/>
              </w:rPr>
            </w:pPr>
            <w:r w:rsidRPr="00682DDE">
              <w:rPr>
                <w:szCs w:val="18"/>
              </w:rPr>
              <w:t>BNC-fiche afwachten en agenderen voor een schriftelijk overleg</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6C4B63" w:rsidR="002A4BD8" w:rsidP="006C4B63" w:rsidRDefault="00682DDE">
            <w:pPr>
              <w:spacing w:after="240"/>
              <w:rPr>
                <w:i/>
                <w:color w:val="595959" w:themeColor="text1" w:themeTint="A6"/>
                <w:szCs w:val="18"/>
              </w:rPr>
            </w:pPr>
            <w:r w:rsidRPr="006C4B63">
              <w:rPr>
                <w:i/>
                <w:color w:val="595959" w:themeColor="text1" w:themeTint="A6"/>
                <w:szCs w:val="18"/>
              </w:rPr>
              <w:t xml:space="preserve">Het betreft een voorstel uit een pakket maatregelen </w:t>
            </w:r>
            <w:r w:rsidR="006C4B63">
              <w:rPr>
                <w:i/>
                <w:color w:val="595959" w:themeColor="text1" w:themeTint="A6"/>
                <w:szCs w:val="18"/>
              </w:rPr>
              <w:t>dat</w:t>
            </w:r>
            <w:r w:rsidRPr="006C4B63">
              <w:rPr>
                <w:i/>
                <w:color w:val="595959" w:themeColor="text1" w:themeTint="A6"/>
                <w:szCs w:val="18"/>
              </w:rPr>
              <w:t xml:space="preserve"> de Europese Commissie op 7 december jl. gelanceerd heeft binnen het Kapitaalmarktunie-kader. Het voorstel beoogt</w:t>
            </w:r>
            <w:r w:rsidRPr="006C4B63">
              <w:rPr>
                <w:i/>
              </w:rPr>
              <w:t xml:space="preserve"> </w:t>
            </w:r>
            <w:r w:rsidRPr="006C4B63">
              <w:rPr>
                <w:i/>
                <w:color w:val="595959" w:themeColor="text1" w:themeTint="A6"/>
                <w:szCs w:val="18"/>
              </w:rPr>
              <w:t xml:space="preserve">bepaalde regels inzake insolventie van bedrijven in de EU te harmoniseren, </w:t>
            </w:r>
            <w:r w:rsidRPr="006C4B63" w:rsidR="005764BF">
              <w:rPr>
                <w:i/>
                <w:color w:val="595959" w:themeColor="text1" w:themeTint="A6"/>
                <w:szCs w:val="18"/>
              </w:rPr>
              <w:t>efficiënter te maken</w:t>
            </w:r>
            <w:r w:rsidR="006C4B63">
              <w:rPr>
                <w:i/>
                <w:color w:val="595959" w:themeColor="text1" w:themeTint="A6"/>
                <w:szCs w:val="18"/>
              </w:rPr>
              <w:t>,</w:t>
            </w:r>
            <w:r w:rsidRPr="006C4B63" w:rsidR="005764BF">
              <w:rPr>
                <w:i/>
                <w:color w:val="595959" w:themeColor="text1" w:themeTint="A6"/>
                <w:szCs w:val="18"/>
              </w:rPr>
              <w:t xml:space="preserve"> ook ter bevordering van </w:t>
            </w:r>
            <w:r w:rsidRPr="006C4B63">
              <w:rPr>
                <w:i/>
                <w:color w:val="595959" w:themeColor="text1" w:themeTint="A6"/>
                <w:szCs w:val="18"/>
              </w:rPr>
              <w:t>grensoverschrijdende investeringen</w:t>
            </w:r>
            <w:r w:rsidRPr="006C4B63" w:rsidR="005764BF">
              <w:rPr>
                <w:i/>
                <w:color w:val="595959" w:themeColor="text1" w:themeTint="A6"/>
                <w:szCs w:val="18"/>
              </w:rPr>
              <w:t xml:space="preserve">. </w:t>
            </w:r>
          </w:p>
        </w:tc>
      </w:tr>
    </w:tbl>
    <w:p w:rsidRPr="00A9227F" w:rsidR="002A4BD8" w:rsidP="002A4BD8" w:rsidRDefault="002A4BD8">
      <w:pPr>
        <w:rPr>
          <w:szCs w:val="18"/>
        </w:rPr>
      </w:pPr>
    </w:p>
    <w:p w:rsidR="006E5214" w:rsidP="002A4BD8" w:rsidRDefault="006E521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5C16CC" w:rsidR="00467409" w:rsidTr="00432042">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467409" w:rsidP="00432042" w:rsidRDefault="00467409">
            <w:pPr>
              <w:pStyle w:val="Lijstalinea"/>
              <w:numPr>
                <w:ilvl w:val="0"/>
                <w:numId w:val="10"/>
              </w:numPr>
              <w:spacing w:after="240"/>
              <w:ind w:left="312"/>
              <w:rPr>
                <w:color w:val="595959" w:themeColor="text1" w:themeTint="A6"/>
                <w:szCs w:val="18"/>
              </w:rPr>
            </w:pPr>
          </w:p>
        </w:tc>
        <w:tc>
          <w:tcPr>
            <w:tcW w:w="1035" w:type="dxa"/>
          </w:tcPr>
          <w:p w:rsidRPr="00A9227F" w:rsidR="00467409" w:rsidP="00432042" w:rsidRDefault="00467409">
            <w:pPr>
              <w:spacing w:after="240"/>
              <w:rPr>
                <w:color w:val="595959" w:themeColor="text1" w:themeTint="A6"/>
                <w:szCs w:val="18"/>
              </w:rPr>
            </w:pPr>
            <w:r w:rsidRPr="00A9227F">
              <w:rPr>
                <w:color w:val="595959" w:themeColor="text1" w:themeTint="A6"/>
                <w:szCs w:val="18"/>
              </w:rPr>
              <w:t>Titel</w:t>
            </w:r>
          </w:p>
        </w:tc>
        <w:tc>
          <w:tcPr>
            <w:tcW w:w="6529" w:type="dxa"/>
          </w:tcPr>
          <w:p w:rsidRPr="005C16CC" w:rsidR="005C16CC" w:rsidP="005C16CC" w:rsidRDefault="005C16CC">
            <w:pPr>
              <w:spacing w:after="240"/>
              <w:rPr>
                <w:color w:val="595959" w:themeColor="text1" w:themeTint="A6"/>
                <w:szCs w:val="18"/>
                <w:lang w:val="en-US"/>
              </w:rPr>
            </w:pPr>
            <w:r w:rsidRPr="005C16CC">
              <w:rPr>
                <w:color w:val="595959" w:themeColor="text1" w:themeTint="A6"/>
                <w:szCs w:val="18"/>
                <w:lang w:val="en-US"/>
              </w:rPr>
              <w:t>Proposal for a COUNCIL DIRECTIVE amending Directive 2011/16/EU on administrative cooperation in the field of taxation</w:t>
            </w:r>
          </w:p>
          <w:p w:rsidRPr="005C16CC" w:rsidR="00467409" w:rsidP="0065221B" w:rsidRDefault="005C2F48">
            <w:pPr>
              <w:spacing w:after="240"/>
              <w:rPr>
                <w:b/>
                <w:color w:val="595959" w:themeColor="text1" w:themeTint="A6"/>
                <w:szCs w:val="18"/>
                <w:lang w:val="en-GB"/>
              </w:rPr>
            </w:pPr>
            <w:hyperlink w:history="1" r:id="rId25">
              <w:r w:rsidRPr="005C16CC" w:rsidR="005C16CC">
                <w:rPr>
                  <w:rStyle w:val="Hyperlink"/>
                  <w:szCs w:val="18"/>
                </w:rPr>
                <w:t>COM(2022)707</w:t>
              </w:r>
            </w:hyperlink>
          </w:p>
        </w:tc>
      </w:tr>
      <w:tr w:rsidRPr="00A9227F" w:rsidR="00467409" w:rsidTr="00432042">
        <w:tc>
          <w:tcPr>
            <w:tcW w:w="421" w:type="dxa"/>
            <w:vMerge/>
            <w:tcBorders>
              <w:top w:val="nil"/>
              <w:bottom w:val="single" w:color="D9D9D9" w:themeColor="background1" w:themeShade="D9" w:sz="4" w:space="0"/>
            </w:tcBorders>
            <w:shd w:val="clear" w:color="auto" w:fill="F2F2F2" w:themeFill="background1" w:themeFillShade="F2"/>
          </w:tcPr>
          <w:p w:rsidRPr="005C16CC" w:rsidR="00467409" w:rsidP="00432042" w:rsidRDefault="00467409">
            <w:pPr>
              <w:spacing w:after="240"/>
              <w:rPr>
                <w:szCs w:val="18"/>
                <w:lang w:val="en-GB"/>
              </w:rPr>
            </w:pPr>
          </w:p>
        </w:tc>
        <w:tc>
          <w:tcPr>
            <w:tcW w:w="1035" w:type="dxa"/>
          </w:tcPr>
          <w:p w:rsidRPr="00A9227F" w:rsidR="00467409" w:rsidP="00432042" w:rsidRDefault="00467409">
            <w:pPr>
              <w:spacing w:after="240"/>
              <w:rPr>
                <w:szCs w:val="18"/>
              </w:rPr>
            </w:pPr>
            <w:r w:rsidRPr="00A9227F">
              <w:rPr>
                <w:szCs w:val="18"/>
              </w:rPr>
              <w:t>Voorstel</w:t>
            </w:r>
          </w:p>
        </w:tc>
        <w:tc>
          <w:tcPr>
            <w:tcW w:w="6529" w:type="dxa"/>
          </w:tcPr>
          <w:p w:rsidRPr="00A9227F" w:rsidR="00467409" w:rsidP="0065221B" w:rsidRDefault="0065221B">
            <w:pPr>
              <w:spacing w:after="240"/>
              <w:rPr>
                <w:szCs w:val="18"/>
              </w:rPr>
            </w:pPr>
            <w:r w:rsidRPr="0065221B">
              <w:rPr>
                <w:szCs w:val="18"/>
              </w:rPr>
              <w:t>BNC-fiche afwachten en agenderen voor een schriftelijk overleg</w:t>
            </w:r>
          </w:p>
        </w:tc>
      </w:tr>
      <w:tr w:rsidRPr="00A9227F" w:rsidR="00467409" w:rsidTr="001666FE">
        <w:tc>
          <w:tcPr>
            <w:tcW w:w="421" w:type="dxa"/>
            <w:vMerge/>
            <w:tcBorders>
              <w:top w:val="nil"/>
              <w:bottom w:val="nil"/>
            </w:tcBorders>
            <w:shd w:val="clear" w:color="auto" w:fill="F2F2F2" w:themeFill="background1" w:themeFillShade="F2"/>
          </w:tcPr>
          <w:p w:rsidRPr="00A9227F" w:rsidR="00467409" w:rsidP="00432042" w:rsidRDefault="00467409">
            <w:pPr>
              <w:spacing w:after="240"/>
              <w:rPr>
                <w:color w:val="595959" w:themeColor="text1" w:themeTint="A6"/>
                <w:szCs w:val="18"/>
              </w:rPr>
            </w:pPr>
          </w:p>
        </w:tc>
        <w:tc>
          <w:tcPr>
            <w:tcW w:w="1035" w:type="dxa"/>
          </w:tcPr>
          <w:p w:rsidRPr="00A9227F" w:rsidR="00467409" w:rsidP="00432042" w:rsidRDefault="00467409">
            <w:pPr>
              <w:spacing w:after="240"/>
              <w:rPr>
                <w:color w:val="595959" w:themeColor="text1" w:themeTint="A6"/>
                <w:szCs w:val="18"/>
              </w:rPr>
            </w:pPr>
            <w:r w:rsidRPr="00A9227F">
              <w:rPr>
                <w:color w:val="595959" w:themeColor="text1" w:themeTint="A6"/>
                <w:szCs w:val="18"/>
              </w:rPr>
              <w:t>Noot</w:t>
            </w:r>
          </w:p>
        </w:tc>
        <w:tc>
          <w:tcPr>
            <w:tcW w:w="6529" w:type="dxa"/>
          </w:tcPr>
          <w:p w:rsidRPr="0065221B" w:rsidR="00467409" w:rsidP="00F71FC4" w:rsidRDefault="0065221B">
            <w:pPr>
              <w:spacing w:after="240"/>
              <w:rPr>
                <w:i/>
                <w:color w:val="595959" w:themeColor="text1" w:themeTint="A6"/>
                <w:szCs w:val="18"/>
              </w:rPr>
            </w:pPr>
            <w:r w:rsidRPr="0065221B">
              <w:rPr>
                <w:i/>
                <w:color w:val="595959" w:themeColor="text1" w:themeTint="A6"/>
                <w:szCs w:val="18"/>
              </w:rPr>
              <w:t>Het voorstel bevat wijzigingen in de bestaande bepalingen inzake informatie-uitwisseling en administratieve samenwerking</w:t>
            </w:r>
            <w:r w:rsidR="00F71FC4">
              <w:rPr>
                <w:i/>
                <w:color w:val="595959" w:themeColor="text1" w:themeTint="A6"/>
                <w:szCs w:val="18"/>
              </w:rPr>
              <w:t xml:space="preserve"> op het gebied van belastingen</w:t>
            </w:r>
            <w:r w:rsidRPr="0065221B">
              <w:rPr>
                <w:i/>
                <w:color w:val="595959" w:themeColor="text1" w:themeTint="A6"/>
                <w:szCs w:val="18"/>
              </w:rPr>
              <w:t xml:space="preserve">. Het breidt </w:t>
            </w:r>
            <w:r w:rsidR="0055249E">
              <w:rPr>
                <w:i/>
                <w:color w:val="595959" w:themeColor="text1" w:themeTint="A6"/>
                <w:szCs w:val="18"/>
              </w:rPr>
              <w:t xml:space="preserve">tevens het </w:t>
            </w:r>
            <w:r w:rsidRPr="0065221B">
              <w:rPr>
                <w:i/>
                <w:color w:val="595959" w:themeColor="text1" w:themeTint="A6"/>
                <w:szCs w:val="18"/>
              </w:rPr>
              <w:t xml:space="preserve">toepassingsgebied van de richtlijn uit tot automatische uitwisseling van </w:t>
            </w:r>
            <w:r w:rsidR="006C4B63">
              <w:rPr>
                <w:i/>
                <w:color w:val="595959" w:themeColor="text1" w:themeTint="A6"/>
                <w:szCs w:val="18"/>
              </w:rPr>
              <w:t>gegevens</w:t>
            </w:r>
            <w:r w:rsidR="0055249E">
              <w:rPr>
                <w:i/>
                <w:color w:val="595959" w:themeColor="text1" w:themeTint="A6"/>
                <w:szCs w:val="18"/>
              </w:rPr>
              <w:t xml:space="preserve"> met betrekking tot bedrijven actief op het gebied </w:t>
            </w:r>
            <w:r w:rsidRPr="0065221B">
              <w:rPr>
                <w:i/>
                <w:color w:val="595959" w:themeColor="text1" w:themeTint="A6"/>
                <w:szCs w:val="18"/>
              </w:rPr>
              <w:t xml:space="preserve">van crypto-activa. De regels voor </w:t>
            </w:r>
            <w:proofErr w:type="spellStart"/>
            <w:r w:rsidRPr="0065221B">
              <w:rPr>
                <w:i/>
                <w:color w:val="595959" w:themeColor="text1" w:themeTint="A6"/>
                <w:szCs w:val="18"/>
              </w:rPr>
              <w:t>due</w:t>
            </w:r>
            <w:proofErr w:type="spellEnd"/>
            <w:r w:rsidRPr="0065221B">
              <w:rPr>
                <w:i/>
                <w:color w:val="595959" w:themeColor="text1" w:themeTint="A6"/>
                <w:szCs w:val="18"/>
              </w:rPr>
              <w:t xml:space="preserve"> diligence-procedures, rapportagevereisten en andere regels die van toepassing zijn op rapporterende crypto-activadienstverleners zijn gebaseerd op het OESO-rapportagekader voor crypto-activa.</w:t>
            </w:r>
          </w:p>
        </w:tc>
      </w:tr>
      <w:tr w:rsidRPr="00A9227F" w:rsidR="001666FE" w:rsidTr="0055249E">
        <w:trPr>
          <w:trHeight w:val="74"/>
        </w:trPr>
        <w:tc>
          <w:tcPr>
            <w:tcW w:w="421" w:type="dxa"/>
            <w:tcBorders>
              <w:top w:val="nil"/>
              <w:bottom w:val="single" w:color="D9D9D9" w:themeColor="background1" w:themeShade="D9" w:sz="4" w:space="0"/>
            </w:tcBorders>
            <w:shd w:val="clear" w:color="auto" w:fill="F2F2F2" w:themeFill="background1" w:themeFillShade="F2"/>
          </w:tcPr>
          <w:p w:rsidRPr="00A9227F" w:rsidR="001666FE" w:rsidP="00432042" w:rsidRDefault="001666FE">
            <w:pPr>
              <w:spacing w:after="240"/>
              <w:rPr>
                <w:color w:val="595959" w:themeColor="text1" w:themeTint="A6"/>
                <w:szCs w:val="18"/>
              </w:rPr>
            </w:pPr>
          </w:p>
        </w:tc>
        <w:tc>
          <w:tcPr>
            <w:tcW w:w="1035" w:type="dxa"/>
          </w:tcPr>
          <w:p w:rsidRPr="00A9227F" w:rsidR="001666FE" w:rsidP="00432042" w:rsidRDefault="001666FE">
            <w:pPr>
              <w:spacing w:after="240"/>
              <w:rPr>
                <w:color w:val="595959" w:themeColor="text1" w:themeTint="A6"/>
                <w:szCs w:val="18"/>
              </w:rPr>
            </w:pPr>
          </w:p>
        </w:tc>
        <w:tc>
          <w:tcPr>
            <w:tcW w:w="6529" w:type="dxa"/>
          </w:tcPr>
          <w:p w:rsidRPr="00A9227F" w:rsidR="001666FE" w:rsidP="00432042" w:rsidRDefault="001666FE">
            <w:pPr>
              <w:spacing w:after="240"/>
              <w:rPr>
                <w:color w:val="595959" w:themeColor="text1" w:themeTint="A6"/>
                <w:szCs w:val="18"/>
              </w:rPr>
            </w:pPr>
          </w:p>
        </w:tc>
      </w:tr>
    </w:tbl>
    <w:p w:rsidR="001666FE" w:rsidP="001666FE" w:rsidRDefault="001666FE">
      <w:pPr>
        <w:pStyle w:val="Lijstalinea"/>
        <w:rPr>
          <w:b/>
          <w:szCs w:val="18"/>
        </w:rPr>
      </w:pPr>
    </w:p>
    <w:p w:rsidR="001666FE" w:rsidP="001666FE" w:rsidRDefault="001666FE">
      <w:pPr>
        <w:pStyle w:val="Lijstalinea"/>
        <w:rPr>
          <w:b/>
          <w:szCs w:val="18"/>
        </w:rPr>
      </w:pPr>
    </w:p>
    <w:p w:rsidRPr="00A9227F" w:rsidR="00820149" w:rsidP="00820149" w:rsidRDefault="00D27FE7">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Titel</w:t>
            </w:r>
          </w:p>
        </w:tc>
        <w:tc>
          <w:tcPr>
            <w:tcW w:w="6529" w:type="dxa"/>
          </w:tcPr>
          <w:p w:rsidRPr="005C16CC" w:rsidR="00417FA6" w:rsidP="00417FA6" w:rsidRDefault="00417FA6">
            <w:pPr>
              <w:shd w:val="clear" w:color="auto" w:fill="FFFFFF"/>
              <w:spacing w:after="75"/>
              <w:rPr>
                <w:szCs w:val="18"/>
                <w:lang w:val="en-GB" w:eastAsia="nl-NL"/>
              </w:rPr>
            </w:pPr>
            <w:r w:rsidRPr="005C16CC">
              <w:rPr>
                <w:szCs w:val="18"/>
                <w:lang w:val="en-GB"/>
              </w:rPr>
              <w:t>Proposal for a COUNCIL IMPLEMENTING DECISION on the approval of the assessment of the recovery and resilience plan for Hungary</w:t>
            </w:r>
          </w:p>
          <w:p w:rsidRPr="00A9227F" w:rsidR="00D75535" w:rsidP="00417FA6" w:rsidRDefault="005C2F48">
            <w:pPr>
              <w:spacing w:after="240"/>
              <w:rPr>
                <w:b/>
                <w:color w:val="595959" w:themeColor="text1" w:themeTint="A6"/>
                <w:szCs w:val="18"/>
              </w:rPr>
            </w:pPr>
            <w:hyperlink w:history="1" r:id="rId26">
              <w:r w:rsidR="00417FA6">
                <w:rPr>
                  <w:rStyle w:val="Hyperlink"/>
                  <w:szCs w:val="18"/>
                </w:rPr>
                <w:t>COM(2022)686</w:t>
              </w:r>
            </w:hyperlink>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szCs w:val="18"/>
              </w:rPr>
            </w:pPr>
          </w:p>
        </w:tc>
        <w:tc>
          <w:tcPr>
            <w:tcW w:w="1035" w:type="dxa"/>
          </w:tcPr>
          <w:p w:rsidRPr="00A9227F" w:rsidR="00D75535" w:rsidP="002A4BD8" w:rsidRDefault="00D75535">
            <w:pPr>
              <w:spacing w:after="240"/>
              <w:rPr>
                <w:szCs w:val="18"/>
              </w:rPr>
            </w:pPr>
            <w:r w:rsidRPr="00A9227F">
              <w:rPr>
                <w:szCs w:val="18"/>
              </w:rPr>
              <w:t>Voorstel</w:t>
            </w:r>
          </w:p>
        </w:tc>
        <w:tc>
          <w:tcPr>
            <w:tcW w:w="6529" w:type="dxa"/>
          </w:tcPr>
          <w:p w:rsidRPr="00A9227F" w:rsidR="00D75535" w:rsidP="002A4BD8" w:rsidRDefault="00E64AFF">
            <w:pPr>
              <w:spacing w:after="240"/>
              <w:rPr>
                <w:szCs w:val="18"/>
              </w:rPr>
            </w:pPr>
            <w:r>
              <w:rPr>
                <w:szCs w:val="18"/>
              </w:rPr>
              <w:t xml:space="preserve">Desgewenst betrokken bij het commissiedebat </w:t>
            </w:r>
            <w:r w:rsidRPr="00E64AFF">
              <w:rPr>
                <w:szCs w:val="18"/>
              </w:rPr>
              <w:t>Eurogroep/</w:t>
            </w:r>
            <w:proofErr w:type="spellStart"/>
            <w:r w:rsidRPr="00E64AFF">
              <w:rPr>
                <w:szCs w:val="18"/>
              </w:rPr>
              <w:t>Ecofinraad</w:t>
            </w:r>
            <w:proofErr w:type="spellEnd"/>
            <w:r>
              <w:rPr>
                <w:szCs w:val="18"/>
              </w:rPr>
              <w:t xml:space="preserve"> van 1 december jl.</w:t>
            </w:r>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Noot</w:t>
            </w:r>
          </w:p>
        </w:tc>
        <w:tc>
          <w:tcPr>
            <w:tcW w:w="6529" w:type="dxa"/>
          </w:tcPr>
          <w:p w:rsidRPr="00DF3FF4" w:rsidR="00D75535" w:rsidP="00F71FC4" w:rsidRDefault="00E64AFF">
            <w:pPr>
              <w:spacing w:after="240"/>
              <w:rPr>
                <w:i/>
                <w:color w:val="595959" w:themeColor="text1" w:themeTint="A6"/>
                <w:szCs w:val="18"/>
              </w:rPr>
            </w:pPr>
            <w:r w:rsidRPr="00DF3FF4">
              <w:rPr>
                <w:i/>
                <w:color w:val="595959" w:themeColor="text1" w:themeTint="A6"/>
                <w:szCs w:val="18"/>
              </w:rPr>
              <w:t xml:space="preserve">Het betreft de beoordeling van de Europese Commissie ten aanzien van het Hongaarse RRF herstelplan en het daarin opgenomen voorstel van de Europese Commissie </w:t>
            </w:r>
            <w:r w:rsidRPr="00DF3FF4" w:rsidR="00761379">
              <w:rPr>
                <w:i/>
                <w:color w:val="595959" w:themeColor="text1" w:themeTint="A6"/>
                <w:szCs w:val="18"/>
              </w:rPr>
              <w:t xml:space="preserve">aan de Raad over condities (implementatie 27 </w:t>
            </w:r>
            <w:r w:rsidR="00F71FC4">
              <w:rPr>
                <w:i/>
                <w:color w:val="595959" w:themeColor="text1" w:themeTint="A6"/>
                <w:szCs w:val="18"/>
              </w:rPr>
              <w:t>'</w:t>
            </w:r>
            <w:r w:rsidRPr="00DF3FF4" w:rsidR="00761379">
              <w:rPr>
                <w:i/>
                <w:color w:val="595959" w:themeColor="text1" w:themeTint="A6"/>
                <w:szCs w:val="18"/>
              </w:rPr>
              <w:t>mijlpalen</w:t>
            </w:r>
            <w:r w:rsidR="00F71FC4">
              <w:rPr>
                <w:i/>
                <w:color w:val="595959" w:themeColor="text1" w:themeTint="A6"/>
                <w:szCs w:val="18"/>
              </w:rPr>
              <w:t>'</w:t>
            </w:r>
            <w:r w:rsidRPr="00DF3FF4" w:rsidR="00761379">
              <w:rPr>
                <w:i/>
                <w:color w:val="595959" w:themeColor="text1" w:themeTint="A6"/>
                <w:szCs w:val="18"/>
              </w:rPr>
              <w:t>) waaronder Hongarije het voor dit land gereserveerde RFF-budget alsnog uitgekeerd zou kunnen krijgen</w:t>
            </w:r>
            <w:r w:rsidRPr="00DF3FF4">
              <w:rPr>
                <w:i/>
                <w:color w:val="595959" w:themeColor="text1" w:themeTint="A6"/>
                <w:szCs w:val="18"/>
              </w:rPr>
              <w:t>.</w:t>
            </w:r>
          </w:p>
        </w:tc>
      </w:tr>
    </w:tbl>
    <w:p w:rsidRPr="00A9227F" w:rsidR="00D75535" w:rsidP="006F2511" w:rsidRDefault="00D75535">
      <w:pPr>
        <w:rPr>
          <w:szCs w:val="18"/>
        </w:rPr>
      </w:pPr>
    </w:p>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CE635D">
            <w:pPr>
              <w:spacing w:after="240"/>
              <w:rPr>
                <w:b/>
                <w:color w:val="595959" w:themeColor="text1" w:themeTint="A6"/>
                <w:szCs w:val="18"/>
              </w:rPr>
            </w:pPr>
            <w:r>
              <w:rPr>
                <w:szCs w:val="18"/>
              </w:rPr>
              <w:t xml:space="preserve">Voorstel voor een BESLUIT VAN DE RAAD betreffende het namens de Europese Unie in het Gemengd Comité van de EER in te nemen standpunt over de wijziging van bijlage IX (Financiële diensten) bij de EER-overeenkomst (Centrale </w:t>
            </w:r>
            <w:proofErr w:type="spellStart"/>
            <w:r>
              <w:rPr>
                <w:szCs w:val="18"/>
              </w:rPr>
              <w:t>effectenbewaarinstelling</w:t>
            </w:r>
            <w:proofErr w:type="spellEnd"/>
            <w:r>
              <w:rPr>
                <w:szCs w:val="18"/>
              </w:rPr>
              <w:t xml:space="preserve"> – Liechtenstein) </w:t>
            </w:r>
            <w:hyperlink w:history="1" r:id="rId27">
              <w:r>
                <w:rPr>
                  <w:rStyle w:val="Hyperlink"/>
                  <w:szCs w:val="18"/>
                </w:rPr>
                <w:t>COM(2022)706</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DF3FF4">
            <w:pPr>
              <w:spacing w:after="240"/>
              <w:rPr>
                <w:szCs w:val="18"/>
              </w:rPr>
            </w:pPr>
            <w:r>
              <w:rPr>
                <w:szCs w:val="18"/>
              </w:rPr>
              <w:t>Voor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F93DD4" w:rsidR="002A4BD8" w:rsidP="007626C9" w:rsidRDefault="00DF3FF4">
            <w:pPr>
              <w:spacing w:after="240"/>
              <w:rPr>
                <w:i/>
                <w:color w:val="595959" w:themeColor="text1" w:themeTint="A6"/>
                <w:szCs w:val="18"/>
              </w:rPr>
            </w:pPr>
            <w:r w:rsidRPr="00F93DD4">
              <w:rPr>
                <w:i/>
                <w:color w:val="595959" w:themeColor="text1" w:themeTint="A6"/>
                <w:szCs w:val="18"/>
              </w:rPr>
              <w:t>Het betreft een besluit van de Raad tot het innemen van een positie binnen het overleg in EER</w:t>
            </w:r>
            <w:r w:rsidRPr="00F93DD4" w:rsidR="007D61DA">
              <w:rPr>
                <w:i/>
                <w:color w:val="595959" w:themeColor="text1" w:themeTint="A6"/>
                <w:szCs w:val="18"/>
              </w:rPr>
              <w:t>-</w:t>
            </w:r>
            <w:r w:rsidRPr="00F93DD4">
              <w:rPr>
                <w:i/>
                <w:color w:val="595959" w:themeColor="text1" w:themeTint="A6"/>
                <w:szCs w:val="18"/>
              </w:rPr>
              <w:t xml:space="preserve">verband om een </w:t>
            </w:r>
            <w:r w:rsidR="00F93DD4">
              <w:rPr>
                <w:i/>
                <w:color w:val="595959" w:themeColor="text1" w:themeTint="A6"/>
                <w:szCs w:val="18"/>
              </w:rPr>
              <w:t xml:space="preserve">bestaande </w:t>
            </w:r>
            <w:r w:rsidRPr="00F93DD4">
              <w:rPr>
                <w:i/>
                <w:color w:val="595959" w:themeColor="text1" w:themeTint="A6"/>
                <w:szCs w:val="18"/>
              </w:rPr>
              <w:t xml:space="preserve">derogatie </w:t>
            </w:r>
            <w:r w:rsidR="00F93DD4">
              <w:rPr>
                <w:i/>
                <w:color w:val="595959" w:themeColor="text1" w:themeTint="A6"/>
                <w:szCs w:val="18"/>
              </w:rPr>
              <w:t>van</w:t>
            </w:r>
            <w:r w:rsidRPr="00F93DD4">
              <w:rPr>
                <w:i/>
                <w:color w:val="595959" w:themeColor="text1" w:themeTint="A6"/>
                <w:szCs w:val="18"/>
              </w:rPr>
              <w:t xml:space="preserve"> Liechtenstein met betrekking tot </w:t>
            </w:r>
            <w:r w:rsidRPr="00F93DD4" w:rsidR="007D61DA">
              <w:rPr>
                <w:i/>
                <w:color w:val="595959" w:themeColor="text1" w:themeTint="A6"/>
                <w:szCs w:val="18"/>
              </w:rPr>
              <w:t xml:space="preserve">centrale </w:t>
            </w:r>
            <w:proofErr w:type="spellStart"/>
            <w:r w:rsidRPr="00F93DD4" w:rsidR="007D61DA">
              <w:rPr>
                <w:i/>
                <w:color w:val="595959" w:themeColor="text1" w:themeTint="A6"/>
                <w:szCs w:val="18"/>
              </w:rPr>
              <w:t>effectenbewaarinstellingen</w:t>
            </w:r>
            <w:proofErr w:type="spellEnd"/>
            <w:r w:rsidRPr="00F93DD4" w:rsidR="007D61DA">
              <w:rPr>
                <w:i/>
                <w:color w:val="595959" w:themeColor="text1" w:themeTint="A6"/>
                <w:szCs w:val="18"/>
              </w:rPr>
              <w:t>, te verlengen. L</w:t>
            </w:r>
            <w:r w:rsidR="00717B9F">
              <w:rPr>
                <w:i/>
                <w:color w:val="595959" w:themeColor="text1" w:themeTint="A6"/>
                <w:szCs w:val="18"/>
              </w:rPr>
              <w:t xml:space="preserve">iechtenstein neemt als land behorend tot </w:t>
            </w:r>
            <w:r w:rsidRPr="00F93DD4" w:rsidR="007D61DA">
              <w:rPr>
                <w:i/>
                <w:color w:val="595959" w:themeColor="text1" w:themeTint="A6"/>
                <w:szCs w:val="18"/>
              </w:rPr>
              <w:t xml:space="preserve">de Europese </w:t>
            </w:r>
            <w:r w:rsidRPr="00F93DD4" w:rsidR="007D61DA">
              <w:rPr>
                <w:i/>
                <w:color w:val="595959" w:themeColor="text1" w:themeTint="A6"/>
                <w:szCs w:val="18"/>
              </w:rPr>
              <w:lastRenderedPageBreak/>
              <w:t xml:space="preserve">Economische Ruimte </w:t>
            </w:r>
            <w:r w:rsidRPr="00F93DD4" w:rsidR="00F93DD4">
              <w:rPr>
                <w:i/>
                <w:color w:val="595959" w:themeColor="text1" w:themeTint="A6"/>
                <w:szCs w:val="18"/>
              </w:rPr>
              <w:t xml:space="preserve">EU-wetgeving </w:t>
            </w:r>
            <w:r w:rsidRPr="00F93DD4" w:rsidR="007D61DA">
              <w:rPr>
                <w:i/>
                <w:color w:val="595959" w:themeColor="text1" w:themeTint="A6"/>
                <w:szCs w:val="18"/>
              </w:rPr>
              <w:t>in belangrijke mate over</w:t>
            </w:r>
            <w:r w:rsidR="007626C9">
              <w:rPr>
                <w:i/>
                <w:color w:val="595959" w:themeColor="text1" w:themeTint="A6"/>
                <w:szCs w:val="18"/>
              </w:rPr>
              <w:t xml:space="preserve"> en is daarmee ook gebonden aan de verplichtingen die daaruit voortvloeien.</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5C2F48"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5C16CC" w:rsidR="002A4BD8" w:rsidP="003A21AA" w:rsidRDefault="005C71C8">
            <w:pPr>
              <w:spacing w:after="240"/>
              <w:rPr>
                <w:b/>
                <w:color w:val="595959" w:themeColor="text1" w:themeTint="A6"/>
                <w:szCs w:val="18"/>
                <w:lang w:val="en-GB"/>
              </w:rPr>
            </w:pPr>
            <w:r w:rsidRPr="005C2F48">
              <w:rPr>
                <w:szCs w:val="18"/>
                <w:lang w:val="en-GB"/>
              </w:rPr>
              <w:t>Proposal for a COUNCIL IMPLEMENTING DECISION amending Council Implementing Decision (EU) (ST 10155/21; S</w:t>
            </w:r>
            <w:r w:rsidRPr="005C16CC">
              <w:rPr>
                <w:szCs w:val="18"/>
                <w:lang w:val="en-GB"/>
              </w:rPr>
              <w:t xml:space="preserve">T 10155/21 ADD 1) on the approval of the assessment of the recovery and resilience plan for Luxembourg </w:t>
            </w:r>
            <w:hyperlink w:history="1" r:id="rId28">
              <w:r w:rsidRPr="005C16CC">
                <w:rPr>
                  <w:rStyle w:val="Hyperlink"/>
                  <w:szCs w:val="18"/>
                  <w:lang w:val="en-GB"/>
                </w:rPr>
                <w:t>COM(2022)737</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5C16CC" w:rsidR="002A4BD8" w:rsidP="003A21AA" w:rsidRDefault="002A4BD8">
            <w:pPr>
              <w:spacing w:after="240"/>
              <w:rPr>
                <w:szCs w:val="18"/>
                <w:lang w:val="en-GB"/>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DF3FF4">
            <w:pPr>
              <w:spacing w:after="240"/>
              <w:rPr>
                <w:szCs w:val="18"/>
              </w:rPr>
            </w:pPr>
            <w:r>
              <w:rPr>
                <w:szCs w:val="18"/>
              </w:rPr>
              <w:t>Voor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DF3FF4" w:rsidR="002A4BD8" w:rsidP="003A21AA" w:rsidRDefault="00DF3FF4">
            <w:pPr>
              <w:spacing w:after="240"/>
              <w:rPr>
                <w:i/>
                <w:color w:val="595959" w:themeColor="text1" w:themeTint="A6"/>
                <w:szCs w:val="18"/>
              </w:rPr>
            </w:pPr>
            <w:r w:rsidRPr="00DF3FF4">
              <w:rPr>
                <w:i/>
                <w:color w:val="595959" w:themeColor="text1" w:themeTint="A6"/>
                <w:szCs w:val="18"/>
              </w:rPr>
              <w:t>Het betreft een besluit om akkoord te gaan met enkele modificaties aan het eerder goedgekeurde RRF-plan van Luxemburg.</w:t>
            </w:r>
          </w:p>
        </w:tc>
      </w:tr>
    </w:tbl>
    <w:p w:rsidRPr="00A9227F" w:rsidR="002A4BD8" w:rsidP="002A4BD8" w:rsidRDefault="002A4BD8">
      <w:pPr>
        <w:rPr>
          <w:szCs w:val="18"/>
        </w:rPr>
      </w:pPr>
    </w:p>
    <w:p w:rsidRPr="00A9227F" w:rsidR="00DF5A2E" w:rsidP="002A4BD8" w:rsidRDefault="00DF5A2E">
      <w:pPr>
        <w:rPr>
          <w:szCs w:val="18"/>
        </w:rPr>
      </w:pPr>
    </w:p>
    <w:p w:rsidRPr="00A9227F" w:rsidR="00DF5A2E" w:rsidP="002A4BD8" w:rsidRDefault="00DF5A2E">
      <w:pPr>
        <w:rPr>
          <w:szCs w:val="18"/>
        </w:rPr>
      </w:pPr>
    </w:p>
    <w:p w:rsidRPr="00A9227F" w:rsidR="006E5214" w:rsidP="002A4BD8" w:rsidRDefault="006E5214">
      <w:pPr>
        <w:rPr>
          <w:szCs w:val="18"/>
        </w:rPr>
      </w:pPr>
    </w:p>
    <w:p w:rsidRPr="00A9227F" w:rsidR="006E5214" w:rsidP="002A4BD8" w:rsidRDefault="006E5214">
      <w:pPr>
        <w:rPr>
          <w:szCs w:val="18"/>
        </w:rPr>
      </w:pPr>
    </w:p>
    <w:sectPr w:rsidRPr="00A9227F" w:rsidR="006E5214" w:rsidSect="00BF62AD">
      <w:headerReference w:type="default" r:id="rId29"/>
      <w:footerReference w:type="default" r:id="rId30"/>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CA8" w:rsidRDefault="00315CA8">
      <w:r>
        <w:separator/>
      </w:r>
    </w:p>
  </w:endnote>
  <w:endnote w:type="continuationSeparator" w:id="0">
    <w:p w:rsidR="00315CA8" w:rsidRDefault="0031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5C2F48">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5C2F48">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5C2F48">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5C2F48">
                      <w:rPr>
                        <w:noProof/>
                      </w:rPr>
                      <w:t>4</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CA8" w:rsidRDefault="00315CA8">
      <w:r>
        <w:separator/>
      </w:r>
    </w:p>
  </w:footnote>
  <w:footnote w:type="continuationSeparator" w:id="0">
    <w:p w:rsidR="00315CA8" w:rsidRDefault="00315CA8">
      <w:r>
        <w:continuationSeparator/>
      </w:r>
    </w:p>
  </w:footnote>
  <w:footnote w:id="1">
    <w:p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FC3AE5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44C7"/>
    <w:rsid w:val="00006780"/>
    <w:rsid w:val="00010B5E"/>
    <w:rsid w:val="00010EF2"/>
    <w:rsid w:val="000123FA"/>
    <w:rsid w:val="00013B5B"/>
    <w:rsid w:val="00016110"/>
    <w:rsid w:val="00026D47"/>
    <w:rsid w:val="000339A6"/>
    <w:rsid w:val="00035057"/>
    <w:rsid w:val="00036674"/>
    <w:rsid w:val="000423A9"/>
    <w:rsid w:val="00045831"/>
    <w:rsid w:val="00050D24"/>
    <w:rsid w:val="00051FEC"/>
    <w:rsid w:val="000546B1"/>
    <w:rsid w:val="00057179"/>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666FE"/>
    <w:rsid w:val="001706B1"/>
    <w:rsid w:val="00170AFB"/>
    <w:rsid w:val="001715CC"/>
    <w:rsid w:val="00172FFF"/>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5C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C3736"/>
    <w:rsid w:val="003D22ED"/>
    <w:rsid w:val="003D2527"/>
    <w:rsid w:val="003D450D"/>
    <w:rsid w:val="003D5554"/>
    <w:rsid w:val="003D660C"/>
    <w:rsid w:val="003E6EA2"/>
    <w:rsid w:val="003F628A"/>
    <w:rsid w:val="00403FAF"/>
    <w:rsid w:val="00405747"/>
    <w:rsid w:val="00405E90"/>
    <w:rsid w:val="0041042A"/>
    <w:rsid w:val="00411808"/>
    <w:rsid w:val="0041634B"/>
    <w:rsid w:val="00416E67"/>
    <w:rsid w:val="00417FA6"/>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1B8"/>
    <w:rsid w:val="00461756"/>
    <w:rsid w:val="0046311A"/>
    <w:rsid w:val="00464184"/>
    <w:rsid w:val="00467409"/>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249E"/>
    <w:rsid w:val="00554CBF"/>
    <w:rsid w:val="00565011"/>
    <w:rsid w:val="00575841"/>
    <w:rsid w:val="005764BF"/>
    <w:rsid w:val="00577C1B"/>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6CC"/>
    <w:rsid w:val="005C1BD1"/>
    <w:rsid w:val="005C2F48"/>
    <w:rsid w:val="005C4AF5"/>
    <w:rsid w:val="005C4C7F"/>
    <w:rsid w:val="005C71C8"/>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221B"/>
    <w:rsid w:val="00653181"/>
    <w:rsid w:val="0065323F"/>
    <w:rsid w:val="006537C4"/>
    <w:rsid w:val="00655929"/>
    <w:rsid w:val="00656188"/>
    <w:rsid w:val="00661ACE"/>
    <w:rsid w:val="00661F6A"/>
    <w:rsid w:val="006635A7"/>
    <w:rsid w:val="00667A74"/>
    <w:rsid w:val="00673519"/>
    <w:rsid w:val="00682002"/>
    <w:rsid w:val="00682DDE"/>
    <w:rsid w:val="00690F44"/>
    <w:rsid w:val="006919C8"/>
    <w:rsid w:val="0069224D"/>
    <w:rsid w:val="0069362C"/>
    <w:rsid w:val="00693D3B"/>
    <w:rsid w:val="00694B16"/>
    <w:rsid w:val="00697687"/>
    <w:rsid w:val="006A15AD"/>
    <w:rsid w:val="006A45D8"/>
    <w:rsid w:val="006A4888"/>
    <w:rsid w:val="006A5210"/>
    <w:rsid w:val="006B0B28"/>
    <w:rsid w:val="006B488A"/>
    <w:rsid w:val="006C4176"/>
    <w:rsid w:val="006C4B63"/>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17B9F"/>
    <w:rsid w:val="007204C6"/>
    <w:rsid w:val="00720DBB"/>
    <w:rsid w:val="00721758"/>
    <w:rsid w:val="00721E15"/>
    <w:rsid w:val="00723DF8"/>
    <w:rsid w:val="007248BC"/>
    <w:rsid w:val="00726354"/>
    <w:rsid w:val="00736908"/>
    <w:rsid w:val="007417AC"/>
    <w:rsid w:val="007439D7"/>
    <w:rsid w:val="00745D31"/>
    <w:rsid w:val="00755534"/>
    <w:rsid w:val="00757AA5"/>
    <w:rsid w:val="00761379"/>
    <w:rsid w:val="007626C9"/>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D61DA"/>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6979"/>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35D"/>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60E3"/>
    <w:rsid w:val="00D67F7F"/>
    <w:rsid w:val="00D7255C"/>
    <w:rsid w:val="00D72CC9"/>
    <w:rsid w:val="00D73B24"/>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3FF4"/>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4AFF"/>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1FC4"/>
    <w:rsid w:val="00F73681"/>
    <w:rsid w:val="00F839FE"/>
    <w:rsid w:val="00F84683"/>
    <w:rsid w:val="00F85D51"/>
    <w:rsid w:val="00F85F4D"/>
    <w:rsid w:val="00F87AC5"/>
    <w:rsid w:val="00F9004F"/>
    <w:rsid w:val="00F9024C"/>
    <w:rsid w:val="00F938C6"/>
    <w:rsid w:val="00F93DD4"/>
    <w:rsid w:val="00F9641A"/>
    <w:rsid w:val="00F9703B"/>
    <w:rsid w:val="00FA03AA"/>
    <w:rsid w:val="00FA0CB3"/>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9F087C1"/>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0925627">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14814919">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0917">
      <w:bodyDiv w:val="1"/>
      <w:marLeft w:val="0"/>
      <w:marRight w:val="0"/>
      <w:marTop w:val="0"/>
      <w:marBottom w:val="0"/>
      <w:divBdr>
        <w:top w:val="none" w:sz="0" w:space="0" w:color="auto"/>
        <w:left w:val="none" w:sz="0" w:space="0" w:color="auto"/>
        <w:bottom w:val="none" w:sz="0" w:space="0" w:color="auto"/>
        <w:right w:val="none" w:sz="0" w:space="0" w:color="auto"/>
      </w:divBdr>
    </w:div>
    <w:div w:id="965770154">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44138143">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487893013">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70131302">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OM%3A2022%3A696%3AFIN&amp;qid=1670845431535" TargetMode="External" Id="rId18" /><Relationship Type="http://schemas.openxmlformats.org/officeDocument/2006/relationships/hyperlink" Target="https://eur-lex.europa.eu/legal-content/NL/TXT/?uri=COM%3A2022%3A686%3AFIN&amp;qid=1669896541805" TargetMode="External" Id="rId26" /><Relationship Type="http://schemas.openxmlformats.org/officeDocument/2006/relationships/hyperlink" Target="https://eur-lex.europa.eu/legal-content/NL/TXT/?uri=COM%3A2022%3A760%3AFIN&amp;qid=1670845714367"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ELEX%3A52022PC0704&amp;qid=1670837520551" TargetMode="External" Id="rId17" /><Relationship Type="http://schemas.openxmlformats.org/officeDocument/2006/relationships/hyperlink" Target="https://eur-lex.europa.eu/legal-content/NL/TXT/?uri=CELEX%3A52022PC0707&amp;qid=1670837242370" TargetMode="External" Id="rId25" /><Relationship Type="http://schemas.openxmlformats.org/officeDocument/2006/relationships/hyperlink" Target="https://eur-lex.europa.eu/legal-content/NL/TXT/?uri=CELEX%3A52022PC0703&amp;qid=1670837461179" TargetMode="External" Id="rId16" /><Relationship Type="http://schemas.openxmlformats.org/officeDocument/2006/relationships/hyperlink" Target="https://eur-lex.europa.eu/legal-content/NL/TXT/?uri=COM%3A2022%3A698%3AFIN&amp;qid=1670845608318" TargetMode="External" Id="rId20" /><Relationship Type="http://schemas.openxmlformats.org/officeDocument/2006/relationships/header" Target="header2.xml" Id="rId29" /><Relationship Type="http://schemas.openxmlformats.org/officeDocument/2006/relationships/footnotes" Target="footnotes.xml" Id="rId11" /><Relationship Type="http://schemas.openxmlformats.org/officeDocument/2006/relationships/hyperlink" Target="https://eur-lex.europa.eu/legal-content/NL/TXT/?uri=CELEX%3A52022PC0702&amp;qid=1670837937303" TargetMode="External" Id="rId24" /><Relationship Type="http://schemas.openxmlformats.org/officeDocument/2006/relationships/theme" Target="theme/theme1.xml" Id="rId32" /><Relationship Type="http://schemas.openxmlformats.org/officeDocument/2006/relationships/hyperlink" Target="https://eur-lex.europa.eu/legal-content/NL/TXT/?uri=CELEX%3A52022PC0701&amp;qid=1670838004144" TargetMode="External" Id="rId15" /><Relationship Type="http://schemas.openxmlformats.org/officeDocument/2006/relationships/hyperlink" Target="https://eur-lex.europa.eu/legal-content/NL/TXT/?uri=COM%3A2022%3A762%3AFIN&amp;qid=1670845856804" TargetMode="External" Id="rId23" /><Relationship Type="http://schemas.openxmlformats.org/officeDocument/2006/relationships/hyperlink" Target="https://eur-lex.europa.eu/legal-content/NL/TXT/?uri=COM%3A2022%3A737%3AFIN&amp;qid=1670847666927" TargetMode="External" Id="rId28" /><Relationship Type="http://schemas.openxmlformats.org/officeDocument/2006/relationships/webSettings" Target="webSettings.xml" Id="rId10" /><Relationship Type="http://schemas.openxmlformats.org/officeDocument/2006/relationships/hyperlink" Target="https://eur-lex.europa.eu/legal-content/NL/TXT/?uri=COM%3A2022%3A697%3AFIN&amp;qid=1670838542760" TargetMode="External" Id="rId19" /><Relationship Type="http://schemas.openxmlformats.org/officeDocument/2006/relationships/fontTable" Target="fontTable.xml" Id="rId31"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eur-lex.europa.eu/legal-content/NL/TXT/?uri=COM%3A2022%3A761%3AFIN&amp;qid=1670845794312" TargetMode="External" Id="rId22" /><Relationship Type="http://schemas.openxmlformats.org/officeDocument/2006/relationships/hyperlink" Target="https://eur-lex.europa.eu/legal-content/NL/TXT/?uri=CELEX%3A52022PC0706&amp;qid=1670837581731" TargetMode="External" Id="rId27" /><Relationship Type="http://schemas.openxmlformats.org/officeDocument/2006/relationships/footer" Target="footer2.xml" Id="rId30"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942</ap:Words>
  <ap:Characters>7455</ap:Characters>
  <ap:DocSecurity>4</ap:DocSecurity>
  <ap:Lines>62</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2022-12-19T16:25:00.0000000Z</dcterms:created>
  <dcterms:modified xsi:type="dcterms:W3CDTF">2022-12-19T16:25:00.0000000Z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41dd89c6-c8f8-42c0-b07e-061abe75cbd4</vt:lpwstr>
  </property>
</Properties>
</file>