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06AD917C" w14:textId="77777777">
          <w:pPr>
            <w:tabs>
              <w:tab w:val="left" w:pos="3686"/>
            </w:tabs>
          </w:pPr>
          <w:r>
            <w:rPr>
              <w:noProof/>
            </w:rPr>
            <mc:AlternateContent>
              <mc:Choice Requires="wps">
                <w:drawing>
                  <wp:anchor distT="0" distB="0" distL="114300" distR="114300" simplePos="0" relativeHeight="251657728" behindDoc="0" locked="0" layoutInCell="1" allowOverlap="1" wp14:editId="3AAF265B" wp14:anchorId="4B3B3D6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90B25C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3B3D6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690B25C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D8CF974" wp14:anchorId="6C5F42A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W13.22.0120/III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9 november 2022</w:t>
              </w:r>
            </w:sdtContent>
          </w:sdt>
        </w:p>
        <w:p w:rsidR="00503044" w:rsidP="00503044" w:rsidRDefault="00503044" w14:paraId="4BB303E9" w14:textId="77777777">
          <w:pPr>
            <w:tabs>
              <w:tab w:val="left" w:pos="3685"/>
            </w:tabs>
          </w:pPr>
        </w:p>
        <w:p w:rsidR="00503044" w:rsidP="00503044" w:rsidRDefault="00503044" w14:paraId="2DA9CE8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2724BA" w:rsidRDefault="00773697" w14:paraId="6664AC17" w14:textId="77777777">
              <w:r>
                <w:t>Bij Kabinetsmissive van 12 juli 2022, no.2022001533, heeft Uwe Majesteit, op voordracht van de Minister van Volksgezondheid, Welzijn en Sport, mede namens de Minister van Binnenlandse Zaken en Koninkrijksrelaties, bij de Afdeling advisering van de Raad van State ter overweging aanhangig gemaakt het voorstel van wet tot wijziging van de Wet kwaliteit, klachten en geschillen zorg in verband met het regelen van regie op kwaliteitsregistraties in de zorg en grondslagen om ten behoeve van die kwaliteitsregistraties bijzondere persoonsgegevens te kunnen verwerken (Wet kwaliteitsregistraties zorg.), met memorie van toelichting.</w:t>
              </w:r>
            </w:p>
          </w:sdtContent>
        </w:sdt>
        <w:p w:rsidR="0071031E" w:rsidRDefault="0071031E" w14:paraId="3F2ADE26" w14:textId="77777777"/>
        <w:sdt>
          <w:sdtPr>
            <w:alias w:val="VrijeTekst1"/>
            <w:tag w:val="VrijeTekst1"/>
            <w:id w:val="-437221631"/>
            <w:lock w:val="sdtLocked"/>
          </w:sdtPr>
          <w:sdtEndPr/>
          <w:sdtContent>
            <w:sdt>
              <w:sdtPr>
                <w:alias w:val="VrijeTekst1"/>
                <w:tag w:val="VrijeTekst1"/>
                <w:id w:val="-1453553038"/>
              </w:sdtPr>
              <w:sdtEndPr/>
              <w:sdtContent>
                <w:p w:rsidRPr="00297C07" w:rsidR="00E17569" w:rsidP="00E17569" w:rsidRDefault="00773697" w14:paraId="6A9931F1" w14:textId="77777777">
                  <w:r w:rsidRPr="00297C07">
                    <w:t xml:space="preserve">Het </w:t>
                  </w:r>
                  <w:r>
                    <w:t>wets</w:t>
                  </w:r>
                  <w:r w:rsidRPr="00297C07">
                    <w:t xml:space="preserve">voorstel regelt een wettelijke grondslag voor de verwerking van (bijzondere) persoonsgegevens </w:t>
                  </w:r>
                  <w:r>
                    <w:t>door</w:t>
                  </w:r>
                  <w:r w:rsidRPr="00297C07">
                    <w:t xml:space="preserve"> kwaliteitsregistraties in de medisch-specialistische zorg, voor het meten en verbeteren van de kwaliteit van de zorg. </w:t>
                  </w:r>
                  <w:r>
                    <w:t>Daarnaast regelt het voorstel dat k</w:t>
                  </w:r>
                  <w:r w:rsidRPr="00297C07">
                    <w:t>waliteitsregistraties die aan de wettelijke voorwaarden voldoen</w:t>
                  </w:r>
                  <w:r>
                    <w:t>,</w:t>
                  </w:r>
                  <w:r w:rsidRPr="00297C07">
                    <w:t xml:space="preserve"> worden opgenomen in een openbaar register voor kwaliteitsregistraties, dat door het Zorginstituut Nederland</w:t>
                  </w:r>
                  <w:r>
                    <w:t xml:space="preserve"> (hierna: </w:t>
                  </w:r>
                  <w:proofErr w:type="spellStart"/>
                  <w:r>
                    <w:t>ZiN</w:t>
                  </w:r>
                  <w:proofErr w:type="spellEnd"/>
                  <w:r>
                    <w:t>)</w:t>
                  </w:r>
                  <w:r w:rsidRPr="00297C07">
                    <w:t xml:space="preserve"> zal worden bijgehouden. Voor kwaliteitsregistraties in </w:t>
                  </w:r>
                  <w:r>
                    <w:t>dit</w:t>
                  </w:r>
                  <w:r w:rsidRPr="00297C07">
                    <w:t xml:space="preserve"> register geldt dat zorgaanbieders worden verplicht cliëntgegevens aan te leveren.</w:t>
                  </w:r>
                </w:p>
                <w:p w:rsidRPr="00297C07" w:rsidR="00E17569" w:rsidP="00E17569" w:rsidRDefault="00FC3B2A" w14:paraId="121DD819" w14:textId="77777777"/>
                <w:p w:rsidR="00514E47" w:rsidP="00E17569" w:rsidRDefault="00773697" w14:paraId="1DF7FFFD" w14:textId="77777777">
                  <w:r w:rsidRPr="00297C07">
                    <w:t xml:space="preserve">De Afdeling advisering van de Raad van State </w:t>
                  </w:r>
                  <w:r>
                    <w:t xml:space="preserve">merkt op </w:t>
                  </w:r>
                  <w:r w:rsidRPr="006229F5">
                    <w:t xml:space="preserve">dat private partijen ten aanzien van </w:t>
                  </w:r>
                  <w:r>
                    <w:t xml:space="preserve">de registratie van </w:t>
                  </w:r>
                  <w:r w:rsidRPr="006229F5">
                    <w:t xml:space="preserve">kwaliteitsregistraties </w:t>
                  </w:r>
                  <w:r>
                    <w:t xml:space="preserve">in het openbare register </w:t>
                  </w:r>
                  <w:r w:rsidRPr="006229F5">
                    <w:t xml:space="preserve">een initiërende </w:t>
                  </w:r>
                  <w:r>
                    <w:t xml:space="preserve">en besluitvormende </w:t>
                  </w:r>
                  <w:r w:rsidRPr="006229F5">
                    <w:t>rol krijgen</w:t>
                  </w:r>
                  <w:r>
                    <w:t xml:space="preserve">. Het kan voorkomen dat er tegengestelde wensen bestaan ten aanzien van de totstandkoming van een kwaliteitsregistratie. Dat betekent in dit voorstel dat de kwaliteitsregistratie er niet komt, wat de doelstellingen van het voorstel raakt. De Afdeling adviseert hierop in de toelichting nader in te gaan. </w:t>
                  </w:r>
                </w:p>
                <w:p w:rsidR="00514E47" w:rsidP="00E17569" w:rsidRDefault="00FC3B2A" w14:paraId="4E245CA2" w14:textId="77777777"/>
                <w:p w:rsidR="00E17569" w:rsidP="00E17569" w:rsidRDefault="00773697" w14:paraId="640296E1" w14:textId="77777777">
                  <w:r>
                    <w:t>Voorts</w:t>
                  </w:r>
                  <w:r w:rsidRPr="00E10FC2">
                    <w:t xml:space="preserve"> </w:t>
                  </w:r>
                  <w:r>
                    <w:t>adviseert</w:t>
                  </w:r>
                  <w:r w:rsidRPr="00E10FC2">
                    <w:t xml:space="preserve"> de Afdeling het </w:t>
                  </w:r>
                  <w:r>
                    <w:t>wets</w:t>
                  </w:r>
                  <w:r w:rsidRPr="00E10FC2">
                    <w:t xml:space="preserve">voorstel </w:t>
                  </w:r>
                  <w:r w:rsidRPr="009C5AE7">
                    <w:t>nu te beperken tot de medisch-specialistische zorg</w:t>
                  </w:r>
                  <w:r>
                    <w:t>, omdat het te vroeg is om al te kunnen vaststellen dat de uitbreiding naar andere sectoren bij algemene maatregel van bestuur (</w:t>
                  </w:r>
                  <w:proofErr w:type="spellStart"/>
                  <w:r>
                    <w:t>amvb</w:t>
                  </w:r>
                  <w:proofErr w:type="spellEnd"/>
                  <w:r>
                    <w:t xml:space="preserve">) kan worden geregeld. Ook dient in de toelichting nader te worden ingegaan op de administratieve lasten van het naast elkaar blijven bestaan van kwaliteitsregistratie in en buiten het openbare register. </w:t>
                  </w:r>
                  <w:proofErr w:type="gramStart"/>
                  <w:r>
                    <w:t>Tevens</w:t>
                  </w:r>
                  <w:proofErr w:type="gramEnd"/>
                  <w:r>
                    <w:t xml:space="preserve"> adviseert zij de nadere regels over voorwaarden waaraan een aanvraag tot opneming van een kwaliteitsregistratie in het openbaar register moet voldoen, op te nemen in een </w:t>
                  </w:r>
                  <w:proofErr w:type="spellStart"/>
                  <w:r>
                    <w:t>amvb</w:t>
                  </w:r>
                  <w:proofErr w:type="spellEnd"/>
                  <w:r>
                    <w:t xml:space="preserve"> in plaats van een ministeriële regeling. Tot slot acht de Afdeling het niet uitgesloten dat, </w:t>
                  </w:r>
                  <w:r w:rsidRPr="009C5AE7">
                    <w:t>anders dan de toelichting stelt, de rechten van betrokkenen onder omstandigheden toch in het geding kunnen komen.</w:t>
                  </w:r>
                  <w:r>
                    <w:t xml:space="preserve"> Zij a</w:t>
                  </w:r>
                  <w:r w:rsidRPr="009C5AE7">
                    <w:t>dviseert daar in de toelichting nader op in te gaan.</w:t>
                  </w:r>
                  <w:r>
                    <w:t xml:space="preserve"> </w:t>
                  </w:r>
                </w:p>
                <w:p w:rsidR="002724BA" w:rsidRDefault="002724BA" w14:paraId="52632262" w14:textId="77777777"/>
                <w:sdt>
                  <w:sdtPr>
                    <w:alias w:val="VrijeTekst1"/>
                    <w:tag w:val="VrijeTekst1"/>
                    <w:id w:val="-1912228807"/>
                  </w:sdtPr>
                  <w:sdtEndPr/>
                  <w:sdtContent>
                    <w:p w:rsidRPr="00297C07" w:rsidR="00E17569" w:rsidP="00E17569" w:rsidRDefault="00773697" w14:paraId="402AF1FA" w14:textId="77777777">
                      <w:pPr>
                        <w:rPr>
                          <w:u w:val="single"/>
                        </w:rPr>
                      </w:pPr>
                      <w:r w:rsidRPr="00297C07">
                        <w:t>1.</w:t>
                      </w:r>
                      <w:r w:rsidRPr="00297C07">
                        <w:tab/>
                      </w:r>
                      <w:r w:rsidRPr="00297C07">
                        <w:rPr>
                          <w:u w:val="single"/>
                        </w:rPr>
                        <w:t xml:space="preserve">Inhoud van het </w:t>
                      </w:r>
                      <w:r>
                        <w:rPr>
                          <w:u w:val="single"/>
                        </w:rPr>
                        <w:t>wets</w:t>
                      </w:r>
                      <w:r w:rsidRPr="00297C07">
                        <w:rPr>
                          <w:u w:val="single"/>
                        </w:rPr>
                        <w:t>voorstel</w:t>
                      </w:r>
                    </w:p>
                    <w:p w:rsidRPr="00297C07" w:rsidR="00E17569" w:rsidP="00E17569" w:rsidRDefault="00FC3B2A" w14:paraId="4A91DEA2" w14:textId="77777777"/>
                    <w:p w:rsidR="00C86ADA" w:rsidP="00E17569" w:rsidRDefault="00773697" w14:paraId="5916CC62" w14:textId="77777777">
                      <w:r w:rsidRPr="00297C07">
                        <w:t xml:space="preserve">Het voorstel regelt een wettelijke grondslag voor de verwerking van (bijzondere) persoonsgegevens </w:t>
                      </w:r>
                      <w:r>
                        <w:t xml:space="preserve">door </w:t>
                      </w:r>
                      <w:r w:rsidRPr="00297C07">
                        <w:t xml:space="preserve">kwaliteitsregistraties in de medisch-specialistische zorg, </w:t>
                      </w:r>
                      <w:r w:rsidRPr="00297C07">
                        <w:lastRenderedPageBreak/>
                        <w:t xml:space="preserve">voor het meten en verbeteren van de kwaliteit van de zorg. </w:t>
                      </w:r>
                      <w:r>
                        <w:t xml:space="preserve">Daartoe </w:t>
                      </w:r>
                      <w:r w:rsidRPr="00297C07">
                        <w:t xml:space="preserve">regelt het </w:t>
                      </w:r>
                      <w:r>
                        <w:t>wets</w:t>
                      </w:r>
                      <w:r w:rsidRPr="00297C07">
                        <w:t xml:space="preserve">voorstel </w:t>
                      </w:r>
                      <w:r>
                        <w:t xml:space="preserve">ook </w:t>
                      </w:r>
                      <w:r w:rsidRPr="00297C07">
                        <w:t xml:space="preserve">dat er een openbaar register voor kwaliteitsregistraties komt, dat zal worden bijgehouden door het </w:t>
                      </w:r>
                      <w:proofErr w:type="spellStart"/>
                      <w:r w:rsidRPr="00297C07">
                        <w:t>ZiN</w:t>
                      </w:r>
                      <w:proofErr w:type="spellEnd"/>
                      <w:r w:rsidRPr="00297C07">
                        <w:t>.</w:t>
                      </w:r>
                      <w:r w:rsidRPr="00297C07">
                        <w:rPr>
                          <w:vertAlign w:val="superscript"/>
                        </w:rPr>
                        <w:footnoteReference w:id="1"/>
                      </w:r>
                      <w:r w:rsidRPr="00297C07">
                        <w:t xml:space="preserve"> </w:t>
                      </w:r>
                      <w:r>
                        <w:t xml:space="preserve">Het </w:t>
                      </w:r>
                      <w:proofErr w:type="spellStart"/>
                      <w:r>
                        <w:t>ZiN</w:t>
                      </w:r>
                      <w:proofErr w:type="spellEnd"/>
                      <w:r>
                        <w:t xml:space="preserve"> toetst a</w:t>
                      </w:r>
                      <w:r w:rsidRPr="00297C07">
                        <w:t xml:space="preserve">anvragen om kwaliteitsregistraties in het register op te nemen aan de </w:t>
                      </w:r>
                      <w:r>
                        <w:t xml:space="preserve">tevens </w:t>
                      </w:r>
                      <w:r w:rsidRPr="00297C07">
                        <w:t>in het wetsvoorstel opgenomen voorwaarden.</w:t>
                      </w:r>
                      <w:r w:rsidRPr="00297C07">
                        <w:rPr>
                          <w:vertAlign w:val="superscript"/>
                        </w:rPr>
                        <w:footnoteReference w:id="2"/>
                      </w:r>
                      <w:r w:rsidRPr="00297C07">
                        <w:t xml:space="preserve"> </w:t>
                      </w:r>
                    </w:p>
                    <w:p w:rsidR="00C86ADA" w:rsidP="00E17569" w:rsidRDefault="00FC3B2A" w14:paraId="5AABBC24" w14:textId="77777777"/>
                    <w:p w:rsidRPr="00297C07" w:rsidR="00E17569" w:rsidP="00E17569" w:rsidRDefault="00773697" w14:paraId="095DAA8A" w14:textId="77777777">
                      <w:r>
                        <w:t>Voor die kwaliteitsregistraties geldt dan dat er een wettelijke grondslag is voor de verwerking van bijzondere persoonsgegevens. Toestemming van cliënten is niet meer nodig. Zorgaanbieders zijn bovendien wettelijk verplicht deze gegevens aan te leveren,</w:t>
                      </w:r>
                      <w:r w:rsidRPr="00297C07">
                        <w:rPr>
                          <w:vertAlign w:val="superscript"/>
                        </w:rPr>
                        <w:footnoteReference w:id="3"/>
                      </w:r>
                      <w:r>
                        <w:t xml:space="preserve"> die anders onder het medisch beroepsgeheim zouden vallen. Het voorstel regelt daarmee ook aspecten van de </w:t>
                      </w:r>
                      <w:proofErr w:type="spellStart"/>
                      <w:r>
                        <w:t>governance</w:t>
                      </w:r>
                      <w:proofErr w:type="spellEnd"/>
                      <w:r>
                        <w:t xml:space="preserve"> van kwaliteitsregistraties. </w:t>
                      </w:r>
                      <w:r w:rsidRPr="00297C07">
                        <w:t xml:space="preserve">Het </w:t>
                      </w:r>
                      <w:r>
                        <w:t>wets</w:t>
                      </w:r>
                      <w:r w:rsidRPr="00297C07">
                        <w:t>voorstel is vooralsnog alleen van toepassing op de medisch-specialistische zorg</w:t>
                      </w:r>
                      <w:r>
                        <w:t>,</w:t>
                      </w:r>
                      <w:r w:rsidRPr="00297C07">
                        <w:t xml:space="preserve"> met uitzondering van de GGZ</w:t>
                      </w:r>
                      <w:r>
                        <w:t>.</w:t>
                      </w:r>
                      <w:r w:rsidRPr="00297C07">
                        <w:t xml:space="preserve"> </w:t>
                      </w:r>
                      <w:r>
                        <w:t>B</w:t>
                      </w:r>
                      <w:r w:rsidRPr="00297C07">
                        <w:t>eoogd wordt de reikwijdte ervan na twee jaar te verbreden naar alle zorg.</w:t>
                      </w:r>
                    </w:p>
                    <w:p w:rsidR="002724BA" w:rsidRDefault="002724BA" w14:paraId="69643477" w14:textId="77777777"/>
                    <w:p w:rsidRPr="00297C07" w:rsidR="00E17569" w:rsidP="00E17569" w:rsidRDefault="00773697" w14:paraId="443DAC3F" w14:textId="77777777">
                      <w:r w:rsidRPr="00297C07">
                        <w:t>2.</w:t>
                      </w:r>
                      <w:r w:rsidRPr="00297C07">
                        <w:tab/>
                      </w:r>
                      <w:r w:rsidRPr="00297C07">
                        <w:rPr>
                          <w:u w:val="single"/>
                        </w:rPr>
                        <w:t>Aanleiding</w:t>
                      </w:r>
                    </w:p>
                    <w:p w:rsidRPr="00297C07" w:rsidR="00E17569" w:rsidP="00E17569" w:rsidRDefault="00FC3B2A" w14:paraId="0D05BFC3" w14:textId="77777777"/>
                    <w:p w:rsidRPr="00297C07" w:rsidR="00E17569" w:rsidP="00E17569" w:rsidRDefault="00773697" w14:paraId="309A4B45" w14:textId="77777777">
                      <w:r>
                        <w:t xml:space="preserve">Eind 2015 oordeelde het College voor </w:t>
                      </w:r>
                      <w:proofErr w:type="spellStart"/>
                      <w:r>
                        <w:t>Bescherping</w:t>
                      </w:r>
                      <w:proofErr w:type="spellEnd"/>
                      <w:r>
                        <w:t xml:space="preserve"> van Persoonsgegevens CBP dat </w:t>
                      </w:r>
                      <w:proofErr w:type="spellStart"/>
                      <w:r>
                        <w:t>gepseudonimiseerde</w:t>
                      </w:r>
                      <w:proofErr w:type="spellEnd"/>
                      <w:r>
                        <w:t xml:space="preserve"> gegevens persoonsgegevens zijn in de zin van de </w:t>
                      </w:r>
                      <w:proofErr w:type="spellStart"/>
                      <w:r>
                        <w:t>Wbp</w:t>
                      </w:r>
                      <w:proofErr w:type="spellEnd"/>
                      <w:r>
                        <w:t xml:space="preserve"> (gebaseerd op richtlijn 95/46). Vervolgens werd de Algemene Verordening Gegevensbescherming AVG, met de inwerkingtreding daarvan, ook van toepassing op </w:t>
                      </w:r>
                      <w:proofErr w:type="spellStart"/>
                      <w:r>
                        <w:t>gepseudonimiseerde</w:t>
                      </w:r>
                      <w:proofErr w:type="spellEnd"/>
                      <w:r>
                        <w:t xml:space="preserve"> gegevens. Voor de bestaande kwaliteitsregistraties had dit tot gevolg </w:t>
                      </w:r>
                      <w:r w:rsidRPr="00297C07">
                        <w:t>dat zij een grondslag moesten hebben om deze persoonsgegevens te mogen verwerken. Kwaliteitsregistraties hebben daarna gewerkt met de toestemming van cliënten als juridische grondslag.</w:t>
                      </w:r>
                    </w:p>
                    <w:p w:rsidRPr="00297C07" w:rsidR="00E17569" w:rsidP="00E17569" w:rsidRDefault="00FC3B2A" w14:paraId="2A466F15" w14:textId="77777777"/>
                    <w:p w:rsidRPr="00297C07" w:rsidR="00E17569" w:rsidP="00E17569" w:rsidRDefault="00773697" w14:paraId="6B204A60" w14:textId="77777777">
                      <w:r w:rsidRPr="00297C07">
                        <w:t xml:space="preserve">Dit blijkt in de praktijk niet langer werkbaar. </w:t>
                      </w:r>
                      <w:proofErr w:type="gramStart"/>
                      <w:r w:rsidRPr="00297C07">
                        <w:t>Indien</w:t>
                      </w:r>
                      <w:proofErr w:type="gramEnd"/>
                      <w:r w:rsidRPr="00297C07">
                        <w:t xml:space="preserve"> gegevens ontbreken in een kwaliteitsregistratie, omdat cliënten geen toestemming hebben gegeven voor het gebruik van hun gegevens, bieden de wel aanwezige gegevens geen goede afspiegeling van de aan alle cliënten verleende zorg. De groep cliënten is dan niet representatief voor de volledige groep cliënten om wie het in de betreffende kwaliteitsregistratie gaat en de kwaliteitsregistratie kan haar doel dan niet meer dienen. </w:t>
                      </w:r>
                    </w:p>
                    <w:p w:rsidRPr="00297C07" w:rsidR="00E17569" w:rsidP="00E17569" w:rsidRDefault="00FC3B2A" w14:paraId="50D2253B" w14:textId="77777777"/>
                    <w:p w:rsidRPr="00297C07" w:rsidR="00E17569" w:rsidP="00E17569" w:rsidRDefault="00773697" w14:paraId="28EB390D" w14:textId="77777777">
                      <w:r w:rsidRPr="00297C07">
                        <w:t xml:space="preserve">Daarnaast is het aantal kwaliteitsregistraties door de jaren heen fors toegenomen, </w:t>
                      </w:r>
                      <w:r>
                        <w:t xml:space="preserve">in het bijzonder </w:t>
                      </w:r>
                      <w:r w:rsidRPr="00297C07">
                        <w:t>in de medisch-specialistische zorg</w:t>
                      </w:r>
                      <w:r>
                        <w:t>.</w:t>
                      </w:r>
                      <w:r w:rsidRPr="00297C07">
                        <w:t xml:space="preserve"> </w:t>
                      </w:r>
                      <w:r>
                        <w:t>D</w:t>
                      </w:r>
                      <w:r w:rsidRPr="00297C07">
                        <w:t>aaruit blijkt dat hieraan in die zorgsector kennelijk veel behoefte wordt gevoeld. Daarmee namen evenwel ook de administratieve lasten voor zorgverleners toe. D</w:t>
                      </w:r>
                      <w:r>
                        <w:t xml:space="preserve">aarom werd in </w:t>
                      </w:r>
                      <w:r w:rsidRPr="00297C07">
                        <w:t xml:space="preserve">2018 een adviescommissie </w:t>
                      </w:r>
                      <w:r>
                        <w:t>ingesteld door de ondertekenaars van het bestuurlijke akkoord medisch specialistische zorg</w:t>
                      </w:r>
                      <w:r w:rsidRPr="00297C07">
                        <w:t xml:space="preserve">, met de opdracht een verkenning te doen naar een efficiënt werkende </w:t>
                      </w:r>
                      <w:proofErr w:type="spellStart"/>
                      <w:r w:rsidRPr="00297C07">
                        <w:t>governance</w:t>
                      </w:r>
                      <w:proofErr w:type="spellEnd"/>
                      <w:r w:rsidRPr="00297C07">
                        <w:t xml:space="preserve"> voor kwaliteitsregistraties en de daaruit </w:t>
                      </w:r>
                      <w:r w:rsidRPr="00297C07">
                        <w:lastRenderedPageBreak/>
                        <w:t>voortvloeiende dataverzameling. Het rapport</w:t>
                      </w:r>
                      <w:r w:rsidRPr="00297C07">
                        <w:rPr>
                          <w:vertAlign w:val="superscript"/>
                        </w:rPr>
                        <w:footnoteReference w:id="4"/>
                      </w:r>
                      <w:r w:rsidRPr="00297C07">
                        <w:t xml:space="preserve"> van de commissie verscheen in maart 2019 en bevatte onder meer aanbevelingen om te zorgen voor de benodigde juridische grondslagen en om tot beheersing te komen van kwaliteitsregistraties in de medisch-specialistische zorg. Het onderhavige voorstel is mede op dit rapport gebaseerd.</w:t>
                      </w:r>
                    </w:p>
                    <w:p w:rsidR="002724BA" w:rsidRDefault="002724BA" w14:paraId="62F881C9" w14:textId="77777777"/>
                    <w:p w:rsidRPr="00297C07" w:rsidR="00E17569" w:rsidP="00E17569" w:rsidRDefault="00773697" w14:paraId="7297E298" w14:textId="77777777">
                      <w:r w:rsidRPr="00297C07">
                        <w:t>3.</w:t>
                      </w:r>
                      <w:r w:rsidRPr="00297C07">
                        <w:tab/>
                      </w:r>
                      <w:r w:rsidRPr="00297C07">
                        <w:rPr>
                          <w:u w:val="single"/>
                        </w:rPr>
                        <w:t xml:space="preserve">Taken en bevoegdheden </w:t>
                      </w:r>
                      <w:proofErr w:type="spellStart"/>
                      <w:r w:rsidRPr="00297C07">
                        <w:rPr>
                          <w:u w:val="single"/>
                        </w:rPr>
                        <w:t>ZiN</w:t>
                      </w:r>
                      <w:proofErr w:type="spellEnd"/>
                    </w:p>
                    <w:p w:rsidR="00E17569" w:rsidP="00E17569" w:rsidRDefault="00FC3B2A" w14:paraId="47DCD49C" w14:textId="77777777"/>
                    <w:p w:rsidRPr="00297C07" w:rsidR="00E17569" w:rsidP="00E17569" w:rsidRDefault="00773697" w14:paraId="7DD53404" w14:textId="77777777">
                      <w:r>
                        <w:t xml:space="preserve">a. </w:t>
                      </w:r>
                      <w:r>
                        <w:tab/>
                      </w:r>
                      <w:r>
                        <w:rPr>
                          <w:i/>
                          <w:iCs/>
                        </w:rPr>
                        <w:t xml:space="preserve">Beoordeling door het </w:t>
                      </w:r>
                      <w:proofErr w:type="spellStart"/>
                      <w:r>
                        <w:rPr>
                          <w:i/>
                          <w:iCs/>
                        </w:rPr>
                        <w:t>ZiN</w:t>
                      </w:r>
                      <w:proofErr w:type="spellEnd"/>
                    </w:p>
                    <w:p w:rsidR="00C86ADA" w:rsidP="00E17569" w:rsidRDefault="00773697" w14:paraId="77398B5D" w14:textId="77777777">
                      <w:r>
                        <w:t>Naast de benodigde wettelijke grondslag voor de gegevensverwerking regelt h</w:t>
                      </w:r>
                      <w:r w:rsidRPr="00297C07">
                        <w:t xml:space="preserve">et voorstel verschillende taken voor het </w:t>
                      </w:r>
                      <w:proofErr w:type="spellStart"/>
                      <w:r w:rsidRPr="00297C07">
                        <w:t>ZiN</w:t>
                      </w:r>
                      <w:proofErr w:type="spellEnd"/>
                      <w:r w:rsidRPr="00297C07">
                        <w:t xml:space="preserve">. Het </w:t>
                      </w:r>
                      <w:proofErr w:type="spellStart"/>
                      <w:r w:rsidRPr="00297C07">
                        <w:t>ZiN</w:t>
                      </w:r>
                      <w:proofErr w:type="spellEnd"/>
                      <w:r w:rsidRPr="00297C07">
                        <w:t xml:space="preserve"> zal het openbaar register voor kwaliteitsregistraties bijhouden en aanvragen behandelen tot opneming van kwaliteitsregistraties in dat register</w:t>
                      </w:r>
                      <w:r w:rsidRPr="00297C07">
                        <w:rPr>
                          <w:vertAlign w:val="superscript"/>
                        </w:rPr>
                        <w:footnoteReference w:id="5"/>
                      </w:r>
                      <w:r w:rsidRPr="00297C07">
                        <w:t xml:space="preserve">. Het initiatief daartoe ligt bij de toekomstige verwerkingsverantwoordelijke. Wettelijke voorwaarden waaraan het </w:t>
                      </w:r>
                      <w:proofErr w:type="spellStart"/>
                      <w:r w:rsidRPr="00297C07">
                        <w:t>ZiN</w:t>
                      </w:r>
                      <w:proofErr w:type="spellEnd"/>
                      <w:r w:rsidRPr="00297C07">
                        <w:t xml:space="preserve"> aanvragen zal toetsen zijn onder meer</w:t>
                      </w:r>
                      <w:r>
                        <w:t>:</w:t>
                      </w:r>
                      <w:r w:rsidRPr="00297C07">
                        <w:rPr>
                          <w:vertAlign w:val="superscript"/>
                        </w:rPr>
                        <w:footnoteReference w:id="6"/>
                      </w:r>
                    </w:p>
                    <w:p w:rsidRPr="00297C07" w:rsidR="00E17569" w:rsidP="00E17569" w:rsidRDefault="00773697" w14:paraId="75A4702F" w14:textId="77777777">
                      <w:r w:rsidRPr="00297C07">
                        <w:t xml:space="preserve"> </w:t>
                      </w:r>
                    </w:p>
                    <w:p w:rsidRPr="00297C07" w:rsidR="00E17569" w:rsidP="00C86ADA" w:rsidRDefault="00773697" w14:paraId="4070AF97" w14:textId="77777777">
                      <w:pPr>
                        <w:numPr>
                          <w:ilvl w:val="0"/>
                          <w:numId w:val="6"/>
                        </w:numPr>
                        <w:ind w:left="284" w:hanging="284"/>
                      </w:pPr>
                      <w:proofErr w:type="gramStart"/>
                      <w:r w:rsidRPr="00297C07">
                        <w:t>er</w:t>
                      </w:r>
                      <w:proofErr w:type="gramEnd"/>
                      <w:r w:rsidRPr="00297C07">
                        <w:t xml:space="preserve"> mogen geen gegevens in worden verwerkt in strijd met enig wettelijk voorschrift, </w:t>
                      </w:r>
                    </w:p>
                    <w:p w:rsidRPr="00297C07" w:rsidR="00E17569" w:rsidP="00C86ADA" w:rsidRDefault="00773697" w14:paraId="3E0CF8B7" w14:textId="77777777">
                      <w:pPr>
                        <w:numPr>
                          <w:ilvl w:val="0"/>
                          <w:numId w:val="6"/>
                        </w:numPr>
                        <w:ind w:left="284" w:hanging="284"/>
                      </w:pPr>
                      <w:proofErr w:type="gramStart"/>
                      <w:r w:rsidRPr="00297C07">
                        <w:t>de</w:t>
                      </w:r>
                      <w:proofErr w:type="gramEnd"/>
                      <w:r w:rsidRPr="00297C07">
                        <w:t xml:space="preserve"> registraties moeten voldoen aan de eisen van noodzakelijkheid, proportionaliteit en subsidiariteit, </w:t>
                      </w:r>
                    </w:p>
                    <w:p w:rsidRPr="00297C07" w:rsidR="00E17569" w:rsidP="00C86ADA" w:rsidRDefault="00773697" w14:paraId="12AE5B8D" w14:textId="77777777">
                      <w:pPr>
                        <w:numPr>
                          <w:ilvl w:val="0"/>
                          <w:numId w:val="6"/>
                        </w:numPr>
                        <w:ind w:left="284" w:hanging="284"/>
                      </w:pPr>
                      <w:proofErr w:type="gramStart"/>
                      <w:r w:rsidRPr="00297C07">
                        <w:t>ze</w:t>
                      </w:r>
                      <w:proofErr w:type="gramEnd"/>
                      <w:r w:rsidRPr="00297C07">
                        <w:t xml:space="preserve"> moeten geheel of gedeeltelijk betrekking hebben op de medisch-specialistische zorg,</w:t>
                      </w:r>
                    </w:p>
                    <w:p w:rsidRPr="00297C07" w:rsidR="00E17569" w:rsidP="00C86ADA" w:rsidRDefault="00773697" w14:paraId="45FAE63F" w14:textId="77777777">
                      <w:pPr>
                        <w:numPr>
                          <w:ilvl w:val="0"/>
                          <w:numId w:val="6"/>
                        </w:numPr>
                        <w:ind w:left="284" w:hanging="284"/>
                      </w:pPr>
                      <w:proofErr w:type="gramStart"/>
                      <w:r w:rsidRPr="00297C07">
                        <w:t>er</w:t>
                      </w:r>
                      <w:proofErr w:type="gramEnd"/>
                      <w:r w:rsidRPr="00297C07">
                        <w:t xml:space="preserve"> moet voldoende draagvlak voor bestaan bij belanghebbende organisaties van cliënten, zorgaanbieders, zorgverleners en zorgverzekeraars en</w:t>
                      </w:r>
                    </w:p>
                    <w:p w:rsidR="00E17569" w:rsidP="00C86ADA" w:rsidRDefault="00773697" w14:paraId="455FD74D" w14:textId="77777777">
                      <w:pPr>
                        <w:numPr>
                          <w:ilvl w:val="0"/>
                          <w:numId w:val="6"/>
                        </w:numPr>
                        <w:ind w:left="284" w:hanging="284"/>
                      </w:pPr>
                      <w:proofErr w:type="gramStart"/>
                      <w:r w:rsidRPr="00297C07">
                        <w:t>voldaan</w:t>
                      </w:r>
                      <w:proofErr w:type="gramEnd"/>
                      <w:r w:rsidRPr="00297C07">
                        <w:t xml:space="preserve"> moet worden aan verschillende voorwaarden met betrekking tot de gegevensverwerking.</w:t>
                      </w:r>
                    </w:p>
                    <w:p w:rsidRPr="00297C07" w:rsidR="00C86ADA" w:rsidP="00C86ADA" w:rsidRDefault="00FC3B2A" w14:paraId="08D38BB4" w14:textId="77777777"/>
                    <w:p w:rsidRPr="00297C07" w:rsidR="00E17569" w:rsidP="00E17569" w:rsidRDefault="00773697" w14:paraId="36A32CFE" w14:textId="77777777">
                      <w:r w:rsidRPr="00297C07">
                        <w:t>Bij ministeriële regeling zullen nadere regels worden gesteld over de voorwaarden waaraan aanvragen moeten voldoen. De toelichting noemt dit het beoordelingskader. Een kwaliteitsregistratie wordt slechts opgenomen in het register voor kwaliteitsregistraties, als wordt voldaan aan deze nadere regels</w:t>
                      </w:r>
                      <w:r>
                        <w:t>.</w:t>
                      </w:r>
                      <w:r w:rsidRPr="00297C07">
                        <w:rPr>
                          <w:vertAlign w:val="superscript"/>
                        </w:rPr>
                        <w:footnoteReference w:id="7"/>
                      </w:r>
                    </w:p>
                    <w:p w:rsidRPr="00297C07" w:rsidR="00E17569" w:rsidP="00E17569" w:rsidRDefault="00FC3B2A" w14:paraId="2D01D362" w14:textId="77777777"/>
                    <w:p w:rsidRPr="00297C07" w:rsidR="00E17569" w:rsidP="00E17569" w:rsidRDefault="00773697" w14:paraId="3A17188A" w14:textId="77777777">
                      <w:r w:rsidRPr="00297C07">
                        <w:t xml:space="preserve">Voor de beoordeling of kwaliteitsregistraties aan deze voorwaarden voldoen is </w:t>
                      </w:r>
                      <w:r>
                        <w:t>“</w:t>
                      </w:r>
                      <w:r w:rsidRPr="00297C07">
                        <w:t>onafhankelijke oordeelsvorming op grond van specifieke deskundigheid</w:t>
                      </w:r>
                      <w:r>
                        <w:t>”</w:t>
                      </w:r>
                      <w:r w:rsidRPr="00297C07">
                        <w:rPr>
                          <w:vertAlign w:val="superscript"/>
                        </w:rPr>
                        <w:footnoteReference w:id="8"/>
                      </w:r>
                      <w:r w:rsidRPr="00297C07">
                        <w:t xml:space="preserve"> nodig, en daarom wordt deze taak belegd bij het </w:t>
                      </w:r>
                      <w:proofErr w:type="spellStart"/>
                      <w:r w:rsidRPr="00297C07">
                        <w:t>ZiN</w:t>
                      </w:r>
                      <w:proofErr w:type="spellEnd"/>
                      <w:r w:rsidRPr="00297C07">
                        <w:t xml:space="preserve">: een zelfstandig bestuursorgaan dat al belast is met de taak de continue kwaliteitsverbetering in de gezondheidszorg te stimuleren en voor iedereen toegankelijk te maken. Het </w:t>
                      </w:r>
                      <w:proofErr w:type="spellStart"/>
                      <w:r w:rsidRPr="00297C07">
                        <w:t>ZiN</w:t>
                      </w:r>
                      <w:proofErr w:type="spellEnd"/>
                      <w:r w:rsidRPr="00297C07">
                        <w:t xml:space="preserve"> houdt in dat kader een openbaar register bij van kwaliteitsstandaarden en meetinstrumenten.</w:t>
                      </w:r>
                      <w:r w:rsidRPr="00297C07">
                        <w:rPr>
                          <w:vertAlign w:val="superscript"/>
                        </w:rPr>
                        <w:footnoteReference w:id="9"/>
                      </w:r>
                      <w:r w:rsidRPr="00297C07">
                        <w:t xml:space="preserve"> Het voorstel stelt dat het afbreuk zou doen aan de </w:t>
                      </w:r>
                      <w:r w:rsidRPr="00297C07">
                        <w:lastRenderedPageBreak/>
                        <w:t xml:space="preserve">verantwoordelijkheid die het </w:t>
                      </w:r>
                      <w:proofErr w:type="spellStart"/>
                      <w:r w:rsidRPr="00297C07">
                        <w:t>ZiN</w:t>
                      </w:r>
                      <w:proofErr w:type="spellEnd"/>
                      <w:r w:rsidRPr="00297C07">
                        <w:t xml:space="preserve"> al draagt voor kwaliteitsbevordering en tot versnippering zou leiden, wanneer de verantwoordelijkheid voor het bijhouden van een register voor kwaliteitsregistraties en de beoordeling van kwaliteitsregistraties voor opname daarin</w:t>
                      </w:r>
                      <w:r>
                        <w:t>,</w:t>
                      </w:r>
                      <w:r w:rsidRPr="00297C07">
                        <w:t xml:space="preserve"> op een andere plaats zou worden belegd dan bij het </w:t>
                      </w:r>
                      <w:proofErr w:type="spellStart"/>
                      <w:r w:rsidRPr="00297C07">
                        <w:t>ZiN</w:t>
                      </w:r>
                      <w:proofErr w:type="spellEnd"/>
                      <w:r w:rsidRPr="00297C07">
                        <w:t>.</w:t>
                      </w:r>
                      <w:r w:rsidRPr="00297C07">
                        <w:rPr>
                          <w:vertAlign w:val="superscript"/>
                        </w:rPr>
                        <w:footnoteReference w:id="10"/>
                      </w:r>
                    </w:p>
                    <w:p w:rsidRPr="00297C07" w:rsidR="00E17569" w:rsidP="00E17569" w:rsidRDefault="00FC3B2A" w14:paraId="231539FB" w14:textId="77777777"/>
                    <w:p w:rsidRPr="00297C07" w:rsidR="00E17569" w:rsidP="00E17569" w:rsidRDefault="00773697" w14:paraId="005E0F7B" w14:textId="77777777">
                      <w:r>
                        <w:t>b.</w:t>
                      </w:r>
                      <w:r>
                        <w:tab/>
                      </w:r>
                      <w:r>
                        <w:rPr>
                          <w:i/>
                          <w:iCs/>
                        </w:rPr>
                        <w:t>Initiatief bij private partijen</w:t>
                      </w:r>
                    </w:p>
                    <w:p w:rsidRPr="00297C07" w:rsidR="00E17569" w:rsidP="00E17569" w:rsidRDefault="00773697" w14:paraId="33848520" w14:textId="77777777">
                      <w:r w:rsidRPr="00297C07">
                        <w:t>De toelichting benadrukt dat kwaliteitsregistraties een bijdrage leveren aan het waarborgen en bevorderen van (voldoende kwaliteit van) zorg in Nederland. Het doel van kwaliteitsregistraties is immers het verbeteren van de kwaliteit van de zorg, en daarmee het borgen van kwalitatief goede gezondheidszorg in Nederland.</w:t>
                      </w:r>
                      <w:r w:rsidRPr="00297C07">
                        <w:rPr>
                          <w:vertAlign w:val="superscript"/>
                        </w:rPr>
                        <w:footnoteReference w:id="11"/>
                      </w:r>
                      <w:r w:rsidRPr="00297C07">
                        <w:t xml:space="preserve"> </w:t>
                      </w:r>
                    </w:p>
                    <w:p w:rsidR="00E17569" w:rsidP="00E17569" w:rsidRDefault="00FC3B2A" w14:paraId="7DF3F33D" w14:textId="77777777"/>
                    <w:p w:rsidR="00C86ADA" w:rsidP="00E17569" w:rsidRDefault="00773697" w14:paraId="12C778DA" w14:textId="77777777">
                      <w:r w:rsidRPr="00297C07">
                        <w:t xml:space="preserve">De Afdeling constateert </w:t>
                      </w:r>
                      <w:r>
                        <w:t xml:space="preserve">in dat licht </w:t>
                      </w:r>
                      <w:r w:rsidRPr="00297C07">
                        <w:t xml:space="preserve">dat dit </w:t>
                      </w:r>
                      <w:r>
                        <w:t>wets</w:t>
                      </w:r>
                      <w:r w:rsidRPr="00297C07">
                        <w:t>voorstel het initiatief om kwaliteitsregistraties tot stand te brengen, nadrukkelijk bij private partijen legt</w:t>
                      </w:r>
                      <w:r>
                        <w:t>.</w:t>
                      </w:r>
                      <w:r w:rsidRPr="00297C07">
                        <w:t xml:space="preserve"> </w:t>
                      </w:r>
                      <w:r>
                        <w:t>D</w:t>
                      </w:r>
                      <w:r w:rsidRPr="00297C07">
                        <w:t xml:space="preserve">e veldpartijen (verwerkingsverantwoordelijke, in afstemming met zorgverleners, zorgaanbieders, cliënten en zorgverzekeraars) zijn </w:t>
                      </w:r>
                      <w:r>
                        <w:t xml:space="preserve">volgens de toelichting </w:t>
                      </w:r>
                      <w:r w:rsidRPr="00297C07">
                        <w:t>het beste in staat om vanuit die verschillende perspectieven in te schatten wat nodig én uitvoerbaar is om kwaliteit te meten en te verbeteren en te gebruiken in de spreekkamer.</w:t>
                      </w:r>
                      <w:r w:rsidRPr="00297C07">
                        <w:rPr>
                          <w:vertAlign w:val="superscript"/>
                        </w:rPr>
                        <w:footnoteReference w:id="12"/>
                      </w:r>
                      <w:r w:rsidRPr="00297C07">
                        <w:t xml:space="preserve"> </w:t>
                      </w:r>
                    </w:p>
                    <w:p w:rsidR="00C86ADA" w:rsidP="00E17569" w:rsidRDefault="00FC3B2A" w14:paraId="09740942" w14:textId="77777777"/>
                    <w:p w:rsidR="00E17569" w:rsidP="00E17569" w:rsidRDefault="00773697" w14:paraId="4393D615" w14:textId="77777777">
                      <w:r>
                        <w:t>Daarnaast is v</w:t>
                      </w:r>
                      <w:r w:rsidRPr="00297C07">
                        <w:t xml:space="preserve">oldoende draagvlak bij belanghebbende organisaties van cliënten, zorgaanbieders, zorgverleners en zorgverzekeraars één van de wettelijke voorwaarden waaraan een kwaliteitsregistratie moet voldoen om te kunnen worden opgenomen in het openbaar register kwaliteitsregistraties. </w:t>
                      </w:r>
                      <w:r>
                        <w:t>D</w:t>
                      </w:r>
                      <w:r w:rsidRPr="00297C07">
                        <w:t>e toelichting</w:t>
                      </w:r>
                      <w:r>
                        <w:t xml:space="preserve"> </w:t>
                      </w:r>
                      <w:r w:rsidRPr="00297C07">
                        <w:t>stelt dat denkbaar is dat niet alle belanghebbende organisaties daarbij van eenzelfde opvatting blijk geven, en dat de vraag welke consequenties dit heeft, niet in algemene zin te beantwoorden is.</w:t>
                      </w:r>
                      <w:r w:rsidRPr="00297C07">
                        <w:rPr>
                          <w:vertAlign w:val="superscript"/>
                        </w:rPr>
                        <w:footnoteReference w:id="13"/>
                      </w:r>
                      <w:r w:rsidRPr="00297C07">
                        <w:t xml:space="preserve"> De ontwikkelagenda en prioritering van kwaliteitsagenda’s gebeurt voor de medisch-specialistische zorg door de inhouds-</w:t>
                      </w:r>
                      <w:proofErr w:type="spellStart"/>
                      <w:r w:rsidRPr="00297C07">
                        <w:t>governancecommissie</w:t>
                      </w:r>
                      <w:proofErr w:type="spellEnd"/>
                      <w:r w:rsidRPr="00297C07">
                        <w:t xml:space="preserve">, zo is afgesproken door de partijen van het hoofdlijnenakkoord medisch-specialistische zorg. </w:t>
                      </w:r>
                    </w:p>
                    <w:p w:rsidR="00E17569" w:rsidP="00E17569" w:rsidRDefault="00FC3B2A" w14:paraId="1988CACF" w14:textId="77777777"/>
                    <w:p w:rsidR="00E17569" w:rsidP="00E17569" w:rsidRDefault="00773697" w14:paraId="2FD91F3F" w14:textId="77777777">
                      <w:r>
                        <w:t>c.</w:t>
                      </w:r>
                      <w:r>
                        <w:tab/>
                      </w:r>
                      <w:r w:rsidRPr="00B53B2A">
                        <w:rPr>
                          <w:i/>
                          <w:iCs/>
                        </w:rPr>
                        <w:t>Conclusie</w:t>
                      </w:r>
                    </w:p>
                    <w:p w:rsidR="009255D7" w:rsidP="00E17569" w:rsidRDefault="00773697" w14:paraId="379088A2" w14:textId="77777777">
                      <w:r>
                        <w:t>In het wetsvoorstel krijgen</w:t>
                      </w:r>
                      <w:r w:rsidRPr="006229F5">
                        <w:t xml:space="preserve"> private partijen ten aanzien van kwaliteitsregistraties een initiërende rol en </w:t>
                      </w:r>
                      <w:r>
                        <w:t xml:space="preserve">reageert </w:t>
                      </w:r>
                      <w:r w:rsidRPr="006229F5">
                        <w:t xml:space="preserve">het </w:t>
                      </w:r>
                      <w:proofErr w:type="spellStart"/>
                      <w:r w:rsidRPr="006229F5">
                        <w:t>ZiN</w:t>
                      </w:r>
                      <w:proofErr w:type="spellEnd"/>
                      <w:r w:rsidRPr="006229F5">
                        <w:t xml:space="preserve"> </w:t>
                      </w:r>
                      <w:r>
                        <w:t>op aanvragen die het voorgelegd krijgt. De Afdeling merkt op dat het kan voorkomen dat kwaliteitsregistraties niet tot stand komen omdat veldpartijen hiertoe geen initiatief nemen of omdat het draagvlak onvoldoende blijkt. Uit de toelichting blijkt niet dat deze mogelijke uitkomst is voorzien en of ook dan de doelstellingen van het voorstel zullen worden bereikt. De Afdeling adviseert hierop in de toelichting nader in te gaan.</w:t>
                      </w:r>
                    </w:p>
                    <w:p w:rsidR="002724BA" w:rsidRDefault="002724BA" w14:paraId="3ED67309" w14:textId="77777777"/>
                    <w:p w:rsidRPr="00297C07" w:rsidR="00E17569" w:rsidP="00E17569" w:rsidRDefault="00773697" w14:paraId="44080559" w14:textId="77777777">
                      <w:pPr>
                        <w:rPr>
                          <w:u w:val="single"/>
                        </w:rPr>
                      </w:pPr>
                      <w:r w:rsidRPr="00297C07">
                        <w:t>4.</w:t>
                      </w:r>
                      <w:r w:rsidRPr="00297C07">
                        <w:tab/>
                      </w:r>
                      <w:r w:rsidRPr="00297C07">
                        <w:rPr>
                          <w:u w:val="single"/>
                        </w:rPr>
                        <w:t>Administratieve lasten</w:t>
                      </w:r>
                    </w:p>
                    <w:p w:rsidRPr="00297C07" w:rsidR="00E17569" w:rsidP="00E17569" w:rsidRDefault="00FC3B2A" w14:paraId="02C20273" w14:textId="77777777"/>
                    <w:p w:rsidRPr="00297C07" w:rsidR="00E17569" w:rsidP="00E17569" w:rsidRDefault="00773697" w14:paraId="67E4A475" w14:textId="77777777">
                      <w:r w:rsidRPr="00297C07">
                        <w:t xml:space="preserve">Het </w:t>
                      </w:r>
                      <w:r>
                        <w:t>wets</w:t>
                      </w:r>
                      <w:r w:rsidRPr="00297C07">
                        <w:t>voorstel is mede ingegeven door de wens administratieve lasten te beperken die deelname aan kwaliteitsregistraties voor zorgaanbieders en zorgverleners meebrengt. Bij het opstellen van nadere regels waaraan kwaliteitsregistraties dienen te voldoen voor opname in het register, zal daarom rekening worden gehouden met administratieve lasten voor zorgaanbieders en zorgverleners.</w:t>
                      </w:r>
                      <w:r w:rsidRPr="00297C07">
                        <w:rPr>
                          <w:vertAlign w:val="superscript"/>
                        </w:rPr>
                        <w:footnoteReference w:id="14"/>
                      </w:r>
                    </w:p>
                    <w:p w:rsidRPr="00297C07" w:rsidR="00E17569" w:rsidP="00E17569" w:rsidRDefault="00FC3B2A" w14:paraId="4985FC90" w14:textId="77777777"/>
                    <w:p w:rsidRPr="00297C07" w:rsidR="00E17569" w:rsidP="00E17569" w:rsidRDefault="00773697" w14:paraId="34370BE9" w14:textId="77777777">
                      <w:r>
                        <w:t>Het voorstel regelt een wettelijke grondslag voor verwerking van bijzondere persoonsgegevens, waardoor het niet meer nodig is individuele cliënten om toestemming te vragen.</w:t>
                      </w:r>
                      <w:r w:rsidRPr="00297C07">
                        <w:t xml:space="preserve"> De administratieve lasten die </w:t>
                      </w:r>
                      <w:r>
                        <w:t xml:space="preserve">daarmee </w:t>
                      </w:r>
                      <w:r w:rsidRPr="00297C07">
                        <w:t>gemoeid zijn, zullen voor de betreffende aanbieders vervallen</w:t>
                      </w:r>
                      <w:r>
                        <w:t xml:space="preserve"> en dat zal </w:t>
                      </w:r>
                      <w:r w:rsidRPr="00297C07">
                        <w:t xml:space="preserve">bijdragen aan vermindering van </w:t>
                      </w:r>
                      <w:r>
                        <w:t xml:space="preserve">hun </w:t>
                      </w:r>
                      <w:r w:rsidRPr="00297C07">
                        <w:t xml:space="preserve">administratieve lasten. </w:t>
                      </w:r>
                    </w:p>
                    <w:p w:rsidRPr="00297C07" w:rsidR="00E17569" w:rsidP="00E17569" w:rsidRDefault="00FC3B2A" w14:paraId="3ED0BD31" w14:textId="77777777"/>
                    <w:p w:rsidR="00EA0CE4" w:rsidP="00E17569" w:rsidRDefault="00773697" w14:paraId="68F6C894" w14:textId="77777777">
                      <w:r w:rsidRPr="00297C07">
                        <w:t xml:space="preserve">Uit het </w:t>
                      </w:r>
                      <w:r>
                        <w:t>wets</w:t>
                      </w:r>
                      <w:r w:rsidRPr="00297C07">
                        <w:t xml:space="preserve">voorstel blijkt echter ook dat ook andere, niet geregistreerde, (kwaliteits-)registraties met toestemming van individuele cliënten als juridische grondslag, in de toekomst mogelijk blijven. Het is voor zorgaanbieders en zorgverleners dan niet wettelijk verplicht daarvoor cliëntgegevens aan te leveren, maar het is mogelijk dat zij er desondanks voor kiezen of uit anderen hoofde worden gevraagd dit toch te blijven doen – en daarvoor toestemming van individuele cliënten te vragen. </w:t>
                      </w:r>
                    </w:p>
                    <w:p w:rsidR="00EA0CE4" w:rsidP="00E17569" w:rsidRDefault="00FC3B2A" w14:paraId="5E79D66A" w14:textId="77777777"/>
                    <w:p w:rsidR="00E17569" w:rsidP="00E17569" w:rsidRDefault="00773697" w14:paraId="03239BFE" w14:textId="77777777">
                      <w:r w:rsidRPr="00297C07">
                        <w:t xml:space="preserve">De Afdeling </w:t>
                      </w:r>
                      <w:r>
                        <w:t>merkt op dat</w:t>
                      </w:r>
                      <w:r w:rsidRPr="00297C07">
                        <w:t xml:space="preserve"> het denkbaar </w:t>
                      </w:r>
                      <w:r>
                        <w:t xml:space="preserve">is </w:t>
                      </w:r>
                      <w:r w:rsidRPr="00297C07">
                        <w:t>dat het naast elkaar bestaan van kwaliteitsregistraties in het openbaar register en daarbuiten, voor onduidelijkheid zorgt bij zorgaanbieders en zorgverleners over de vraag of zij verplicht zijn aan beide kwaliteitsregistraties cliëntgegevens te leveren. Ook voor cliënten kan dit onduidelijk zijn</w:t>
                      </w:r>
                      <w:r>
                        <w:t>.</w:t>
                      </w:r>
                      <w:r w:rsidRPr="00297C07">
                        <w:t xml:space="preserve"> </w:t>
                      </w:r>
                      <w:r>
                        <w:t>A</w:t>
                      </w:r>
                      <w:r w:rsidRPr="00297C07">
                        <w:t>an sommige kwaliteitsregistraties levert hun zorgaanbieder hun persoonsgegevens zonder daarvoor hun toestemming te vragen, terwijl zij die vraag voor andere kwaliteitsregistraties (buiten het register) nog wel voorgelegd krijgen.</w:t>
                      </w:r>
                    </w:p>
                    <w:p w:rsidR="00E17569" w:rsidP="00E17569" w:rsidRDefault="00FC3B2A" w14:paraId="08241FF1" w14:textId="77777777"/>
                    <w:p w:rsidR="00E17569" w:rsidP="00E17569" w:rsidRDefault="00773697" w14:paraId="6CEA0AA9" w14:textId="77777777">
                      <w:r>
                        <w:t xml:space="preserve">De Afdeling adviseert op het voorgaande in de toelichting nader in te gaan. </w:t>
                      </w:r>
                    </w:p>
                    <w:p w:rsidR="002724BA" w:rsidRDefault="002724BA" w14:paraId="69A7E95F" w14:textId="77777777"/>
                    <w:p w:rsidRPr="00297C07" w:rsidR="00E17569" w:rsidP="00E17569" w:rsidRDefault="00773697" w14:paraId="69B0D978" w14:textId="77777777">
                      <w:pPr>
                        <w:rPr>
                          <w:u w:val="single"/>
                        </w:rPr>
                      </w:pPr>
                      <w:r w:rsidRPr="00297C07">
                        <w:t>5.</w:t>
                      </w:r>
                      <w:r w:rsidRPr="00297C07">
                        <w:tab/>
                      </w:r>
                      <w:r w:rsidRPr="00297C07">
                        <w:rPr>
                          <w:u w:val="single"/>
                        </w:rPr>
                        <w:t>Verbreding naar andere zorgdomeinen</w:t>
                      </w:r>
                    </w:p>
                    <w:p w:rsidRPr="00297C07" w:rsidR="00E17569" w:rsidP="00E17569" w:rsidRDefault="00FC3B2A" w14:paraId="4093C961" w14:textId="77777777"/>
                    <w:p w:rsidR="00EA0CE4" w:rsidP="00E17569" w:rsidRDefault="00773697" w14:paraId="00A16097" w14:textId="77777777">
                      <w:r w:rsidRPr="00297C07">
                        <w:t xml:space="preserve">Het </w:t>
                      </w:r>
                      <w:r>
                        <w:t>wets</w:t>
                      </w:r>
                      <w:r w:rsidRPr="00297C07">
                        <w:t xml:space="preserve">voorstel is vooralsnog alleen van toepassing op de medisch-specialistische zorg. Beoogd wordt om de reikwijdte van het voorstel na twee jaar te verbreden naar andere sectoren. Daarom wordt geregeld dat de beperking tot medisch-specialistische zorg na </w:t>
                      </w:r>
                      <w:r>
                        <w:t>twee</w:t>
                      </w:r>
                      <w:r w:rsidRPr="00297C07">
                        <w:t xml:space="preserve"> jaar vervalt.</w:t>
                      </w:r>
                      <w:r w:rsidRPr="00297C07">
                        <w:rPr>
                          <w:vertAlign w:val="superscript"/>
                        </w:rPr>
                        <w:footnoteReference w:id="15"/>
                      </w:r>
                      <w:r w:rsidRPr="00297C07">
                        <w:t xml:space="preserve"> Tegelijkertijd wordt een grondslag gecreëerd om bij </w:t>
                      </w:r>
                      <w:proofErr w:type="spellStart"/>
                      <w:r w:rsidRPr="00297C07">
                        <w:t>amvb</w:t>
                      </w:r>
                      <w:proofErr w:type="spellEnd"/>
                      <w:r w:rsidRPr="00297C07">
                        <w:t xml:space="preserve"> aanvullende regels op te stellen indien verbreding van de reikwijdte tot alle zorg daar aanleiding toe geeft.</w:t>
                      </w:r>
                      <w:r w:rsidRPr="00297C07">
                        <w:rPr>
                          <w:vertAlign w:val="superscript"/>
                        </w:rPr>
                        <w:footnoteReference w:id="16"/>
                      </w:r>
                      <w:r w:rsidRPr="00297C07">
                        <w:t xml:space="preserve"> </w:t>
                      </w:r>
                    </w:p>
                    <w:p w:rsidR="00EA0CE4" w:rsidP="00E17569" w:rsidRDefault="00FC3B2A" w14:paraId="4A0325DF" w14:textId="77777777"/>
                    <w:p w:rsidRPr="00297C07" w:rsidR="00E17569" w:rsidP="00E17569" w:rsidRDefault="00773697" w14:paraId="75D0AB82" w14:textId="77777777">
                      <w:r w:rsidRPr="00297C07">
                        <w:lastRenderedPageBreak/>
                        <w:t xml:space="preserve">Volgens de toelichting is op dit moment nog niet voorzienbaar of en in welke omvang behoefte zal bestaan aan de mogelijkheid tot het stellen van deze regeling voor andere sectoren. Hoewel de voorgestelde wettelijke regeling is ontworpen met het oog op het treffen van een toekomstbestendige voorziening met een </w:t>
                      </w:r>
                      <w:proofErr w:type="spellStart"/>
                      <w:r w:rsidRPr="00297C07">
                        <w:t>zorgbreed</w:t>
                      </w:r>
                      <w:proofErr w:type="spellEnd"/>
                      <w:r w:rsidRPr="00297C07">
                        <w:t xml:space="preserve"> karakter kan niet worden uitgesloten dat de verbreding van de reikwijdte aanvullende regeling vraagt. De termijn van twee jaar kan bovendien (eenmalig) worden verlengd.</w:t>
                      </w:r>
                      <w:r w:rsidRPr="00297C07">
                        <w:rPr>
                          <w:vertAlign w:val="superscript"/>
                        </w:rPr>
                        <w:footnoteReference w:id="17"/>
                      </w:r>
                      <w:r w:rsidRPr="00297C07">
                        <w:t xml:space="preserve"> </w:t>
                      </w:r>
                    </w:p>
                    <w:p w:rsidRPr="00297C07" w:rsidR="00E17569" w:rsidP="00E17569" w:rsidRDefault="00FC3B2A" w14:paraId="61509B2D" w14:textId="77777777"/>
                    <w:p w:rsidRPr="00297C07" w:rsidR="00E17569" w:rsidP="00E17569" w:rsidRDefault="00773697" w14:paraId="6C5DFE69" w14:textId="77777777">
                      <w:r w:rsidRPr="00297C07">
                        <w:t>Gelet op het voorgaande merkt de Afdeling op dat de regeling van het voorliggende voorstel eerst en vooral is gebaseerd op de totstandkoming van kwaliteitsregistraties in de medisch-specialistische zorg. Uit de toelichting kan bovendien niet worden opgemaakt wat de stand van zaken is in de ontwikkeling van kwaliteitsregistraties in de andere domeinen</w:t>
                      </w:r>
                      <w:r>
                        <w:t xml:space="preserve">. Het is daarom ook niet </w:t>
                      </w:r>
                      <w:r w:rsidRPr="00297C07">
                        <w:t xml:space="preserve">duidelijk waarom het nu al nodig is om bij </w:t>
                      </w:r>
                      <w:proofErr w:type="spellStart"/>
                      <w:r w:rsidRPr="00297C07">
                        <w:t>amvb</w:t>
                      </w:r>
                      <w:proofErr w:type="spellEnd"/>
                      <w:r w:rsidRPr="00297C07">
                        <w:t xml:space="preserve"> te voorzien in een grondslag voor een aanvullende regeling voor andere sectoren</w:t>
                      </w:r>
                      <w:r>
                        <w:t xml:space="preserve"> en of een nadere regeling bij </w:t>
                      </w:r>
                      <w:proofErr w:type="spellStart"/>
                      <w:r>
                        <w:t>amvb</w:t>
                      </w:r>
                      <w:proofErr w:type="spellEnd"/>
                      <w:r>
                        <w:t xml:space="preserve"> zal volstaan. </w:t>
                      </w:r>
                      <w:r w:rsidRPr="00297C07">
                        <w:t xml:space="preserve">De Afdeling adviseert dan ook het </w:t>
                      </w:r>
                      <w:r>
                        <w:t>wets</w:t>
                      </w:r>
                      <w:r w:rsidRPr="00297C07">
                        <w:t xml:space="preserve">voorstel </w:t>
                      </w:r>
                      <w:r>
                        <w:t>op dit moment</w:t>
                      </w:r>
                      <w:r w:rsidRPr="00297C07">
                        <w:t xml:space="preserve"> te beperken tot de medisch-specialistische zorg</w:t>
                      </w:r>
                      <w:r>
                        <w:t xml:space="preserve"> en het voorstel daartoe aan te passen. </w:t>
                      </w:r>
                    </w:p>
                    <w:p w:rsidR="002724BA" w:rsidRDefault="002724BA" w14:paraId="6CF60604" w14:textId="77777777"/>
                    <w:p w:rsidRPr="00297C07" w:rsidR="00E17569" w:rsidP="00E17569" w:rsidRDefault="00773697" w14:paraId="3551BBAB" w14:textId="77777777">
                      <w:pPr>
                        <w:rPr>
                          <w:u w:val="single"/>
                        </w:rPr>
                      </w:pPr>
                      <w:r w:rsidRPr="00297C07">
                        <w:t>6.</w:t>
                      </w:r>
                      <w:r w:rsidRPr="00297C07">
                        <w:tab/>
                      </w:r>
                      <w:r w:rsidRPr="00297C07">
                        <w:rPr>
                          <w:u w:val="single"/>
                        </w:rPr>
                        <w:t>Overige opmerkingen</w:t>
                      </w:r>
                    </w:p>
                    <w:p w:rsidRPr="00297C07" w:rsidR="00E17569" w:rsidP="00E17569" w:rsidRDefault="00FC3B2A" w14:paraId="1B995E79" w14:textId="77777777">
                      <w:pPr>
                        <w:rPr>
                          <w:u w:val="single"/>
                        </w:rPr>
                      </w:pPr>
                    </w:p>
                    <w:p w:rsidRPr="00E97FF9" w:rsidR="00E17569" w:rsidP="00E17569" w:rsidRDefault="00773697" w14:paraId="65CA0925" w14:textId="77777777">
                      <w:r w:rsidRPr="00E97FF9">
                        <w:t>a.</w:t>
                      </w:r>
                      <w:r w:rsidRPr="00E97FF9">
                        <w:tab/>
                      </w:r>
                      <w:r>
                        <w:rPr>
                          <w:i/>
                          <w:iCs/>
                        </w:rPr>
                        <w:t>Uitwerking voorwaarden in nadere regels</w:t>
                      </w:r>
                    </w:p>
                    <w:p w:rsidR="00E17569" w:rsidP="00E17569" w:rsidRDefault="00773697" w14:paraId="12CDAB55" w14:textId="77777777">
                      <w:r>
                        <w:t>De voorwaarden waaraan kwaliteitsregistraties moeten voldoen om te worden opgenomen in het register voor kwaliteitsregistraties, worden in nadere regels uitgewerkt. Het voorstel bepaalt dat dit bij ministeriële regeling zal plaatsvinden. Een kwaliteitsregistratie wordt slechts opgenomen in het register voor kwaliteitsregistraties, als wordt voldaan aan deze nadere regels. Er is voor de vorm van een ministeriële regeling gekozen omdat de verwachting is dat hierin voorwaarden zullen staan die met enige regelmaat moeten worden bijgewerkt.</w:t>
                      </w:r>
                      <w:r>
                        <w:rPr>
                          <w:rStyle w:val="Voetnootmarkering"/>
                        </w:rPr>
                        <w:footnoteReference w:id="18"/>
                      </w:r>
                    </w:p>
                    <w:p w:rsidR="00E17569" w:rsidP="00E17569" w:rsidRDefault="00FC3B2A" w14:paraId="77329C04" w14:textId="77777777"/>
                    <w:p w:rsidR="00E17569" w:rsidP="00E17569" w:rsidRDefault="00773697" w14:paraId="6B9831DF" w14:textId="77777777">
                      <w:r>
                        <w:t>De Afdeling merkt op dat het stellen van nadere eisen waaraan een beoordelingskader moet voldoen, verder strekt dan een voorschrift van administratieve aard of een uitwerking van details. Uit de toelichting blijkt bovendien niet waarom deze eisen met enige regelmaat zullen moeten worden bijgewerkt of waarom het wijzigen van deze eisen een dermate spoedeisend karakter zal hebben dat een ministeriële regeling daarvoor de meest aangewezen route is.</w:t>
                      </w:r>
                      <w:r>
                        <w:rPr>
                          <w:rStyle w:val="Voetnootmarkering"/>
                        </w:rPr>
                        <w:footnoteReference w:id="19"/>
                      </w:r>
                      <w:r>
                        <w:t xml:space="preserve"> </w:t>
                      </w:r>
                    </w:p>
                    <w:p w:rsidRPr="00297C07" w:rsidR="00E17569" w:rsidP="00E17569" w:rsidRDefault="00FC3B2A" w14:paraId="48BE31EB" w14:textId="77777777"/>
                    <w:p w:rsidR="00E17569" w:rsidP="00E17569" w:rsidRDefault="00773697" w14:paraId="438DF297" w14:textId="77777777">
                      <w:r w:rsidRPr="00297C07">
                        <w:t>De Afdeling adviseert</w:t>
                      </w:r>
                      <w:r>
                        <w:t xml:space="preserve"> daarom nadere regelgeving bij </w:t>
                      </w:r>
                      <w:proofErr w:type="spellStart"/>
                      <w:r>
                        <w:t>amvb</w:t>
                      </w:r>
                      <w:proofErr w:type="spellEnd"/>
                      <w:r>
                        <w:t xml:space="preserve"> mogelijk te maken in plaats van bij ministeriële regeling en het voorstel aldus aan te passen. </w:t>
                      </w:r>
                    </w:p>
                    <w:p w:rsidR="00514E47" w:rsidP="00E17569" w:rsidRDefault="00FC3B2A" w14:paraId="37A06C1D" w14:textId="77777777"/>
                    <w:p w:rsidRPr="00E97FF9" w:rsidR="00E17569" w:rsidP="00E17569" w:rsidRDefault="00773697" w14:paraId="20606589" w14:textId="77777777">
                      <w:pPr>
                        <w:rPr>
                          <w:i/>
                          <w:iCs/>
                        </w:rPr>
                      </w:pPr>
                      <w:r w:rsidRPr="00F25557">
                        <w:t>b.</w:t>
                      </w:r>
                      <w:r w:rsidRPr="00F25557">
                        <w:tab/>
                      </w:r>
                      <w:r w:rsidRPr="00E97FF9">
                        <w:rPr>
                          <w:i/>
                          <w:iCs/>
                        </w:rPr>
                        <w:t>Rechten van betrokkenen</w:t>
                      </w:r>
                    </w:p>
                    <w:p w:rsidR="00E17569" w:rsidP="00E17569" w:rsidRDefault="00773697" w14:paraId="2D23F9CF" w14:textId="77777777">
                      <w:r>
                        <w:lastRenderedPageBreak/>
                        <w:t xml:space="preserve">Volgens de toelichting worden de rechten van betrokkenen zoals opgenomen in hoofdstuk III van de AVG niet beperkt. De gegevens worden immers niet verstrekt door betrokkene en er is sprake van een wettelijke verplichting tot verwerking van de gegevens. Bovendien is er sprake van </w:t>
                      </w:r>
                      <w:proofErr w:type="spellStart"/>
                      <w:r>
                        <w:t>pseudonimisering</w:t>
                      </w:r>
                      <w:proofErr w:type="spellEnd"/>
                      <w:r>
                        <w:t>, waarbij de registratiehouder de pseudoniemen niet zelfstandig kan herleiden tot individuele cliënten. Om die reden zijn de verplichtingen ten aanzien van de rechten van betrokkenen niet van toepassing, aldus de toelichting.</w:t>
                      </w:r>
                      <w:r>
                        <w:rPr>
                          <w:rStyle w:val="Voetnootmarkering"/>
                        </w:rPr>
                        <w:footnoteReference w:id="20"/>
                      </w:r>
                      <w:r>
                        <w:t xml:space="preserve"> </w:t>
                      </w:r>
                    </w:p>
                    <w:p w:rsidR="00E17569" w:rsidP="00E17569" w:rsidRDefault="00FC3B2A" w14:paraId="58334726" w14:textId="77777777"/>
                    <w:p w:rsidR="002724BA" w:rsidRDefault="00773697" w14:paraId="423D6B8D" w14:textId="77777777">
                      <w:r>
                        <w:t xml:space="preserve">Bij kwaliteitsregistraties voor zeldzame aandoeningen betreft het een kleine groep cliënten. De kans bestaat daarom dat hun gegevens ook na </w:t>
                      </w:r>
                      <w:proofErr w:type="spellStart"/>
                      <w:r>
                        <w:t>pseudonimisering</w:t>
                      </w:r>
                      <w:proofErr w:type="spellEnd"/>
                      <w:r>
                        <w:t xml:space="preserve"> tot individuele personen herleidbaar zijn. </w:t>
                      </w:r>
                      <w:r w:rsidRPr="008543E1">
                        <w:t>In dat licht bezien kan niet worden uitgesloten dat, anders dan de toelichting stelt, de rechten van betrokkenen onder omstandigheden toch in het geding kunnen komen. De Afdeling adviseert daar in de toelichting nader op in te gaan.</w:t>
                      </w:r>
                    </w:p>
                  </w:sdtContent>
                </w:sdt>
              </w:sdtContent>
            </w:sdt>
          </w:sdtContent>
        </w:sdt>
        <w:p w:rsidR="003A1FC7" w:rsidRDefault="003A1FC7" w14:paraId="4953C588" w14:textId="77777777"/>
        <w:sdt>
          <w:sdtPr>
            <w:alias w:val="Dictum"/>
            <w:tag w:val="Dictum"/>
            <w:id w:val="1621489950"/>
            <w:lock w:val="sdtContentLocked"/>
            <w:placeholder>
              <w:docPart w:val="DefaultPlaceholder_1082065158"/>
            </w:placeholder>
            <w:text w:multiLine="1"/>
          </w:sdtPr>
          <w:sdtEndPr/>
          <w:sdtContent>
            <w:p w:rsidR="002724BA" w:rsidRDefault="00773697" w14:paraId="2DCDCCE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2724B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EB67" w14:textId="77777777" w:rsidR="00847094" w:rsidRDefault="00773697" w:rsidP="005B3E03">
      <w:r>
        <w:separator/>
      </w:r>
    </w:p>
    <w:p w14:paraId="68FBC241" w14:textId="77777777" w:rsidR="002D0ACF" w:rsidRDefault="00FC3B2A"/>
  </w:endnote>
  <w:endnote w:type="continuationSeparator" w:id="0">
    <w:p w14:paraId="5B53EAC1" w14:textId="77777777" w:rsidR="00847094" w:rsidRDefault="00773697" w:rsidP="005B3E03">
      <w:r>
        <w:continuationSeparator/>
      </w:r>
    </w:p>
    <w:p w14:paraId="3D61CB40" w14:textId="77777777" w:rsidR="002D0ACF" w:rsidRDefault="00FC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9D03"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0AFC7069" wp14:editId="117126E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4AD8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C706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10E4AD8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AA97D" w14:textId="77777777" w:rsidR="00847094" w:rsidRDefault="00773697" w:rsidP="005B3E03">
      <w:r>
        <w:separator/>
      </w:r>
    </w:p>
    <w:p w14:paraId="7F54EBC9" w14:textId="77777777" w:rsidR="002D0ACF" w:rsidRDefault="00FC3B2A"/>
  </w:footnote>
  <w:footnote w:type="continuationSeparator" w:id="0">
    <w:p w14:paraId="5EF8744D" w14:textId="77777777" w:rsidR="00847094" w:rsidRDefault="00773697" w:rsidP="005B3E03">
      <w:r>
        <w:continuationSeparator/>
      </w:r>
    </w:p>
    <w:p w14:paraId="7C9287A9" w14:textId="77777777" w:rsidR="002D0ACF" w:rsidRDefault="00FC3B2A"/>
  </w:footnote>
  <w:footnote w:id="1">
    <w:p w14:paraId="3CEDBBE4" w14:textId="77777777" w:rsidR="00E17569" w:rsidRDefault="00773697" w:rsidP="00E17569">
      <w:pPr>
        <w:pStyle w:val="Voetnoottekst"/>
      </w:pPr>
      <w:r>
        <w:rPr>
          <w:rStyle w:val="Voetnootmarkering"/>
        </w:rPr>
        <w:footnoteRef/>
      </w:r>
      <w:r>
        <w:tab/>
        <w:t xml:space="preserve">Voorgesteld artikel 11k. </w:t>
      </w:r>
    </w:p>
  </w:footnote>
  <w:footnote w:id="2">
    <w:p w14:paraId="074DE31D" w14:textId="77777777" w:rsidR="00E17569" w:rsidRDefault="00773697" w:rsidP="00E17569">
      <w:pPr>
        <w:pStyle w:val="Voetnoottekst"/>
      </w:pPr>
      <w:r>
        <w:rPr>
          <w:rStyle w:val="Voetnootmarkering"/>
        </w:rPr>
        <w:footnoteRef/>
      </w:r>
      <w:r>
        <w:tab/>
        <w:t>Voorgesteld artikel 11n.</w:t>
      </w:r>
    </w:p>
  </w:footnote>
  <w:footnote w:id="3">
    <w:p w14:paraId="520E7560" w14:textId="77777777" w:rsidR="00E17569" w:rsidRDefault="00773697" w:rsidP="00E17569">
      <w:pPr>
        <w:pStyle w:val="Voetnoottekst"/>
      </w:pPr>
      <w:r>
        <w:rPr>
          <w:rStyle w:val="Voetnootmarkering"/>
        </w:rPr>
        <w:footnoteRef/>
      </w:r>
      <w:r>
        <w:tab/>
        <w:t xml:space="preserve">Voorgesteld artikel 11p, eerste lid. </w:t>
      </w:r>
    </w:p>
  </w:footnote>
  <w:footnote w:id="4">
    <w:p w14:paraId="0FB9B34D" w14:textId="77777777" w:rsidR="00E17569" w:rsidRDefault="00773697" w:rsidP="00E17569">
      <w:pPr>
        <w:pStyle w:val="Voetnoottekst"/>
      </w:pPr>
      <w:r>
        <w:rPr>
          <w:rStyle w:val="Voetnootmarkering"/>
        </w:rPr>
        <w:footnoteRef/>
      </w:r>
      <w:r>
        <w:tab/>
        <w:t xml:space="preserve">Advies Commissie </w:t>
      </w:r>
      <w:r>
        <w:t>Governance van Kwaliteitsregistraties (</w:t>
      </w:r>
      <w:r w:rsidRPr="00B605D7">
        <w:t>commissie Van der Zande</w:t>
      </w:r>
      <w:r>
        <w:t>), 29 maart 2019.</w:t>
      </w:r>
    </w:p>
  </w:footnote>
  <w:footnote w:id="5">
    <w:p w14:paraId="62205920" w14:textId="77777777" w:rsidR="00E17569" w:rsidRDefault="00773697" w:rsidP="00E17569">
      <w:pPr>
        <w:pStyle w:val="Voetnoottekst"/>
      </w:pPr>
      <w:r>
        <w:rPr>
          <w:rStyle w:val="Voetnootmarkering"/>
        </w:rPr>
        <w:footnoteRef/>
      </w:r>
      <w:r>
        <w:tab/>
        <w:t>Voorgesteld a</w:t>
      </w:r>
      <w:r w:rsidRPr="002B7E4D">
        <w:t>rtikel 11k, eerste resp. tweede lid</w:t>
      </w:r>
      <w:r>
        <w:t>.</w:t>
      </w:r>
    </w:p>
  </w:footnote>
  <w:footnote w:id="6">
    <w:p w14:paraId="0E081DC2" w14:textId="77777777" w:rsidR="00E17569" w:rsidRDefault="00773697" w:rsidP="00E17569">
      <w:pPr>
        <w:pStyle w:val="Voetnoottekst"/>
      </w:pPr>
      <w:r>
        <w:rPr>
          <w:rStyle w:val="Voetnootmarkering"/>
        </w:rPr>
        <w:footnoteRef/>
      </w:r>
      <w:r>
        <w:tab/>
        <w:t>Voorgesteld artikel 11n, eerste lid.</w:t>
      </w:r>
    </w:p>
  </w:footnote>
  <w:footnote w:id="7">
    <w:p w14:paraId="686A5BFD" w14:textId="77777777" w:rsidR="00E17569" w:rsidRDefault="00773697" w:rsidP="00E17569">
      <w:pPr>
        <w:pStyle w:val="Voetnoottekst"/>
        <w:ind w:left="0" w:firstLine="0"/>
      </w:pPr>
      <w:r>
        <w:rPr>
          <w:rStyle w:val="Voetnootmarkering"/>
        </w:rPr>
        <w:footnoteRef/>
      </w:r>
      <w:r>
        <w:tab/>
        <w:t>Voorgesteld a</w:t>
      </w:r>
      <w:r w:rsidRPr="005E5550">
        <w:t>rtikel 11n, tweede lid</w:t>
      </w:r>
      <w:r>
        <w:t>.</w:t>
      </w:r>
    </w:p>
  </w:footnote>
  <w:footnote w:id="8">
    <w:p w14:paraId="5357E1CF" w14:textId="77777777" w:rsidR="00E17569" w:rsidRDefault="00773697" w:rsidP="00E17569">
      <w:pPr>
        <w:pStyle w:val="Voetnoottekst"/>
      </w:pPr>
      <w:r>
        <w:rPr>
          <w:rStyle w:val="Voetnootmarkering"/>
        </w:rPr>
        <w:footnoteRef/>
      </w:r>
      <w:r>
        <w:tab/>
        <w:t>A</w:t>
      </w:r>
      <w:r w:rsidRPr="00E731FA">
        <w:t>rtikel 3, eerste lid, onderdeel a, van de Kaderwet zelfstandige bestuursorganen</w:t>
      </w:r>
      <w:r>
        <w:t>.</w:t>
      </w:r>
    </w:p>
  </w:footnote>
  <w:footnote w:id="9">
    <w:p w14:paraId="6D7EA76D" w14:textId="03C2867D" w:rsidR="00E17569" w:rsidRDefault="00773697" w:rsidP="00E17569">
      <w:pPr>
        <w:pStyle w:val="Voetnoottekst"/>
      </w:pPr>
      <w:r>
        <w:rPr>
          <w:rStyle w:val="Voetnootmarkering"/>
        </w:rPr>
        <w:footnoteRef/>
      </w:r>
      <w:r>
        <w:tab/>
        <w:t>A</w:t>
      </w:r>
      <w:r w:rsidRPr="00E731FA">
        <w:t>rtikel 11a, eerste lid</w:t>
      </w:r>
      <w:r>
        <w:t xml:space="preserve">, </w:t>
      </w:r>
      <w:r w:rsidRPr="00E731FA">
        <w:t>Wet kwaliteit klachten en geschillen zorg</w:t>
      </w:r>
      <w:r>
        <w:t xml:space="preserve"> (</w:t>
      </w:r>
      <w:r>
        <w:t xml:space="preserve">Wkkgz). </w:t>
      </w:r>
    </w:p>
  </w:footnote>
  <w:footnote w:id="10">
    <w:p w14:paraId="2EE9E9A6" w14:textId="77777777" w:rsidR="00E17569" w:rsidRDefault="00773697" w:rsidP="00E17569">
      <w:pPr>
        <w:pStyle w:val="Voetnoottekst"/>
      </w:pPr>
      <w:r>
        <w:rPr>
          <w:rStyle w:val="Voetnootmarkering"/>
        </w:rPr>
        <w:footnoteRef/>
      </w:r>
      <w:r>
        <w:tab/>
        <w:t>Memorie van toelichting, paragraaf 4.5.</w:t>
      </w:r>
    </w:p>
  </w:footnote>
  <w:footnote w:id="11">
    <w:p w14:paraId="5EB55241" w14:textId="77777777" w:rsidR="00E17569" w:rsidRDefault="00773697" w:rsidP="00E17569">
      <w:pPr>
        <w:pStyle w:val="Voetnoottekst"/>
      </w:pPr>
      <w:r>
        <w:rPr>
          <w:rStyle w:val="Voetnootmarkering"/>
        </w:rPr>
        <w:footnoteRef/>
      </w:r>
      <w:r>
        <w:tab/>
        <w:t>Memorie van toelichting, paragraaf 5.2.</w:t>
      </w:r>
    </w:p>
  </w:footnote>
  <w:footnote w:id="12">
    <w:p w14:paraId="6D21765B" w14:textId="77777777" w:rsidR="00E17569" w:rsidRDefault="00773697" w:rsidP="00E17569">
      <w:pPr>
        <w:pStyle w:val="Voetnoottekst"/>
      </w:pPr>
      <w:r>
        <w:rPr>
          <w:rStyle w:val="Voetnootmarkering"/>
        </w:rPr>
        <w:footnoteRef/>
      </w:r>
      <w:r>
        <w:tab/>
        <w:t>Memorie van toelichting, paragraaf 4.1.</w:t>
      </w:r>
    </w:p>
  </w:footnote>
  <w:footnote w:id="13">
    <w:p w14:paraId="37C66CBB" w14:textId="77777777" w:rsidR="00514E47" w:rsidRDefault="00773697" w:rsidP="00514E47">
      <w:pPr>
        <w:pStyle w:val="Voetnoottekst"/>
      </w:pPr>
      <w:r>
        <w:rPr>
          <w:rStyle w:val="Voetnootmarkering"/>
        </w:rPr>
        <w:footnoteRef/>
      </w:r>
      <w:r>
        <w:tab/>
        <w:t>Memorie van toelichting, a</w:t>
      </w:r>
      <w:r w:rsidRPr="00032A19">
        <w:t>rtikelsgewij</w:t>
      </w:r>
      <w:r>
        <w:t>ze toelichting,</w:t>
      </w:r>
      <w:r w:rsidRPr="00032A19">
        <w:t xml:space="preserve"> deel, </w:t>
      </w:r>
      <w:r>
        <w:t>a</w:t>
      </w:r>
      <w:r w:rsidRPr="00032A19">
        <w:t xml:space="preserve">rtikel I, </w:t>
      </w:r>
      <w:r>
        <w:t>o</w:t>
      </w:r>
      <w:r w:rsidRPr="00032A19">
        <w:t>nderdeel D.</w:t>
      </w:r>
    </w:p>
  </w:footnote>
  <w:footnote w:id="14">
    <w:p w14:paraId="52461C85" w14:textId="77777777" w:rsidR="00E17569" w:rsidRDefault="00773697" w:rsidP="00E17569">
      <w:pPr>
        <w:pStyle w:val="Voetnoottekst"/>
      </w:pPr>
      <w:r>
        <w:rPr>
          <w:rStyle w:val="Voetnootmarkering"/>
        </w:rPr>
        <w:footnoteRef/>
      </w:r>
      <w:r>
        <w:tab/>
        <w:t>Memorie van toelichting, paragraaf 6.2.</w:t>
      </w:r>
    </w:p>
  </w:footnote>
  <w:footnote w:id="15">
    <w:p w14:paraId="66C10B4E" w14:textId="77777777" w:rsidR="00E17569" w:rsidRDefault="00773697" w:rsidP="00E17569">
      <w:pPr>
        <w:pStyle w:val="Voetnoottekst"/>
      </w:pPr>
      <w:r>
        <w:rPr>
          <w:rStyle w:val="Voetnootmarkering"/>
        </w:rPr>
        <w:footnoteRef/>
      </w:r>
      <w:r>
        <w:tab/>
        <w:t xml:space="preserve">Voorgesteld artikel II, onderdeel A. </w:t>
      </w:r>
    </w:p>
  </w:footnote>
  <w:footnote w:id="16">
    <w:p w14:paraId="16DBAC3F" w14:textId="77777777" w:rsidR="00E17569" w:rsidRDefault="00773697" w:rsidP="00E17569">
      <w:pPr>
        <w:pStyle w:val="Voetnoottekst"/>
      </w:pPr>
      <w:r>
        <w:rPr>
          <w:rStyle w:val="Voetnootmarkering"/>
        </w:rPr>
        <w:footnoteRef/>
      </w:r>
      <w:r>
        <w:tab/>
        <w:t xml:space="preserve">Voorgesteld artikel II, onder B, voorgesteld artikel 11n, derde lid. </w:t>
      </w:r>
    </w:p>
  </w:footnote>
  <w:footnote w:id="17">
    <w:p w14:paraId="046B9880" w14:textId="77777777" w:rsidR="00E17569" w:rsidRDefault="00773697" w:rsidP="00E17569">
      <w:pPr>
        <w:pStyle w:val="Voetnoottekst"/>
      </w:pPr>
      <w:r>
        <w:rPr>
          <w:rStyle w:val="Voetnootmarkering"/>
        </w:rPr>
        <w:footnoteRef/>
      </w:r>
      <w:r>
        <w:tab/>
        <w:t xml:space="preserve">Voorgesteld artikel IV, en artikelsgewijze toelichting. </w:t>
      </w:r>
    </w:p>
  </w:footnote>
  <w:footnote w:id="18">
    <w:p w14:paraId="2EC60F0A" w14:textId="77777777" w:rsidR="00E17569" w:rsidRDefault="00773697" w:rsidP="00E17569">
      <w:pPr>
        <w:pStyle w:val="Voetnoottekst"/>
      </w:pPr>
      <w:r>
        <w:rPr>
          <w:rStyle w:val="Voetnootmarkering"/>
        </w:rPr>
        <w:footnoteRef/>
      </w:r>
      <w:r>
        <w:t xml:space="preserve"> Voorgesteld artikel 11n, tweede lid.</w:t>
      </w:r>
    </w:p>
  </w:footnote>
  <w:footnote w:id="19">
    <w:p w14:paraId="7F3BB05F" w14:textId="77777777" w:rsidR="00E17569" w:rsidRDefault="00773697" w:rsidP="00E17569">
      <w:pPr>
        <w:pStyle w:val="Voetnoottekst"/>
      </w:pPr>
      <w:r>
        <w:rPr>
          <w:rStyle w:val="Voetnootmarkering"/>
        </w:rPr>
        <w:footnoteRef/>
      </w:r>
      <w:r>
        <w:t xml:space="preserve"> Aanwijzingen voor de regelgeving, aanwijzing 2.24 Toelaatbaarheid delegatie aan minister. </w:t>
      </w:r>
    </w:p>
  </w:footnote>
  <w:footnote w:id="20">
    <w:p w14:paraId="2FEA2021" w14:textId="77777777" w:rsidR="00E17569" w:rsidRDefault="00773697" w:rsidP="00E17569">
      <w:pPr>
        <w:pStyle w:val="Voetnoottekst"/>
      </w:pPr>
      <w:r>
        <w:rPr>
          <w:rStyle w:val="Voetnootmarkering"/>
        </w:rPr>
        <w:footnoteRef/>
      </w:r>
      <w:r>
        <w:t xml:space="preserve"> Memorie van toelichting, paragraaf 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E2A5"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0C8"/>
    <w:multiLevelType w:val="hybridMultilevel"/>
    <w:tmpl w:val="6F9083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74222B"/>
    <w:multiLevelType w:val="hybridMultilevel"/>
    <w:tmpl w:val="6D56F564"/>
    <w:lvl w:ilvl="0" w:tplc="F6385F24">
      <w:start w:val="3"/>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541301"/>
    <w:multiLevelType w:val="hybridMultilevel"/>
    <w:tmpl w:val="36D85BB0"/>
    <w:lvl w:ilvl="0" w:tplc="9208E63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2F645D"/>
    <w:multiLevelType w:val="hybridMultilevel"/>
    <w:tmpl w:val="0AC0CFCC"/>
    <w:lvl w:ilvl="0" w:tplc="9208E63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6B731F"/>
    <w:multiLevelType w:val="hybridMultilevel"/>
    <w:tmpl w:val="3FAAED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153B1A"/>
    <w:multiLevelType w:val="hybridMultilevel"/>
    <w:tmpl w:val="917A9C4C"/>
    <w:lvl w:ilvl="0" w:tplc="9488AC3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3D7F3B"/>
    <w:multiLevelType w:val="hybridMultilevel"/>
    <w:tmpl w:val="7186B47E"/>
    <w:lvl w:ilvl="0" w:tplc="8874523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2B7875"/>
    <w:multiLevelType w:val="hybridMultilevel"/>
    <w:tmpl w:val="485EC87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9C208E"/>
    <w:multiLevelType w:val="hybridMultilevel"/>
    <w:tmpl w:val="D748A5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A4613B"/>
    <w:multiLevelType w:val="hybridMultilevel"/>
    <w:tmpl w:val="F5CC5B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AA25E8"/>
    <w:multiLevelType w:val="hybridMultilevel"/>
    <w:tmpl w:val="C1BCE3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680D53"/>
    <w:multiLevelType w:val="hybridMultilevel"/>
    <w:tmpl w:val="9882263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F713C1C"/>
    <w:multiLevelType w:val="hybridMultilevel"/>
    <w:tmpl w:val="2572E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A895D56"/>
    <w:multiLevelType w:val="hybridMultilevel"/>
    <w:tmpl w:val="FCD86D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392EA5"/>
    <w:multiLevelType w:val="hybridMultilevel"/>
    <w:tmpl w:val="044406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8A35C2E"/>
    <w:multiLevelType w:val="hybridMultilevel"/>
    <w:tmpl w:val="9AD2F4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D149B9"/>
    <w:multiLevelType w:val="hybridMultilevel"/>
    <w:tmpl w:val="BE14A4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4"/>
  </w:num>
  <w:num w:numId="5">
    <w:abstractNumId w:val="5"/>
  </w:num>
  <w:num w:numId="6">
    <w:abstractNumId w:val="2"/>
  </w:num>
  <w:num w:numId="7">
    <w:abstractNumId w:val="7"/>
  </w:num>
  <w:num w:numId="8">
    <w:abstractNumId w:val="0"/>
  </w:num>
  <w:num w:numId="9">
    <w:abstractNumId w:val="12"/>
  </w:num>
  <w:num w:numId="10">
    <w:abstractNumId w:val="1"/>
  </w:num>
  <w:num w:numId="11">
    <w:abstractNumId w:val="2"/>
  </w:num>
  <w:num w:numId="12">
    <w:abstractNumId w:val="15"/>
  </w:num>
  <w:num w:numId="13">
    <w:abstractNumId w:val="11"/>
  </w:num>
  <w:num w:numId="14">
    <w:abstractNumId w:val="9"/>
  </w:num>
  <w:num w:numId="15">
    <w:abstractNumId w:val="16"/>
  </w:num>
  <w:num w:numId="16">
    <w:abstractNumId w:val="3"/>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24BA"/>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73697"/>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607AD"/>
    <w:rsid w:val="00FC3B2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3E87F5"/>
  <w15:docId w15:val="{CD6E5716-C233-456E-8EF5-60D1F6C8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06BE7"/>
    <w:rPr>
      <w:vertAlign w:val="superscript"/>
    </w:rPr>
  </w:style>
  <w:style w:type="character" w:styleId="Verwijzingopmerking">
    <w:name w:val="annotation reference"/>
    <w:basedOn w:val="Standaardalinea-lettertype"/>
    <w:semiHidden/>
    <w:unhideWhenUsed/>
    <w:rsid w:val="00864B86"/>
    <w:rPr>
      <w:sz w:val="16"/>
      <w:szCs w:val="16"/>
    </w:rPr>
  </w:style>
  <w:style w:type="paragraph" w:styleId="Tekstopmerking">
    <w:name w:val="annotation text"/>
    <w:basedOn w:val="Standaard"/>
    <w:link w:val="TekstopmerkingChar"/>
    <w:unhideWhenUsed/>
    <w:rsid w:val="00864B86"/>
    <w:rPr>
      <w:sz w:val="20"/>
      <w:szCs w:val="20"/>
    </w:rPr>
  </w:style>
  <w:style w:type="character" w:customStyle="1" w:styleId="TekstopmerkingChar">
    <w:name w:val="Tekst opmerking Char"/>
    <w:basedOn w:val="Standaardalinea-lettertype"/>
    <w:link w:val="Tekstopmerking"/>
    <w:rsid w:val="00864B86"/>
    <w:rPr>
      <w:rFonts w:ascii="Univers" w:hAnsi="Univers"/>
    </w:rPr>
  </w:style>
  <w:style w:type="paragraph" w:styleId="Onderwerpvanopmerking">
    <w:name w:val="annotation subject"/>
    <w:basedOn w:val="Tekstopmerking"/>
    <w:next w:val="Tekstopmerking"/>
    <w:link w:val="OnderwerpvanopmerkingChar"/>
    <w:semiHidden/>
    <w:unhideWhenUsed/>
    <w:rsid w:val="00864B86"/>
    <w:rPr>
      <w:b/>
      <w:bCs/>
    </w:rPr>
  </w:style>
  <w:style w:type="character" w:customStyle="1" w:styleId="OnderwerpvanopmerkingChar">
    <w:name w:val="Onderwerp van opmerking Char"/>
    <w:basedOn w:val="TekstopmerkingChar"/>
    <w:link w:val="Onderwerpvanopmerking"/>
    <w:semiHidden/>
    <w:rsid w:val="00864B86"/>
    <w:rPr>
      <w:rFonts w:ascii="Univers" w:hAnsi="Univers"/>
      <w:b/>
      <w:bCs/>
    </w:rPr>
  </w:style>
  <w:style w:type="paragraph" w:styleId="Revisie">
    <w:name w:val="Revision"/>
    <w:hidden/>
    <w:uiPriority w:val="99"/>
    <w:semiHidden/>
    <w:rsid w:val="00B86CD7"/>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2246</ap:Words>
  <ap:Characters>13872</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2022-12-13T10:01:00.0000000Z</dcterms:created>
  <dcterms:modified xsi:type="dcterms:W3CDTF">2022-12-13T10:01:00.0000000Z</dcterms:modified>
  <dc:description>------------------------</dc:description>
  <dc:subject/>
  <dc:title/>
  <keywords/>
  <version/>
  <category/>
</coreProperties>
</file>