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70CC2" w:rsidR="00CB3578" w:rsidTr="00F13442">
        <w:trPr>
          <w:cantSplit/>
        </w:trPr>
        <w:tc>
          <w:tcPr>
            <w:tcW w:w="9142" w:type="dxa"/>
            <w:gridSpan w:val="2"/>
            <w:tcBorders>
              <w:top w:val="nil"/>
              <w:left w:val="nil"/>
              <w:bottom w:val="nil"/>
              <w:right w:val="nil"/>
            </w:tcBorders>
          </w:tcPr>
          <w:p w:rsidRPr="00B74C91" w:rsidR="00B74C91" w:rsidP="000D0DF5" w:rsidRDefault="00B74C91">
            <w:pPr>
              <w:tabs>
                <w:tab w:val="left" w:pos="-1440"/>
                <w:tab w:val="left" w:pos="-720"/>
              </w:tabs>
              <w:suppressAutoHyphens/>
              <w:rPr>
                <w:rFonts w:ascii="Times New Roman" w:hAnsi="Times New Roman"/>
              </w:rPr>
            </w:pPr>
            <w:r w:rsidRPr="00B74C91">
              <w:rPr>
                <w:rFonts w:ascii="Times New Roman" w:hAnsi="Times New Roman"/>
              </w:rPr>
              <w:t>De Tweede Kamer der Staten-</w:t>
            </w:r>
            <w:r w:rsidRPr="00B74C91">
              <w:rPr>
                <w:rFonts w:ascii="Times New Roman" w:hAnsi="Times New Roman"/>
              </w:rPr>
              <w:fldChar w:fldCharType="begin"/>
            </w:r>
            <w:r w:rsidRPr="00B74C91">
              <w:rPr>
                <w:rFonts w:ascii="Times New Roman" w:hAnsi="Times New Roman"/>
              </w:rPr>
              <w:instrText xml:space="preserve">PRIVATE </w:instrText>
            </w:r>
            <w:r w:rsidRPr="00B74C91">
              <w:rPr>
                <w:rFonts w:ascii="Times New Roman" w:hAnsi="Times New Roman"/>
              </w:rPr>
              <w:fldChar w:fldCharType="end"/>
            </w:r>
          </w:p>
          <w:p w:rsidRPr="00B74C91" w:rsidR="00B74C91" w:rsidP="000D0DF5" w:rsidRDefault="00B74C91">
            <w:pPr>
              <w:tabs>
                <w:tab w:val="left" w:pos="-1440"/>
                <w:tab w:val="left" w:pos="-720"/>
              </w:tabs>
              <w:suppressAutoHyphens/>
              <w:rPr>
                <w:rFonts w:ascii="Times New Roman" w:hAnsi="Times New Roman"/>
              </w:rPr>
            </w:pPr>
            <w:r w:rsidRPr="00B74C91">
              <w:rPr>
                <w:rFonts w:ascii="Times New Roman" w:hAnsi="Times New Roman"/>
              </w:rPr>
              <w:t>Generaal zendt bijgaand door</w:t>
            </w:r>
          </w:p>
          <w:p w:rsidRPr="00B74C91" w:rsidR="00B74C91" w:rsidP="000D0DF5" w:rsidRDefault="00B74C91">
            <w:pPr>
              <w:tabs>
                <w:tab w:val="left" w:pos="-1440"/>
                <w:tab w:val="left" w:pos="-720"/>
              </w:tabs>
              <w:suppressAutoHyphens/>
              <w:rPr>
                <w:rFonts w:ascii="Times New Roman" w:hAnsi="Times New Roman"/>
              </w:rPr>
            </w:pPr>
            <w:r w:rsidRPr="00B74C91">
              <w:rPr>
                <w:rFonts w:ascii="Times New Roman" w:hAnsi="Times New Roman"/>
              </w:rPr>
              <w:t>haar aangenomen wetsvoorstel</w:t>
            </w:r>
          </w:p>
          <w:p w:rsidRPr="00B74C91" w:rsidR="00B74C91" w:rsidP="000D0DF5" w:rsidRDefault="00B74C91">
            <w:pPr>
              <w:tabs>
                <w:tab w:val="left" w:pos="-1440"/>
                <w:tab w:val="left" w:pos="-720"/>
              </w:tabs>
              <w:suppressAutoHyphens/>
              <w:rPr>
                <w:rFonts w:ascii="Times New Roman" w:hAnsi="Times New Roman"/>
              </w:rPr>
            </w:pPr>
            <w:r w:rsidRPr="00B74C91">
              <w:rPr>
                <w:rFonts w:ascii="Times New Roman" w:hAnsi="Times New Roman"/>
              </w:rPr>
              <w:t>aan de Eerste Kamer.</w:t>
            </w: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r w:rsidRPr="00B74C91">
              <w:rPr>
                <w:rFonts w:ascii="Times New Roman" w:hAnsi="Times New Roman"/>
              </w:rPr>
              <w:t>De Voorzitter,</w:t>
            </w: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tabs>
                <w:tab w:val="left" w:pos="-1440"/>
                <w:tab w:val="left" w:pos="-720"/>
              </w:tabs>
              <w:suppressAutoHyphens/>
              <w:rPr>
                <w:rFonts w:ascii="Times New Roman" w:hAnsi="Times New Roman"/>
              </w:rPr>
            </w:pPr>
          </w:p>
          <w:p w:rsidRPr="00B74C91" w:rsidR="00B74C91" w:rsidP="000D0DF5" w:rsidRDefault="00B74C91">
            <w:pPr>
              <w:rPr>
                <w:rFonts w:ascii="Times New Roman" w:hAnsi="Times New Roman"/>
              </w:rPr>
            </w:pPr>
          </w:p>
          <w:p w:rsidRPr="00570CC2" w:rsidR="00CB3578" w:rsidP="00570CC2" w:rsidRDefault="00B74C91">
            <w:pPr>
              <w:rPr>
                <w:rFonts w:ascii="Times New Roman" w:hAnsi="Times New Roman"/>
                <w:sz w:val="24"/>
              </w:rPr>
            </w:pPr>
            <w:r>
              <w:rPr>
                <w:rFonts w:ascii="Times New Roman" w:hAnsi="Times New Roman"/>
              </w:rPr>
              <w:t>15 december 2022</w:t>
            </w:r>
          </w:p>
        </w:tc>
      </w:tr>
      <w:tr w:rsidRPr="00570CC2" w:rsidR="00B74C9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0CC2" w:rsidR="00B74C91" w:rsidP="00570CC2" w:rsidRDefault="00B74C91">
            <w:pPr>
              <w:rPr>
                <w:rFonts w:ascii="Times New Roman" w:hAnsi="Times New Roman"/>
                <w:sz w:val="24"/>
              </w:rPr>
            </w:pPr>
          </w:p>
        </w:tc>
        <w:tc>
          <w:tcPr>
            <w:tcW w:w="6590" w:type="dxa"/>
            <w:tcBorders>
              <w:top w:val="nil"/>
              <w:left w:val="nil"/>
              <w:bottom w:val="nil"/>
              <w:right w:val="nil"/>
            </w:tcBorders>
          </w:tcPr>
          <w:p w:rsidRPr="00570CC2" w:rsidR="00B74C91" w:rsidP="00570CC2" w:rsidRDefault="00B74C91">
            <w:pPr>
              <w:rPr>
                <w:rFonts w:ascii="Times New Roman" w:hAnsi="Times New Roman"/>
                <w:b/>
                <w:bCs/>
                <w:sz w:val="24"/>
              </w:rPr>
            </w:pPr>
          </w:p>
        </w:tc>
      </w:tr>
      <w:tr w:rsidRPr="00570C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0CC2" w:rsidR="00CB3578" w:rsidP="00570CC2" w:rsidRDefault="00CB3578">
            <w:pPr>
              <w:rPr>
                <w:rFonts w:ascii="Times New Roman" w:hAnsi="Times New Roman"/>
                <w:sz w:val="24"/>
              </w:rPr>
            </w:pPr>
          </w:p>
        </w:tc>
        <w:tc>
          <w:tcPr>
            <w:tcW w:w="6590" w:type="dxa"/>
            <w:tcBorders>
              <w:top w:val="nil"/>
              <w:left w:val="nil"/>
              <w:bottom w:val="nil"/>
              <w:right w:val="nil"/>
            </w:tcBorders>
          </w:tcPr>
          <w:p w:rsidRPr="00570CC2" w:rsidR="00CB3578" w:rsidP="00570CC2" w:rsidRDefault="00CB3578">
            <w:pPr>
              <w:rPr>
                <w:rFonts w:ascii="Times New Roman" w:hAnsi="Times New Roman"/>
                <w:b/>
                <w:bCs/>
                <w:sz w:val="24"/>
              </w:rPr>
            </w:pPr>
          </w:p>
        </w:tc>
      </w:tr>
      <w:tr w:rsidRPr="00570CC2" w:rsidR="00B74C91" w:rsidTr="0084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0CC2" w:rsidR="00B74C91" w:rsidP="00570CC2" w:rsidRDefault="00B74C91">
            <w:pPr>
              <w:rPr>
                <w:rFonts w:ascii="Times New Roman" w:hAnsi="Times New Roman"/>
                <w:b/>
                <w:sz w:val="24"/>
              </w:rPr>
            </w:pPr>
            <w:r w:rsidRPr="00570CC2">
              <w:rPr>
                <w:rFonts w:ascii="Times New Roman" w:hAnsi="Times New Roman"/>
                <w:b/>
                <w:sz w:val="24"/>
              </w:rPr>
              <w:t>Wijziging van het Wetboek van Burgerlijke Rechtsvordering en enige andere wetten in verband met de technische eenmaking van het Wetboek van Burgerlijke Rechtsvordering (Wet technische eenmaking Wetboek van Burgerlijke Rechtsvordering)</w:t>
            </w:r>
          </w:p>
        </w:tc>
      </w:tr>
      <w:tr w:rsidRPr="00570C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0CC2" w:rsidR="00CB3578" w:rsidP="00570CC2" w:rsidRDefault="00CB3578">
            <w:pPr>
              <w:rPr>
                <w:rFonts w:ascii="Times New Roman" w:hAnsi="Times New Roman"/>
                <w:b/>
                <w:sz w:val="24"/>
              </w:rPr>
            </w:pPr>
          </w:p>
        </w:tc>
        <w:tc>
          <w:tcPr>
            <w:tcW w:w="6590" w:type="dxa"/>
            <w:tcBorders>
              <w:top w:val="nil"/>
              <w:left w:val="nil"/>
              <w:bottom w:val="nil"/>
              <w:right w:val="nil"/>
            </w:tcBorders>
          </w:tcPr>
          <w:p w:rsidRPr="00570CC2" w:rsidR="00CB3578" w:rsidP="00570CC2" w:rsidRDefault="00CB3578">
            <w:pPr>
              <w:rPr>
                <w:rFonts w:ascii="Times New Roman" w:hAnsi="Times New Roman"/>
                <w:b/>
                <w:sz w:val="24"/>
              </w:rPr>
            </w:pPr>
          </w:p>
        </w:tc>
      </w:tr>
      <w:tr w:rsidRPr="00570C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0CC2" w:rsidR="00CB3578" w:rsidP="00570CC2" w:rsidRDefault="00CB3578">
            <w:pPr>
              <w:rPr>
                <w:rFonts w:ascii="Times New Roman" w:hAnsi="Times New Roman"/>
                <w:b/>
                <w:sz w:val="24"/>
              </w:rPr>
            </w:pPr>
          </w:p>
        </w:tc>
        <w:tc>
          <w:tcPr>
            <w:tcW w:w="6590" w:type="dxa"/>
            <w:tcBorders>
              <w:top w:val="nil"/>
              <w:left w:val="nil"/>
              <w:bottom w:val="nil"/>
              <w:right w:val="nil"/>
            </w:tcBorders>
          </w:tcPr>
          <w:p w:rsidRPr="00570CC2" w:rsidR="00CB3578" w:rsidP="00570CC2" w:rsidRDefault="00CB3578">
            <w:pPr>
              <w:rPr>
                <w:rFonts w:ascii="Times New Roman" w:hAnsi="Times New Roman"/>
                <w:b/>
                <w:sz w:val="24"/>
              </w:rPr>
            </w:pPr>
          </w:p>
        </w:tc>
      </w:tr>
      <w:tr w:rsidRPr="00570CC2" w:rsidR="00B74C91" w:rsidTr="00AC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0CC2" w:rsidR="00B74C91" w:rsidP="00570CC2" w:rsidRDefault="00B74C91">
            <w:pPr>
              <w:rPr>
                <w:rFonts w:ascii="Times New Roman" w:hAnsi="Times New Roman"/>
                <w:b/>
                <w:sz w:val="24"/>
              </w:rPr>
            </w:pPr>
            <w:r w:rsidRPr="00570CC2">
              <w:rPr>
                <w:rFonts w:ascii="Times New Roman" w:hAnsi="Times New Roman"/>
                <w:b/>
                <w:sz w:val="24"/>
              </w:rPr>
              <w:t>VOORSTEL VAN WET</w:t>
            </w:r>
          </w:p>
        </w:tc>
      </w:tr>
      <w:tr w:rsidRPr="00570C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0CC2" w:rsidR="00CB3578" w:rsidP="00570CC2" w:rsidRDefault="00CB3578">
            <w:pPr>
              <w:rPr>
                <w:rFonts w:ascii="Times New Roman" w:hAnsi="Times New Roman"/>
                <w:sz w:val="24"/>
              </w:rPr>
            </w:pPr>
          </w:p>
        </w:tc>
        <w:tc>
          <w:tcPr>
            <w:tcW w:w="6590" w:type="dxa"/>
            <w:tcBorders>
              <w:top w:val="nil"/>
              <w:left w:val="nil"/>
              <w:bottom w:val="nil"/>
              <w:right w:val="nil"/>
            </w:tcBorders>
          </w:tcPr>
          <w:p w:rsidRPr="00570CC2" w:rsidR="00CB3578" w:rsidP="00570CC2" w:rsidRDefault="00CB3578">
            <w:pPr>
              <w:rPr>
                <w:rFonts w:ascii="Times New Roman" w:hAnsi="Times New Roman"/>
                <w:sz w:val="24"/>
              </w:rPr>
            </w:pPr>
          </w:p>
        </w:tc>
      </w:tr>
    </w:tbl>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Wij Willem-Alexander, bij de gratie Gods, Koning der Nederlanden, Prins van Oranje-Nassau, enz. enz. enz. </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Allen, die deze zullen zien of horen lezen, saluut! doen te weten: </w:t>
      </w:r>
    </w:p>
    <w:p w:rsidRPr="00570CC2" w:rsidR="00570CC2" w:rsidP="00570CC2" w:rsidRDefault="00570CC2">
      <w:pPr>
        <w:ind w:firstLine="284"/>
        <w:rPr>
          <w:rFonts w:ascii="Times New Roman" w:hAnsi="Times New Roman"/>
          <w:sz w:val="24"/>
        </w:rPr>
      </w:pPr>
      <w:r w:rsidRPr="00570CC2">
        <w:rPr>
          <w:rFonts w:ascii="Times New Roman" w:hAnsi="Times New Roman"/>
          <w:sz w:val="24"/>
        </w:rPr>
        <w:t>Alzo Wij in overweging genomen hebben, dat het wenselijk is het burgerlijk procesrecht te vereenvoudigen door de verschillende versies van artikelen in het Wetboek van Burgerlijke Rechtsvordering en enige andere wetten terug te brengen tot één versie.</w:t>
      </w:r>
    </w:p>
    <w:p w:rsidRPr="00570CC2" w:rsidR="00570CC2" w:rsidP="00570CC2" w:rsidRDefault="00570CC2">
      <w:pPr>
        <w:ind w:firstLine="284"/>
        <w:rPr>
          <w:rFonts w:ascii="Times New Roman" w:hAnsi="Times New Roman"/>
          <w:sz w:val="24"/>
        </w:rPr>
      </w:pPr>
      <w:r w:rsidRPr="00570CC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 xml:space="preserve">HOOFDSTUK 1: WETBOEK VAN BURGERLIJKE RECHTSVORDERING </w:t>
      </w:r>
    </w:p>
    <w:p w:rsidR="00570CC2" w:rsidP="00570CC2" w:rsidRDefault="00570CC2">
      <w:pPr>
        <w:rPr>
          <w:rFonts w:ascii="Times New Roman" w:hAnsi="Times New Roman"/>
          <w:b/>
          <w:sz w:val="24"/>
        </w:rPr>
      </w:pPr>
    </w:p>
    <w:p w:rsidRPr="00570CC2" w:rsidR="00570CC2" w:rsidP="00570CC2" w:rsidRDefault="00570CC2">
      <w:pPr>
        <w:rPr>
          <w:rFonts w:ascii="Times New Roman" w:hAnsi="Times New Roman"/>
          <w:b/>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I</w:t>
      </w:r>
    </w:p>
    <w:p w:rsidRPr="00570CC2" w:rsidR="00570CC2" w:rsidP="00570CC2" w:rsidRDefault="00570CC2">
      <w:pPr>
        <w:rPr>
          <w:rFonts w:ascii="Times New Roman" w:hAnsi="Times New Roman"/>
          <w:b/>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Het Wetboek van Burgerlijke Rechtsvordering zoals dat luidt voor alle gerechten, met uitzondering van de Hoge Raad,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het opschrift van de Derde afdeling van de eerste titel van het eerste Boek wordt “beginselen” vervangen door “voorschriften”.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Het opschrift van de afdeling Derde A van de eerste titel van het eerste Boek vervalt.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C</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De artikelen 30p en 30r worden vernummerd tot de artikelen 29a respectievelijk 32a.</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D</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artikel 63, eerste lid, wordt “waarbij hoger beroep of beroep in cassatie wordt ingesteld,” vervangen door “waarbij hoger beroep wordt ingesteld of waarbij een oproepingsbericht in cassatie wordt betekend,”.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E</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artikel 339, eerste lid, wordt “artikel 30p” vervangen door “artikel 29a”.</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F</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395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395</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afwijking van artikel 29a is in een procedure inzake prejudiciële vragen geen mondelinge uitspraak mogelijk.</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G</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Onder vernummering van de Eerste afdeling van de elfde titel van het eerste Boek tot de Eerste afdeling A wordt in de elfde titel van het eerste Boek voor de Eerste afdeling A een afdeling ingevoegd, die luidt: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EERSTE AFDELING. ALGEMEEN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396</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1. Als beroep in cassatie wordt ingesteld in een dagvaardingsprocedure wordt deze procedure in cassatie aangeduid als een vorderingsprocedure en wordt het beroep ingeleid met een procesinleiding en een oproepingsbericht. </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2. Als beroep in cassatie wordt ingesteld in een verzoekschriftprocedure wordt deze procedure in cassatie aangeduid als een verzoekprocedure en wordt het beroep ingeleid met een procesinleiding. </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397</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De eiser of verzoeker dient de procesinleiding langs elektronische weg in bij de Hoge Raad. Partijen dienen gedurende de procedure ook overige stukken langs elektronische weg in. Anderen dan partijen, die bij de procedure worden betrokken, dienen stukken langs elektronische weg in, tenzij de wet of de Hoge Raad anders bepaalt.</w:t>
      </w: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2. Waar dit wetboek voorschrijft dat handelingen schriftelijk geschieden, worden deze handelingen in cassatie langs elektronische weg verricht, tenzij de wet of de Hoge Raad anders bepaalt.</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Waar dit wetboek ondertekening voorschrijft, is in cassatie tevens aan dit vereiste voldaan indien het stuk is ondertekend met een elektronische handtekening die voldoet aan bij of krachtens algemene maatregel van bestuur te stellen eisen. Een stuk dat langs elektronische weg is ingediend in het digitale systeem voor gegevensverwerking van de Hoge Raad geldt als ondertekend.</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Indien niet is voldaan aan de verplichtingen die voortvloeien uit dit artikel of een algemene maatregel van bestuur als bedoeld in artikel 33, stelt de Hoge Raad de desbetreffende partij in de gelegenheid dit verzuim te herstellen binnen een door hem te bepalen termijn. Maakt de eiser of verzoeker van deze gelegenheid geen gebruik, dan verklaart de Hoge Raad eiser of verzoeker niet ontvankelijk in zijn beroep in cassatie dan wel kan de Hoge Raad het stuk buiten beschouwing laten.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397a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Als tijdstip waarop een bericht door de Hoge Raad langs elektronische weg is ontvangen, geldt het tijdstip waarop het bericht het digitale systeem voor gegevensverwerking van de Hoge Raad heeft bereikt. Na elke indiening langs elektronische weg ontvangt de indiener een ontvangstbevestiging in het digitale systeem voor gegevensverwerking.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Als tijdstip waarop een bericht dat door de Hoge Raad is geplaatst in het in het eerste lid genoemde digitale systeem voor gegevensverwerking door de geadresseerde is ontvangen, geldt het tijdstip waarop de Hoge Raad de geadresseerde hierover een kennisgeving heeft verzonden buiten het digitale systeem voor gegevensverwerking.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Als tijdstip waarop een bericht dat door een partij of een andere betrokkene bij de procedure is geplaatst in het in het eerste lid genoemde digitale systeem voor gegevensverwerking door de andere partijen en betrokkenen bij de procedure is ontvangen, geldt het tijdstip waarop de Hoge Raad de betrokkenen hierover een kennisgeving heeft verzonden buiten het digitale systeem voor gegevensverwerking.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Indien een partij of andere betrokkene bij de procedure afziet van digitale bereikbaarheid buiten het digitale systeem voor gegevensverwerking bedoeld in het eerste lid, zodat de kennisgeving bedoeld in het tweede en derde lid niet kan worden gezonden, geldt als tijdstip waarop een bericht als bedoeld in deze leden door hem is ontvangen, het tijdstip waarop het bericht voor hem toegankelijk is geworden in het digitale systeem voor gegevensverwerking.</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397b</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Oproepingen door de Hoge Raad, processen-verbaal en afschriften van een arrest of beschikking, alsmede andere berichten van of aan de Hoge Raad en partijen worden langs elektronische weg ter beschikking gesteld.</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Oproepingen bij brief vermelden de datum van de verzending. Deze vermelding geschiedt niet slechts op de envelop.</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H</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406 vervalt.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I</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407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407</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Pr>
          <w:rFonts w:ascii="Times New Roman" w:hAnsi="Times New Roman"/>
          <w:sz w:val="24"/>
        </w:rPr>
        <w:t xml:space="preserve">1. </w:t>
      </w:r>
      <w:r w:rsidRPr="00570CC2">
        <w:rPr>
          <w:rFonts w:ascii="Times New Roman" w:hAnsi="Times New Roman"/>
          <w:sz w:val="24"/>
        </w:rPr>
        <w:t>Het beroep in cassatie wordt ingesteld door een procesinleiding, die wordt getekend door een advocaat bij de Hoge Raad en wordt ingediend op de wijze bedoeld in artikel 397.</w:t>
      </w:r>
    </w:p>
    <w:p w:rsidRPr="00570CC2" w:rsidR="00570CC2" w:rsidP="00570CC2" w:rsidRDefault="00570CC2">
      <w:pPr>
        <w:ind w:firstLine="284"/>
        <w:rPr>
          <w:rFonts w:ascii="Times New Roman" w:hAnsi="Times New Roman"/>
          <w:sz w:val="24"/>
        </w:rPr>
      </w:pPr>
      <w:r>
        <w:rPr>
          <w:rFonts w:ascii="Times New Roman" w:hAnsi="Times New Roman"/>
          <w:sz w:val="24"/>
        </w:rPr>
        <w:t xml:space="preserve">2. </w:t>
      </w:r>
      <w:r w:rsidRPr="00570CC2">
        <w:rPr>
          <w:rFonts w:ascii="Times New Roman" w:hAnsi="Times New Roman"/>
          <w:sz w:val="24"/>
        </w:rPr>
        <w:t>Op de procesinleiding is artikel 111, tweede lid, onderdelen a, c, en e, van overeenkomstige toepassing. Daarnaast vermeldt de procesinleiding: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a. </w:t>
      </w:r>
      <w:r w:rsidRPr="00570CC2">
        <w:rPr>
          <w:rFonts w:ascii="Times New Roman" w:hAnsi="Times New Roman"/>
          <w:sz w:val="24"/>
        </w:rPr>
        <w:t>de naam en in geval van een natuurlijke persoon tevens de voornamen van de eiser of de verzoeker, de woonplaats van eiser en de door hem gekozen woonplaats in Nederland, respectievelijk de woonplaats of, bij gebreke daarvan, het werkelijk verblijf van de verzoeker,</w:t>
      </w:r>
    </w:p>
    <w:p w:rsidRPr="00570CC2" w:rsidR="00570CC2" w:rsidP="00570CC2" w:rsidRDefault="00570CC2">
      <w:pPr>
        <w:ind w:firstLine="284"/>
        <w:rPr>
          <w:rFonts w:ascii="Times New Roman" w:hAnsi="Times New Roman"/>
          <w:sz w:val="24"/>
        </w:rPr>
      </w:pPr>
      <w:r>
        <w:rPr>
          <w:rFonts w:ascii="Times New Roman" w:hAnsi="Times New Roman"/>
          <w:sz w:val="24"/>
        </w:rPr>
        <w:t xml:space="preserve">b. </w:t>
      </w:r>
      <w:r w:rsidRPr="00570CC2">
        <w:rPr>
          <w:rFonts w:ascii="Times New Roman" w:hAnsi="Times New Roman"/>
          <w:sz w:val="24"/>
        </w:rPr>
        <w:t>de naam en woonplaats van de verweerder bij de vordering, dan wel de bij de verzoeker bekende namen en woonplaats van belanghebbenden,</w:t>
      </w:r>
    </w:p>
    <w:p w:rsidRPr="00570CC2" w:rsidR="00570CC2" w:rsidP="00570CC2" w:rsidRDefault="00570CC2">
      <w:pPr>
        <w:ind w:firstLine="284"/>
        <w:rPr>
          <w:rFonts w:ascii="Times New Roman" w:hAnsi="Times New Roman"/>
          <w:sz w:val="24"/>
        </w:rPr>
      </w:pPr>
      <w:r>
        <w:rPr>
          <w:rFonts w:ascii="Times New Roman" w:hAnsi="Times New Roman"/>
          <w:sz w:val="24"/>
        </w:rPr>
        <w:t xml:space="preserve">c. </w:t>
      </w:r>
      <w:r w:rsidRPr="00570CC2">
        <w:rPr>
          <w:rFonts w:ascii="Times New Roman" w:hAnsi="Times New Roman"/>
          <w:sz w:val="24"/>
        </w:rPr>
        <w:t>de dag waarop de verweerder ten laatste kan verschijnen, welke dag ten minste vier weken en uiterlijk zes maanden ligt na de dag van indiening van de procesinleiding,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d. </w:t>
      </w:r>
      <w:r w:rsidRPr="00570CC2">
        <w:rPr>
          <w:rFonts w:ascii="Times New Roman" w:hAnsi="Times New Roman"/>
          <w:sz w:val="24"/>
        </w:rPr>
        <w:t>de omschrijving van de middelen waarop het beroep in cassatie steunt.</w:t>
      </w:r>
    </w:p>
    <w:p w:rsidRPr="00570CC2" w:rsidR="00570CC2" w:rsidP="00570CC2" w:rsidRDefault="00570CC2">
      <w:pPr>
        <w:ind w:firstLine="284"/>
        <w:rPr>
          <w:rFonts w:ascii="Times New Roman" w:hAnsi="Times New Roman"/>
          <w:sz w:val="24"/>
        </w:rPr>
      </w:pPr>
      <w:r>
        <w:rPr>
          <w:rFonts w:ascii="Times New Roman" w:hAnsi="Times New Roman"/>
          <w:sz w:val="24"/>
        </w:rPr>
        <w:t xml:space="preserve">3. </w:t>
      </w:r>
      <w:r w:rsidRPr="00570CC2">
        <w:rPr>
          <w:rFonts w:ascii="Times New Roman" w:hAnsi="Times New Roman"/>
          <w:sz w:val="24"/>
        </w:rPr>
        <w:t>De eiser is gehouden in de procesinleiding een advocaat bij de Hoge Raad aan te wijzen, die hem in het geding zal vertegenwoordigen, op straffe van nietigheid.</w:t>
      </w:r>
    </w:p>
    <w:p w:rsidRPr="00570CC2" w:rsidR="00570CC2" w:rsidP="00570CC2" w:rsidRDefault="00570CC2">
      <w:pPr>
        <w:ind w:firstLine="284"/>
        <w:rPr>
          <w:rFonts w:ascii="Times New Roman" w:hAnsi="Times New Roman"/>
          <w:sz w:val="24"/>
        </w:rPr>
      </w:pPr>
      <w:r>
        <w:rPr>
          <w:rFonts w:ascii="Times New Roman" w:hAnsi="Times New Roman"/>
          <w:sz w:val="24"/>
        </w:rPr>
        <w:t xml:space="preserve">4. </w:t>
      </w:r>
      <w:r w:rsidRPr="00570CC2">
        <w:rPr>
          <w:rFonts w:ascii="Times New Roman" w:hAnsi="Times New Roman"/>
          <w:sz w:val="24"/>
        </w:rPr>
        <w:t>De eiser wordt geacht woonplaats te hebben gekozen bij die advocaat, tenzij de procesinleiding een andere gekozen woonplaats in Nederland uitdrukt.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J</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Na artikel 407 worden de volgende artikelen ingevoegd: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407a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De griffier stuurt de eiser een oproepingsbericht na ontvangst van de procesinleiding.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In het oproepingsbericht neemt de griffier de inhoud en de datum van indiening van de procesinleiding op, alsmede de gegevens bedoeld in de onderdelen h, j, k en l van artikel 111, tweede lid. De griffier vermeldt daarnaast de rechtsgevolgen die intreden indien de verweerder het door zijn verschijning verschuldigde griffierecht niet tijdig voldoet en de dag waarop de verweerder ten laatste zijn verweerschrift kan indienen.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407b</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Het oproepingsbericht bedoeld in artikel 407a wordt aan de verweerder bij exploot betekend of door eiser op andere wijze bezorgd, binnen twee weken na de dag van indiening van de procesinleiding, tenzij de wet anders bepaalt. Het exploot van betekening van het oproepingsbericht wordt door de eiser ingediend uiterlijk op de dag, voorafgaande aan de dag waarop de verweerder ten laatste kan verschijnen. Is de verweerder eerder verschenen, dan kan de eiser de indiening van het exploot van betekening achterwege laten.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2. Heeft de eiser het oproepingsbericht bezorgd op andere wijze, bedoeld in het eerste lid, en verschijnt de verweerder niet uiterlijk op de laatste dag waarop hij diende te verschijnen, dan kan eiser binnen twee weken na de dag waarop verweerder uiterlijk diende te verschijnen, het oproepingsbericht doen betekenen bij de verweerder. De termijn om te verschijnen bedoeld in artikel 407, tweede lid, wordt in dat geval verlengd met vier weken. Het oproepingsbericht kan met het oog daarop door de deurwaarder in zijn exploot van betekening </w:t>
      </w:r>
      <w:r w:rsidRPr="00570CC2">
        <w:rPr>
          <w:rFonts w:ascii="Times New Roman" w:hAnsi="Times New Roman"/>
          <w:sz w:val="24"/>
        </w:rPr>
        <w:lastRenderedPageBreak/>
        <w:t xml:space="preserve">worden verbeterd of aangevuld. In dat geval vervangt dit gewijzigde oproepingsbericht het eerdere oproepingsbericht en geldt deze nieuwe uiterlijke verschijningsdatum. </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Indien eiser de oproeping bij exploot bedoeld in het tweede lid achterwege laat, wordt hij niet-ontvankelijk verklaard in zijn beroep in cassatie.</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407c</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 afwijking van artikel 407, tweede lid, onderdeel c, bedraagt de termijn om te verschijnen: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a.</w:t>
      </w:r>
      <w:r>
        <w:rPr>
          <w:rFonts w:ascii="Times New Roman" w:hAnsi="Times New Roman"/>
          <w:sz w:val="24"/>
        </w:rPr>
        <w:t xml:space="preserve"> </w:t>
      </w:r>
      <w:r w:rsidRPr="00570CC2">
        <w:rPr>
          <w:rFonts w:ascii="Times New Roman" w:hAnsi="Times New Roman"/>
          <w:sz w:val="24"/>
        </w:rPr>
        <w:t>minimaal vier weken en maximaal zes maanden indien de verweerder een bekende woonplaats of een bekend werkelijk verblijf buiten Nederland heeft in een Staat waar de in artikel 56, eerste lid, bedoelde verordening van toepassing is. Deze termijn vangt aan op de dag na die waarop het oproepingsbericht aan de verweerder is betekend of aan hem is kennisgegeven op een wijze overeenkomstig de verordening bedoeld in artikel 56, eerste lid. De termijn van verschijning wordt in de procesinleiding opgenomen in plaats van de dag van verschijning;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b. </w:t>
      </w:r>
      <w:r w:rsidRPr="00570CC2">
        <w:rPr>
          <w:rFonts w:ascii="Times New Roman" w:hAnsi="Times New Roman"/>
          <w:sz w:val="24"/>
        </w:rPr>
        <w:t>minimaal drie maanden en maximaal twaalf maanden indien de verweerder een bekende woonplaats of een bekend werkelijk verblijf buiten Nederland heeft in een Staat die partij is bij het op 15 november 1965 te 's-Gravenhage tot stand gekomen Verdrag inzake de betekening en de kennisgeving in het buitenland van gerechtelijke en buitengerechtelijke stukken in burgerlijke en in handelszaken (Trb. 1966, 91) of indien de verweerder noch in Nederland, noch in een Staat als bedoeld in dit artikel onder a of in een Staat als bedoeld in voormeld Verdrag, maar in een andere Staat een bekende woonplaats of een bekend werkelijk verblijf heeft. Deze termijn vangt aan na de dag van indiening van de procesinleiding bij de Hoge Raad. De eiser dient het bewijs van betekening of van kennisgeving aan de verweerder onverwijld in, zodra hij hierover beschikt.</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Artikel 116 is van overeenkomstige toepassing, met dien verstande dat de termijn om te verschijnen ten minste zes weken bedraagt.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K</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408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408</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Het geding is aanhangig met ingang van de dag waarop de procesinleiding is ingediend als bedoeld in artikel 407, eerste lid.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L</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artikel 408a wordt het vijfde lid vernummerd tot het vierde lid.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M</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In artikel 409a, eerste lid, wordt “artikel 3, derde lid, van de Wet griffierechten burgerlijke zaken” vervangen door “artikel 3a, tweede lid, van de Wet griffierechten burgerlijke zaken”. </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N</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 xml:space="preserve">Artikel 411, tweede lid, komt te luiden: </w:t>
      </w:r>
    </w:p>
    <w:p w:rsidRPr="00570CC2" w:rsidR="00570CC2" w:rsidP="00570CC2" w:rsidRDefault="00570CC2">
      <w:pPr>
        <w:ind w:firstLine="284"/>
        <w:rPr>
          <w:rFonts w:ascii="Times New Roman" w:hAnsi="Times New Roman"/>
          <w:sz w:val="24"/>
        </w:rPr>
      </w:pPr>
      <w:r>
        <w:rPr>
          <w:rFonts w:ascii="Times New Roman" w:hAnsi="Times New Roman"/>
          <w:sz w:val="24"/>
        </w:rPr>
        <w:t xml:space="preserve">2. </w:t>
      </w:r>
      <w:r w:rsidRPr="00570CC2">
        <w:rPr>
          <w:rFonts w:ascii="Times New Roman" w:hAnsi="Times New Roman"/>
          <w:sz w:val="24"/>
        </w:rPr>
        <w:t>De verweerder brengt alle excepties en zijn verweer ten principale tegelijk naar voren, op straffe van verval van niet aangevoerde excepties en, indien niet ten principale verweer is gevoerd, van het recht om dat alsnog te doen. Alleen de in artikel 128, vierde lid, bedoelde exceptie wordt op straffe van verval afzonderlijk voor alle weren van rechten voorgedragen.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O</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artikel 412, eerste lid, wordt “om het incidentele beroep of de voorgestelde exceptie bij conclusie te beantwoorden” vervangen door “voor het verweerschrift om op het incidentele beroep of de voorgestelde exceptie te reageren”.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P</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413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413</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De Hoge Raad kan een mondelinge behandeling gelasten, waarbij de Hoge Raad toepassing kan geven aan de artikelen 87 tot en met 91.</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Q</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Aan artikel 418, tweede lid, wordt een zin toegevoegd, die luidt: “Artikel 29a is niet van toepassing”.</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R</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418a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418a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Voor zover uit deze titel niet anders voortvloeit, zijn van de tweede titel de artikelen 117 tot en met 122, de zevende tot en met de negende afdeling, alsmede de elfde tot en met de dertiende afdeling van overeenkomstige toepassing, met dien verstande dat:</w:t>
      </w:r>
    </w:p>
    <w:p w:rsidRPr="00570CC2" w:rsidR="00570CC2" w:rsidP="00570CC2" w:rsidRDefault="00570CC2">
      <w:pPr>
        <w:ind w:firstLine="284"/>
        <w:rPr>
          <w:rFonts w:ascii="Times New Roman" w:hAnsi="Times New Roman"/>
          <w:sz w:val="24"/>
        </w:rPr>
      </w:pPr>
      <w:r>
        <w:rPr>
          <w:rFonts w:ascii="Times New Roman" w:hAnsi="Times New Roman"/>
          <w:sz w:val="24"/>
        </w:rPr>
        <w:t xml:space="preserve">a. </w:t>
      </w:r>
      <w:r w:rsidRPr="00570CC2">
        <w:rPr>
          <w:rFonts w:ascii="Times New Roman" w:hAnsi="Times New Roman"/>
          <w:sz w:val="24"/>
        </w:rPr>
        <w:t>onder het exploot van dagvaarding in de artikelen 120 tot en met 122 en in artikel 230, tweede lid, wordt verstaan het exploot van betekening van het oproepingsbericht;</w:t>
      </w:r>
    </w:p>
    <w:p w:rsidRPr="00570CC2" w:rsidR="00570CC2" w:rsidP="00570CC2" w:rsidRDefault="00570CC2">
      <w:pPr>
        <w:ind w:firstLine="284"/>
        <w:rPr>
          <w:rFonts w:ascii="Times New Roman" w:hAnsi="Times New Roman"/>
          <w:sz w:val="24"/>
        </w:rPr>
      </w:pPr>
      <w:r>
        <w:rPr>
          <w:rFonts w:ascii="Times New Roman" w:hAnsi="Times New Roman"/>
          <w:sz w:val="24"/>
        </w:rPr>
        <w:t xml:space="preserve">b. </w:t>
      </w:r>
      <w:r w:rsidRPr="00570CC2">
        <w:rPr>
          <w:rFonts w:ascii="Times New Roman" w:hAnsi="Times New Roman"/>
          <w:sz w:val="24"/>
        </w:rPr>
        <w:t>voor de toepassing van de elfde afdeling schorsing en hervatting van het geding enkel plaatsvinden door een daartoe strekkende akte. Na hervatting van het geding bepaalt de Hoge Raad de te verrichten proceshandeling en stelt hij partijen hiervan in kennis onder vermelding van de toepasselijke termijnen.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S</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425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425</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Verzet is niet toegelaten tegen arresten die door de Hoge Raad bij verstek in cassatie zijn gewezen.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T</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426a, eerste lid, komt te luiden:</w:t>
      </w:r>
    </w:p>
    <w:p w:rsidRPr="00570CC2" w:rsidR="00570CC2" w:rsidP="00570CC2" w:rsidRDefault="00570CC2">
      <w:pPr>
        <w:ind w:firstLine="284"/>
        <w:rPr>
          <w:rFonts w:ascii="Times New Roman" w:hAnsi="Times New Roman"/>
          <w:sz w:val="24"/>
        </w:rPr>
      </w:pPr>
      <w:r>
        <w:rPr>
          <w:rFonts w:ascii="Times New Roman" w:hAnsi="Times New Roman"/>
          <w:sz w:val="24"/>
        </w:rPr>
        <w:t xml:space="preserve">1. </w:t>
      </w:r>
      <w:r w:rsidRPr="00570CC2">
        <w:rPr>
          <w:rFonts w:ascii="Times New Roman" w:hAnsi="Times New Roman"/>
          <w:sz w:val="24"/>
        </w:rPr>
        <w:t>Het beroep in cassatie wordt ingesteld bij een procesinleiding, die wordt getekend door een advocaat bij de Hoge Raad en wordt ingediend op de wijze bedoeld in artikel 397.</w:t>
      </w:r>
    </w:p>
    <w:p w:rsidR="00EA27B8" w:rsidP="00570CC2" w:rsidRDefault="00EA27B8">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U</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de artikelen 426b en 427a, tweede lid, wordt “Artikel 276, eerste lid” telkens vervangen door “Artikel 276”.</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V</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artikel 1019ib, derde lid, onder b, wordt “artikel 30n, zevende lid” vervangen door “artikel 90, zevende lid”.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W</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artikel 1064a, eerste lid, wordt “artikel 30r” vervangen door “artikel 32a”.</w:t>
      </w:r>
    </w:p>
    <w:p w:rsidRPr="00570CC2" w:rsidR="00570CC2" w:rsidP="00570CC2" w:rsidRDefault="00570CC2">
      <w:pPr>
        <w:rPr>
          <w:rFonts w:ascii="Times New Roman" w:hAnsi="Times New Roman"/>
          <w:sz w:val="24"/>
        </w:rPr>
      </w:pP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II</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I heeft betrekking op het Wetboek van Burgerlijke Rechtsvordering zoals dat luidt voor de procedures, vorderingen, verzoeken en gerechten waarvoor de Wet van 13 juli 2016 tot wijziging van het Wetboek van Burgerlijke Rechtsvordering en de Algemene wet bestuursrecht in verband met vereenvoudiging en digitalisering van het procesrecht (Stb. 2016, 288) niet in werking is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 en de artikelen I en II van het Besluit van 4 februari 2021 tot vaststelling van het tijdstip van inwerkingtreding van enkele onderdelen van de Wet van 13 juli 2021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(Stb. 2016, 290) en het Aanpassingsbesluit vereenvoudiging en digitalisering procesrecht (Stb. 2016, 293) (Stb. 2021, 81).</w:t>
      </w:r>
    </w:p>
    <w:p w:rsidRPr="00570CC2" w:rsidR="00570CC2" w:rsidP="00570CC2" w:rsidRDefault="00570CC2">
      <w:pPr>
        <w:rPr>
          <w:rFonts w:ascii="Times New Roman" w:hAnsi="Times New Roman"/>
          <w:sz w:val="24"/>
        </w:rPr>
      </w:pP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III</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Het Wetboek van Burgerlijke Rechtsvordering zoals dat luidt voor de Hoge Raad vervalt.</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Het eerste lid heeft betrekking op het Wetboek van Burgerlijke Rechtsvordering zoals dat luidt voor de procedures en vorderingen voor de Hoge Raad waarvoor de Wet van 13 juli 2016 tot wijziging van het Wetboek van Burgerlijke Rechtsvordering en de Algemene wet bestuursrecht in verband met vereenvoudiging en digitalisering van het procesrecht (Stb. 2016, 288) en de Wet van 13 juli 2016 tot wijziging van het Wetboek van Burgerlijke Rechtsvordering in verband met vereenvoudiging en digitalisering van het procesrecht in hoger beroep en cassatie (Stb. 2016, 289) in werking zijn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 en de artikelen I en II van het Besluit van 4 februari 2021 tot vaststelling van het tijdstip van inwerkingtreding van enkele onderdelen van de Wet van 13 juli 20216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(Stb. 2016, 290) en het Aanpassingsbesluit vereenvoudiging en digitalisering procesrecht (Stb. 2016, 293) (Stb. 2021, 81).</w:t>
      </w:r>
    </w:p>
    <w:p w:rsidRPr="00570CC2" w:rsidR="00570CC2" w:rsidP="00570CC2" w:rsidRDefault="00570CC2">
      <w:pPr>
        <w:rPr>
          <w:rFonts w:ascii="Times New Roman" w:hAnsi="Times New Roman"/>
          <w:sz w:val="24"/>
        </w:rPr>
      </w:pP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HOOFDSTUK 2: ANDERE WETTEN</w:t>
      </w: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 xml:space="preserve">ARTIKEL IV </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De Wet griffierechten burgerlijke zaken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1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w:t>
      </w:r>
    </w:p>
    <w:p w:rsidRPr="00570CC2" w:rsidR="00570CC2" w:rsidP="00570CC2" w:rsidRDefault="00570CC2">
      <w:pPr>
        <w:rPr>
          <w:rFonts w:ascii="Times New Roman" w:hAnsi="Times New Roman"/>
          <w:b/>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In deze wet en de daarop berustende bepalingen wordt verstaan onder:</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a. </w:t>
      </w:r>
      <w:r w:rsidRPr="00570CC2">
        <w:rPr>
          <w:rFonts w:ascii="Times New Roman" w:hAnsi="Times New Roman"/>
          <w:i/>
          <w:sz w:val="24"/>
        </w:rPr>
        <w:t>Onze Minister</w:t>
      </w:r>
      <w:r w:rsidRPr="00570CC2">
        <w:rPr>
          <w:rFonts w:ascii="Times New Roman" w:hAnsi="Times New Roman"/>
          <w:sz w:val="24"/>
        </w:rPr>
        <w:t>: Onze Minister voor Rechtsbescherming;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b. </w:t>
      </w:r>
      <w:r w:rsidRPr="00570CC2">
        <w:rPr>
          <w:rFonts w:ascii="Times New Roman" w:hAnsi="Times New Roman"/>
          <w:i/>
          <w:sz w:val="24"/>
        </w:rPr>
        <w:t>Hoge Raad</w:t>
      </w:r>
      <w:r w:rsidRPr="00570CC2">
        <w:rPr>
          <w:rFonts w:ascii="Times New Roman" w:hAnsi="Times New Roman"/>
          <w:sz w:val="24"/>
        </w:rPr>
        <w:t>: de Hoge Raad der Nederlanden;</w:t>
      </w: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 xml:space="preserve">c. </w:t>
      </w:r>
      <w:r w:rsidRPr="00570CC2">
        <w:rPr>
          <w:rFonts w:ascii="Times New Roman" w:hAnsi="Times New Roman"/>
          <w:i/>
          <w:sz w:val="24"/>
        </w:rPr>
        <w:t>zaken die bij dagvaarding worden ingeleid</w:t>
      </w:r>
      <w:r w:rsidRPr="00570CC2">
        <w:rPr>
          <w:rFonts w:ascii="Times New Roman" w:hAnsi="Times New Roman"/>
          <w:sz w:val="24"/>
        </w:rPr>
        <w:t>: zaken als bedoeld in artikel 78 van het Wetboek van Burgerlijke Rechtsvordering;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d. </w:t>
      </w:r>
      <w:r w:rsidRPr="00570CC2">
        <w:rPr>
          <w:rFonts w:ascii="Times New Roman" w:hAnsi="Times New Roman"/>
          <w:i/>
          <w:sz w:val="24"/>
        </w:rPr>
        <w:t>zaken waarbij een verzoek wordt ingediend</w:t>
      </w:r>
      <w:r w:rsidRPr="00570CC2">
        <w:rPr>
          <w:rFonts w:ascii="Times New Roman" w:hAnsi="Times New Roman"/>
          <w:sz w:val="24"/>
        </w:rPr>
        <w:t>: zaken als bedoeld in artikel 261 van het Wetboek van Burgerlijke Rechtsvordering.</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Het opschrift van paragraaf 1 van hoofdstuk 2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i/>
          <w:sz w:val="24"/>
        </w:rPr>
      </w:pPr>
      <w:r w:rsidRPr="00570CC2">
        <w:rPr>
          <w:rFonts w:ascii="Times New Roman" w:hAnsi="Times New Roman"/>
          <w:i/>
          <w:sz w:val="24"/>
        </w:rPr>
        <w:t>§ 1. De griffierechten in zaken die bij dagvaarding of met een verzoekschrift worden ingeleid en in vorderingszaken en verzoekzaken bij de Hoge Raad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C</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3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 zaken die bij dagvaarding worden ingeleid, wordt op de eerste roldatum, dan wel in zaken als bedoeld in artikel 254 van het Wetboek van Burgerlijke Rechtsvordering op de eerste zitting, van elke eiser en elke verschenen gedaagde voor iedere instantie een griffierecht geheven, voor zover bij of krachtens deze wet of een andere wet niet anders is bepaald.</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Voor de indiening van een verzoekschrift of een verweerschrift wordt een griffierecht geheven, voor zover bij of krachtens deze wet of een andere wet niet anders is bepaald.</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De eiser is het griffierecht verschuldigd vanaf de eerste uitroeping van de zaak ter zitting of bij gebreke daarvan vanaf de eerste roldatum en zorgt dat het griffierecht binnen vier weken nadien is bijgeschreven op de rekening van het gerecht waar de zaak dient dan wel ter griffie is gestort. De gedaagde is het griffierecht verschuldigd vanaf zijn verschijning in het geding en zorgt dat het griffierecht binnen vier weken nadien is bijgeschreven op de rekening van het gerecht waar de zaak dient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De verzoeker en de belanghebbende zijn het griffierecht verschuldigd vanaf de indiening van het verzoekschrift respectievelijk het verweerschrift en zorgen dat het griffierecht binnen vier weken nadien is bijgeschreven op de rekening van het gerecht waar de behandeling plaatsvindt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5. De hoogte van het griffierecht wordt bepaald aan de hand van de tabel die als bijlage bij deze wet is gevoegd.</w:t>
      </w:r>
    </w:p>
    <w:p w:rsidRPr="00570CC2" w:rsidR="00570CC2" w:rsidP="00570CC2" w:rsidRDefault="00570CC2">
      <w:pPr>
        <w:ind w:firstLine="284"/>
        <w:rPr>
          <w:rFonts w:ascii="Times New Roman" w:hAnsi="Times New Roman"/>
          <w:sz w:val="24"/>
        </w:rPr>
      </w:pPr>
      <w:r w:rsidRPr="00570CC2">
        <w:rPr>
          <w:rFonts w:ascii="Times New Roman" w:hAnsi="Times New Roman"/>
          <w:sz w:val="24"/>
        </w:rPr>
        <w:t>6. In afwijking van het vijfde lid wordt in zaken met betrekking tot een vordering, dan wel een verzoek met een beloop van meer dan € 1.000.000, het griffierecht geheven uit de naast lagere categorie zoals dat volgt uit de tabel die als bijlage bij deze wet is gevoegd indien een natuurlijke persoon bij die zaak partij is.</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D</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Na artikel 3 wordt een artikel ingevoegd, dat luidt: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1. In cassatie wordt: </w:t>
      </w: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 xml:space="preserve">a. in vorderingszaken van elke eiser en elke verschenen verweerder een griffierecht geheven, voor zover bij of krachtens deze wet of een andere wet niet anders is bepaald; </w:t>
      </w:r>
    </w:p>
    <w:p w:rsidRPr="00570CC2" w:rsidR="00570CC2" w:rsidP="00570CC2" w:rsidRDefault="00570CC2">
      <w:pPr>
        <w:ind w:firstLine="284"/>
        <w:rPr>
          <w:rFonts w:ascii="Times New Roman" w:hAnsi="Times New Roman"/>
          <w:sz w:val="24"/>
        </w:rPr>
      </w:pPr>
      <w:r w:rsidRPr="00570CC2">
        <w:rPr>
          <w:rFonts w:ascii="Times New Roman" w:hAnsi="Times New Roman"/>
          <w:sz w:val="24"/>
        </w:rPr>
        <w:t>b. in zaken waarbij een verzoek wordt ingediend, voor de indiening van een verzoek of een verweerschrift een griffierecht geheven, voor zover bij of krachtens deze wet of een andere wet niet anders is bepaald.</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De eiser in cassatie is het griffierecht verschuldigd vanaf de dag waarop de procesinleiding is ingediend en zorgt dat het griffierecht binnen vier weken nadien is bijgeschreven op de rekening van de Hoge Raad dan wel ter griffie is gestort. De verweerder is het griffierecht verschuldigd vanaf zijn verschijning in het geding en zorgt dat het griffierecht binnen vier weken nadien is bijgeschreven op de rekening van de Hoge Raad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De verzoeker en de belanghebbende zijn het griffierecht verschuldigd vanaf de indiening van de procesinleiding respectievelijk het verweerschrift en zorgen dat het griffierecht binnen vier weken nadien is bijgeschreven op de rekening van de Hoge Raad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Artikel 3, vijfde en zesde lid, is van overeenkomstige toepassing.</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E</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De artikelen 4 tot en met 6 komen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1. Geen griffierecht wordt geheven van: </w:t>
      </w:r>
    </w:p>
    <w:p w:rsidRPr="00570CC2" w:rsidR="00570CC2" w:rsidP="00570CC2" w:rsidRDefault="00570CC2">
      <w:pPr>
        <w:ind w:firstLine="284"/>
        <w:rPr>
          <w:rFonts w:ascii="Times New Roman" w:hAnsi="Times New Roman"/>
          <w:sz w:val="24"/>
        </w:rPr>
      </w:pPr>
      <w:r>
        <w:rPr>
          <w:rFonts w:ascii="Times New Roman" w:hAnsi="Times New Roman"/>
          <w:sz w:val="24"/>
        </w:rPr>
        <w:t xml:space="preserve">a. </w:t>
      </w:r>
      <w:r w:rsidRPr="00570CC2">
        <w:rPr>
          <w:rFonts w:ascii="Times New Roman" w:hAnsi="Times New Roman"/>
          <w:sz w:val="24"/>
        </w:rPr>
        <w:t>het openbaar ministerie indien het ambtshalve optreedt;</w:t>
      </w:r>
    </w:p>
    <w:p w:rsidRPr="00570CC2" w:rsidR="00570CC2" w:rsidP="00570CC2" w:rsidRDefault="00570CC2">
      <w:pPr>
        <w:ind w:firstLine="284"/>
        <w:rPr>
          <w:rFonts w:ascii="Times New Roman" w:hAnsi="Times New Roman"/>
          <w:sz w:val="24"/>
        </w:rPr>
      </w:pPr>
      <w:r>
        <w:rPr>
          <w:rFonts w:ascii="Times New Roman" w:hAnsi="Times New Roman"/>
          <w:sz w:val="24"/>
        </w:rPr>
        <w:t xml:space="preserve">b. </w:t>
      </w:r>
      <w:r w:rsidRPr="00570CC2">
        <w:rPr>
          <w:rFonts w:ascii="Times New Roman" w:hAnsi="Times New Roman"/>
          <w:sz w:val="24"/>
        </w:rPr>
        <w:t>de gedaagde in een zaak in behandeling bij de kantonrechter of de pachtkamer bij de rechtbank;</w:t>
      </w:r>
    </w:p>
    <w:p w:rsidRPr="00570CC2" w:rsidR="00570CC2" w:rsidP="00570CC2" w:rsidRDefault="00570CC2">
      <w:pPr>
        <w:ind w:firstLine="284"/>
        <w:rPr>
          <w:rFonts w:ascii="Times New Roman" w:hAnsi="Times New Roman"/>
          <w:sz w:val="24"/>
        </w:rPr>
      </w:pPr>
      <w:r>
        <w:rPr>
          <w:rFonts w:ascii="Times New Roman" w:hAnsi="Times New Roman"/>
          <w:sz w:val="24"/>
        </w:rPr>
        <w:t xml:space="preserve">c. </w:t>
      </w:r>
      <w:r w:rsidRPr="00570CC2">
        <w:rPr>
          <w:rFonts w:ascii="Times New Roman" w:hAnsi="Times New Roman"/>
          <w:sz w:val="24"/>
        </w:rPr>
        <w:t>de oorspronkelijke eiser in geval van verzet als bedoeld in de achtste afdeling van de tweede titel van het Eerste Boek van het Wetboek van Burgerlijke Rechtsvordering;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d. </w:t>
      </w:r>
      <w:r w:rsidRPr="00570CC2">
        <w:rPr>
          <w:rFonts w:ascii="Times New Roman" w:hAnsi="Times New Roman"/>
          <w:sz w:val="24"/>
        </w:rPr>
        <w:t>de oorspronkelijke eiser en de oorspronkelijke gedaagde in geval van verzet door derden als bedoeld in de negende titel van het Eerste Boek van het Wetboek van Burgerlijke Rechtsvordering;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e. </w:t>
      </w:r>
      <w:r w:rsidRPr="00570CC2">
        <w:rPr>
          <w:rFonts w:ascii="Times New Roman" w:hAnsi="Times New Roman"/>
          <w:sz w:val="24"/>
        </w:rPr>
        <w:t>de partij in een zaak in vrijwaring als bedoeld in artikel 210 van het Wetboek van Burgerlijke Rechtsvordering die in de hoofdzaak reeds griffierecht verschuldigd is geworden, en</w:t>
      </w:r>
    </w:p>
    <w:p w:rsidRPr="00570CC2" w:rsidR="00570CC2" w:rsidP="00570CC2" w:rsidRDefault="00570CC2">
      <w:pPr>
        <w:ind w:firstLine="284"/>
        <w:rPr>
          <w:rFonts w:ascii="Times New Roman" w:hAnsi="Times New Roman"/>
          <w:sz w:val="24"/>
        </w:rPr>
      </w:pPr>
      <w:r>
        <w:rPr>
          <w:rFonts w:ascii="Times New Roman" w:hAnsi="Times New Roman"/>
          <w:sz w:val="24"/>
        </w:rPr>
        <w:t xml:space="preserve">f. </w:t>
      </w:r>
      <w:r w:rsidRPr="00570CC2">
        <w:rPr>
          <w:rFonts w:ascii="Times New Roman" w:hAnsi="Times New Roman"/>
          <w:sz w:val="24"/>
        </w:rPr>
        <w:t>partijen en anderen die verschijnen in de prejudiciële procedure als bedoeld in artikel 393 van het Wetboek van Burgerlijke Rechtsvordering.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Geen griffierecht wordt geheven voor:</w:t>
      </w:r>
    </w:p>
    <w:p w:rsidRPr="00570CC2" w:rsidR="00570CC2" w:rsidP="00570CC2" w:rsidRDefault="00570CC2">
      <w:pPr>
        <w:ind w:firstLine="284"/>
        <w:rPr>
          <w:rFonts w:ascii="Times New Roman" w:hAnsi="Times New Roman"/>
          <w:sz w:val="24"/>
        </w:rPr>
      </w:pPr>
      <w:r>
        <w:rPr>
          <w:rFonts w:ascii="Times New Roman" w:hAnsi="Times New Roman"/>
          <w:sz w:val="24"/>
        </w:rPr>
        <w:t xml:space="preserve">a. </w:t>
      </w:r>
      <w:r w:rsidRPr="00570CC2">
        <w:rPr>
          <w:rFonts w:ascii="Times New Roman" w:hAnsi="Times New Roman"/>
          <w:sz w:val="24"/>
        </w:rPr>
        <w:t>het indienen van een verweerschrift bij de kantonrechter of de pachtkamer bij de rechtbank;</w:t>
      </w:r>
    </w:p>
    <w:p w:rsidRPr="00570CC2" w:rsidR="00570CC2" w:rsidP="00570CC2" w:rsidRDefault="00570CC2">
      <w:pPr>
        <w:ind w:firstLine="284"/>
        <w:rPr>
          <w:rFonts w:ascii="Times New Roman" w:hAnsi="Times New Roman"/>
          <w:sz w:val="24"/>
        </w:rPr>
      </w:pPr>
      <w:r>
        <w:rPr>
          <w:rFonts w:ascii="Times New Roman" w:hAnsi="Times New Roman"/>
          <w:sz w:val="24"/>
        </w:rPr>
        <w:t xml:space="preserve">b. </w:t>
      </w:r>
      <w:r w:rsidRPr="00570CC2">
        <w:rPr>
          <w:rFonts w:ascii="Times New Roman" w:hAnsi="Times New Roman"/>
          <w:sz w:val="24"/>
        </w:rPr>
        <w:t>het instellen van een eis in reconventie als bedoeld in artikel 136 van het Wetboek van Burgerlijke Rechtsvordering;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c. </w:t>
      </w:r>
      <w:r w:rsidRPr="00570CC2">
        <w:rPr>
          <w:rFonts w:ascii="Times New Roman" w:hAnsi="Times New Roman"/>
          <w:sz w:val="24"/>
        </w:rPr>
        <w:t>het instellen van incidenteel beroep als bedoeld in de artikelen 339, derde lid, 361, vierde lid, en 410 van het Wetboek van Burgerlijke Rechtsvordering;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d.</w:t>
      </w:r>
      <w:r>
        <w:rPr>
          <w:rFonts w:ascii="Times New Roman" w:hAnsi="Times New Roman"/>
          <w:sz w:val="24"/>
        </w:rPr>
        <w:t xml:space="preserve"> </w:t>
      </w:r>
      <w:r w:rsidRPr="00570CC2">
        <w:rPr>
          <w:rFonts w:ascii="Times New Roman" w:hAnsi="Times New Roman"/>
          <w:sz w:val="24"/>
        </w:rPr>
        <w:t>het indienen van een zelfstandig verzoek als bedoeld in artikel 282, vierde lid, van het Wetboek van Burgerlijke Rechtsvordering;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e.</w:t>
      </w:r>
      <w:r>
        <w:rPr>
          <w:rFonts w:ascii="Times New Roman" w:hAnsi="Times New Roman"/>
          <w:sz w:val="24"/>
        </w:rPr>
        <w:t xml:space="preserve"> </w:t>
      </w:r>
      <w:r w:rsidRPr="00570CC2">
        <w:rPr>
          <w:rFonts w:ascii="Times New Roman" w:hAnsi="Times New Roman"/>
          <w:sz w:val="24"/>
        </w:rPr>
        <w:t>het doen van rekening en verantwoording als bedoeld in artikel 771 van het Wetboek van Burgerlijke Rechtsvordering;</w:t>
      </w:r>
    </w:p>
    <w:p w:rsidRPr="00570CC2" w:rsidR="00570CC2" w:rsidP="00570CC2" w:rsidRDefault="00570CC2">
      <w:pPr>
        <w:ind w:firstLine="284"/>
        <w:rPr>
          <w:rFonts w:ascii="Times New Roman" w:hAnsi="Times New Roman"/>
          <w:sz w:val="24"/>
        </w:rPr>
      </w:pPr>
      <w:r>
        <w:rPr>
          <w:rFonts w:ascii="Times New Roman" w:hAnsi="Times New Roman"/>
          <w:sz w:val="24"/>
        </w:rPr>
        <w:lastRenderedPageBreak/>
        <w:t xml:space="preserve">f. </w:t>
      </w:r>
      <w:r w:rsidRPr="00570CC2">
        <w:rPr>
          <w:rFonts w:ascii="Times New Roman" w:hAnsi="Times New Roman"/>
          <w:sz w:val="24"/>
        </w:rPr>
        <w:t>de indiening van een verzoekschrift, indien dit verzoekschrift in de loop van een aanhangig geding wordt ingediend en op dit geding betrekking heeft;</w:t>
      </w:r>
    </w:p>
    <w:p w:rsidRPr="00570CC2" w:rsidR="00570CC2" w:rsidP="00570CC2" w:rsidRDefault="00570CC2">
      <w:pPr>
        <w:ind w:firstLine="284"/>
        <w:rPr>
          <w:rFonts w:ascii="Times New Roman" w:hAnsi="Times New Roman"/>
          <w:sz w:val="24"/>
        </w:rPr>
      </w:pPr>
      <w:r>
        <w:rPr>
          <w:rFonts w:ascii="Times New Roman" w:hAnsi="Times New Roman"/>
          <w:sz w:val="24"/>
        </w:rPr>
        <w:t xml:space="preserve">g. </w:t>
      </w:r>
      <w:r w:rsidRPr="00570CC2">
        <w:rPr>
          <w:rFonts w:ascii="Times New Roman" w:hAnsi="Times New Roman"/>
          <w:sz w:val="24"/>
        </w:rPr>
        <w:t xml:space="preserve">de indiening van een verzoekschrift strekkende tot begroting van de </w:t>
      </w:r>
      <w:proofErr w:type="spellStart"/>
      <w:r w:rsidRPr="00570CC2">
        <w:rPr>
          <w:rFonts w:ascii="Times New Roman" w:hAnsi="Times New Roman"/>
          <w:sz w:val="24"/>
        </w:rPr>
        <w:t>nakosten</w:t>
      </w:r>
      <w:proofErr w:type="spellEnd"/>
      <w:r w:rsidRPr="00570CC2">
        <w:rPr>
          <w:rFonts w:ascii="Times New Roman" w:hAnsi="Times New Roman"/>
          <w:sz w:val="24"/>
        </w:rPr>
        <w:t xml:space="preserve"> als bedoeld in artikel 237, vierde lid, van het Wetboek van Burgerlijke Rechtsvordering;</w:t>
      </w:r>
    </w:p>
    <w:p w:rsidRPr="00570CC2" w:rsidR="00570CC2" w:rsidP="00570CC2" w:rsidRDefault="00570CC2">
      <w:pPr>
        <w:ind w:firstLine="284"/>
        <w:rPr>
          <w:rFonts w:ascii="Times New Roman" w:hAnsi="Times New Roman"/>
          <w:sz w:val="24"/>
        </w:rPr>
      </w:pPr>
      <w:r>
        <w:rPr>
          <w:rFonts w:ascii="Times New Roman" w:hAnsi="Times New Roman"/>
          <w:sz w:val="24"/>
        </w:rPr>
        <w:t xml:space="preserve">h. </w:t>
      </w:r>
      <w:r w:rsidRPr="00570CC2">
        <w:rPr>
          <w:rFonts w:ascii="Times New Roman" w:hAnsi="Times New Roman"/>
          <w:sz w:val="24"/>
        </w:rPr>
        <w:t>het voeren van verweer tegen handelingen als bedoeld onder b tot en met g;</w:t>
      </w:r>
    </w:p>
    <w:p w:rsidRPr="00570CC2" w:rsidR="00570CC2" w:rsidP="00570CC2" w:rsidRDefault="00570CC2">
      <w:pPr>
        <w:ind w:firstLine="284"/>
        <w:rPr>
          <w:rFonts w:ascii="Times New Roman" w:hAnsi="Times New Roman"/>
          <w:sz w:val="24"/>
        </w:rPr>
      </w:pPr>
      <w:r w:rsidRPr="00570CC2">
        <w:rPr>
          <w:rFonts w:ascii="Times New Roman" w:hAnsi="Times New Roman"/>
          <w:sz w:val="24"/>
        </w:rPr>
        <w:t>i.</w:t>
      </w:r>
      <w:r>
        <w:rPr>
          <w:rFonts w:ascii="Times New Roman" w:hAnsi="Times New Roman"/>
          <w:sz w:val="24"/>
        </w:rPr>
        <w:t xml:space="preserve"> </w:t>
      </w:r>
      <w:r w:rsidRPr="00570CC2">
        <w:rPr>
          <w:rFonts w:ascii="Times New Roman" w:hAnsi="Times New Roman"/>
          <w:sz w:val="24"/>
        </w:rPr>
        <w:t>het doen van een eigen aangifte tot faillietverklaring als bedoeld in artikel 4, eerste lid, van de Faillissementswet, alsmede voor het aanwenden van een rechtsmiddel tegen de afwijzing van deze aangifte;</w:t>
      </w:r>
    </w:p>
    <w:p w:rsidRPr="00570CC2" w:rsidR="00570CC2" w:rsidP="00570CC2" w:rsidRDefault="00570CC2">
      <w:pPr>
        <w:ind w:firstLine="284"/>
        <w:rPr>
          <w:rFonts w:ascii="Times New Roman" w:hAnsi="Times New Roman"/>
          <w:sz w:val="24"/>
        </w:rPr>
      </w:pPr>
      <w:r w:rsidRPr="00570CC2">
        <w:rPr>
          <w:rFonts w:ascii="Times New Roman" w:hAnsi="Times New Roman"/>
          <w:sz w:val="24"/>
        </w:rPr>
        <w:t>j. de indiening van een verzoekschrift tot het van toepassing verklaren van de schuldsaneringsregeling natuurlijke personen als bedoeld in artikel 284, eerste lid, van de Faillissementswet, alsmede voor het aanwenden van een rechtsmiddel tegen de afwijzing van dit verzoek, 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k.</w:t>
      </w:r>
      <w:r>
        <w:rPr>
          <w:rFonts w:ascii="Times New Roman" w:hAnsi="Times New Roman"/>
          <w:sz w:val="24"/>
        </w:rPr>
        <w:t xml:space="preserve"> </w:t>
      </w:r>
      <w:r w:rsidRPr="00570CC2">
        <w:rPr>
          <w:rFonts w:ascii="Times New Roman" w:hAnsi="Times New Roman"/>
          <w:sz w:val="24"/>
        </w:rPr>
        <w:t>de indiening van een verzoek tot rangschikking.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Bij regeling van Onze Minister kunnen regels worden gesteld omtrent bepaalde categorieën van zaken die bij dagvaarding of met een verzoekschrift worden ingeleid, waarin geen griffierecht wordt geheven.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5</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De vordering tot voeging of tussenkomst, bedoeld in artikel 217 van het Wetboek van Burgerlijke Rechtsvordering, geldt voor de partij die de vordering instelt, als het aanvangen van een nieuwe zaak. Van hem wordt een bedrag aan griffierecht geheven met betrekking tot de vordering in de oorspronkelijke zaak op basis van de tabel die als bijlage bij deze wet is gevoegd. Geen griffierecht wordt geheven van de partij die zich voegt aan de zijde van de gedaagde als bedoeld in artikel 4, eerste lid, onder b.</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De partij, bedoeld in het eerste lid, is het griffierecht verschuldigd vanaf het tijdstip waarop hij de vordering tot voeging of tussenkomst instelt en zorgt dat het griffierecht binnen vier weken nadien is bijgeschreven op de rekening van het gerecht waar de zaak dient dan wel ter griffie is gestort.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6</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Van een derde die overeenkomstig artikel 118 van het Wetboek van Burgerlijke Rechtsvordering als partij in het geding wordt opgeroepen en naar aanleiding daarvan verschijnt, wordt een bedrag aan griffierecht geheven gelijk aan dat van een gedaagde in de oorspronkelijke zaak op basis van de tabel die als bijlage bij deze wet is gevoegd.</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De derde, bedoeld in het eerste lid, is het griffierecht verschuldigd vanaf zijn verschijning in het geding en zorgt dat het griffierecht binnen vier weken nadien is bijgeschreven op de rekening van het gerecht waar de zaak dient dan wel ter griffie is gestort.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F</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De artikelen 8 en 9 komen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8</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1. Indien een zaak, in behandeling bij een kamer voor kantonzaken, met toepassing van artikel 71, eerste lid, of 220, vierde lid, van het Wetboek van Burgerlijke Rechtsvordering wordt verwezen naar een kamer voor andere zaken dan kantonzaken van hetzelfde gerecht om </w:t>
      </w:r>
      <w:r w:rsidRPr="00570CC2">
        <w:rPr>
          <w:rFonts w:ascii="Times New Roman" w:hAnsi="Times New Roman"/>
          <w:sz w:val="24"/>
        </w:rPr>
        <w:lastRenderedPageBreak/>
        <w:t>verder te worden behandeld en beslist, wordt het griffierecht van elke eiser dan wel elke verzoeker verhoogd voor zover op basis van de tabel die als bijlage bij deze wet is gevoegd, een hoger bedrag aan griffierecht dient te worden geheven. Van elke verschenen gedaagde dan wel belanghebbende, voor zover deze een verweerschrift heeft ingediend, wordt alsnog griffierecht geheven.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2. De eiser en de bij de eerste rechter verschenen gedaagde zijn de ingevolge het eerste lid te heffen verhoging van het griffierecht verschuldigd vanaf de dag waarop de zaak ter </w:t>
      </w:r>
      <w:proofErr w:type="spellStart"/>
      <w:r w:rsidRPr="00570CC2">
        <w:rPr>
          <w:rFonts w:ascii="Times New Roman" w:hAnsi="Times New Roman"/>
          <w:sz w:val="24"/>
        </w:rPr>
        <w:t>rolle</w:t>
      </w:r>
      <w:proofErr w:type="spellEnd"/>
      <w:r w:rsidRPr="00570CC2">
        <w:rPr>
          <w:rFonts w:ascii="Times New Roman" w:hAnsi="Times New Roman"/>
          <w:sz w:val="24"/>
        </w:rPr>
        <w:t xml:space="preserve"> dient bij de rechter naar wie de zaak is verwezen en zorgen dat het griffierecht binnen vier weken nadien is bijgeschreven op de rekening van het gerecht waar de zaak dient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De verzoeker en de belanghebbende zijn de ingevolge het eerste lid te heffen verhoging van het griffierecht verschuldigd vanaf de beslissing tot verwijzing en zorgen dat het griffierecht binnen vier weken nadien is bijgeschreven op de rekening van het gerecht waar de zaak dient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Indien een zaak in behandeling bij een kamer voor andere zaken dan kantonzaken, met toepassing van artikel 71, tweede lid, of 220, vierde lid, van het Wetboek van Burgerlijke Rechtsvordering wordt verwezen naar een kamer voor kantonzaken van hetzelfde gerecht om verder te worden behandeld en beslist, wordt het griffierecht verminderd voor zover op basis van de tabel die als bijlage bij deze wet is gevoegd, een lager bedrag aan griffierecht dient te worden geheven, en wordt het te veel betaalde griffierecht door de griffier teruggestort.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9</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Indien een zaak die bij dagvaarding moet worden ingeleid met toepassing van artikel 73 of 220 van het Wetboek van Burgerlijke Rechtsvordering wordt verwezen naar een ander gerecht om verder te worden behandeld en beslist, wordt van elke eiser en, voor zover van toepassing, elke verschenen gedaagde opnieuw griffierecht geheven, met dien verstande dat het eerder geheven griffierecht hierop in mindering wordt gebracht.</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Indien een zaak waarbij een verzoek wordt ingediend met toepassing van artikel 73 van het Wetboek van Burgerlijke Rechtsvordering wordt verwezen naar een ander gerecht om verder te worden behandeld en beslist, wordt van elke verzoeker en elke belanghebbende, voor zover deze een verweerschrift heeft ingediend, opnieuw griffierecht geheven, met dien verstande dat het eerder geheven griffierecht hierop in mindering wordt gebracht.</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3. De eiser en de bij de eerste rechter verschenen gedaagde zijn het ingevolge het eerste lid te heffen griffierecht verschuldigd vanaf de dag waarop de zaak ter </w:t>
      </w:r>
      <w:proofErr w:type="spellStart"/>
      <w:r w:rsidRPr="00570CC2">
        <w:rPr>
          <w:rFonts w:ascii="Times New Roman" w:hAnsi="Times New Roman"/>
          <w:sz w:val="24"/>
        </w:rPr>
        <w:t>rolle</w:t>
      </w:r>
      <w:proofErr w:type="spellEnd"/>
      <w:r w:rsidRPr="00570CC2">
        <w:rPr>
          <w:rFonts w:ascii="Times New Roman" w:hAnsi="Times New Roman"/>
          <w:sz w:val="24"/>
        </w:rPr>
        <w:t xml:space="preserve"> dient bij de rechter naar wie de zaak is verwezen en zorgen dat het griffierecht binnen vier weken nadien is bijgeschreven op de rekening van het gerecht waar de zaak dient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De verzoeker en de belanghebbende zijn het ingevolge het tweede lid te heffen griffierecht verschuldigd vanaf de beschikking tot verwijzing en zorgen dat het griffierecht binnen vier weken nadien is bijgeschreven op de rekening van het gerecht waar de zaak dient dan wel ter griffie is 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5. Indien een zaak, met toepassing van artikel 73 van het Wetboek van Burgerlijke Rechtsvordering wordt verwezen naar een lagere rechter bij een ander gerecht om verder te worden behandeld en beslist, wordt het griffierecht verminderd voor zover uit de tabel die als bijlage bij deze wet is gevoegd, volgt dat een lager bedrag aan griffierecht dient te worden geheven, en wordt het te veel betaalde griffierecht door de griffier teruggestort.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G</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Artikel 9a wordt als volgt gewijzigd:</w:t>
      </w:r>
    </w:p>
    <w:p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 het eerste lid wordt “artikel 30r, eerste lid, eerste volzin, van het Wetboek van Burgerlijke Rechtsvordering” telkens vervangen door “artikel 32a, eerste lid, eerste volzin, van het Wetboek van Burgerlijke Rechtsvordering”.</w:t>
      </w:r>
    </w:p>
    <w:p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2. In het vijfde lid wordt “artikel 30r, derde lid, van het Wetboek van Burgerlijke Rechtsvordering” vervangen door “artikel 32a, derde lid, van het Wetboek van Burgerlijke Rechtsvordering”.</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H</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De artikelen 10 tot en met 15 komen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10</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De hoogte van het griffierecht wordt bepaald aan de hand van de vordering in de dagvaarding dan wel het verzoek in het verzoekschrift of het beroepschrift.</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In zaken waarin een vordering tot onteigening wordt gedaan wordt de hoogte van het griffierecht bepaald aan de hand van de som die in de dagvaarding als schadeloosstelling wordt aangeboden. In cassatie wordt het griffierecht geheven ter hoogte van de vordering van onbepaalde waarde op basis van de tabel die als bijlage bij deze wet is gevoegd.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11</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Op het griffierecht wordt in mindering gebracht het griffierecht dat reeds is voldaan in de zaak waarop het geding of verzoekschrift betrekking heeft.</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2. Indien in cassatie in een zaak waarbij een vordering is ingesteld, de eiser de procesinleiding intrekt voordat de verweerder in de procedure is verschenen en uiterlijk in de procedure had kunnen verschijnen, wordt van de eiser een derde deel van het ingevolge artikel 3a verschuldigde griffierecht geheven met een maximum van € 82 voor </w:t>
      </w:r>
      <w:proofErr w:type="spellStart"/>
      <w:r w:rsidRPr="00570CC2">
        <w:rPr>
          <w:rFonts w:ascii="Times New Roman" w:hAnsi="Times New Roman"/>
          <w:sz w:val="24"/>
        </w:rPr>
        <w:t>onvermogenden</w:t>
      </w:r>
      <w:proofErr w:type="spellEnd"/>
      <w:r w:rsidRPr="00570CC2">
        <w:rPr>
          <w:rFonts w:ascii="Times New Roman" w:hAnsi="Times New Roman"/>
          <w:sz w:val="24"/>
        </w:rPr>
        <w:t>, € 273 voor natuurlijke personen en € 547 voor rechtspersonen. Indien de eiser het griffierecht reeds heeft voldaan, stort de griffier het te veel betaalde griffierecht aan de eiser terug.</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De eiser in cassatie bericht de griffie schriftelijk dat hij de procesinleiding intrekt.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12</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Indien de vordering strekt tot betaling van een geldsom en de eiser zijn eis vermeerdert overeenkomstig artikel 130 van het Wetboek van Burgerlijke Rechtsvordering, wordt het griffierecht verhoogd tot het griffierecht, dat partijen verschuldigd zouden zijn geweest, indien de vermeerderde eis was opgenomen in de dagvaarding.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Indien het verzoek strekt tot betaling van een geldsom en de verzoeker zijn verzoek vermeerdert overeenkomstig artikel 283 van het Wetboek van Burgerlijke Rechtsvordering, is het eerste lid van overeenkomstige toepassing.</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Bij heffing van het verhoogde griffierecht op de voet van het eerste of tweede lid wordt uitgegaan van de tarieven die gelden op het tijdstip waarop de eis of het verzoek wordt vermeerderd.</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4. Partijen zijn het verhoogde griffierecht verschuldigd vanaf het tijdstip van de vermeerdering van de eis of het verzoek en zorgen dat het griffierecht binnen vier weken </w:t>
      </w:r>
      <w:r w:rsidRPr="00570CC2">
        <w:rPr>
          <w:rFonts w:ascii="Times New Roman" w:hAnsi="Times New Roman"/>
          <w:sz w:val="24"/>
        </w:rPr>
        <w:lastRenderedPageBreak/>
        <w:t>nadien is bijgeschreven op de rekening van het gerecht waar de zaak dient dan wel ter griffie is gestort. Indien de rechter de vermeerdering van de eis of het verzoek echter buiten beschouwing laat, blijft de heffing beperkt tot het oorspronkelijk geheven bedrag en wordt het eventueel te veel betaalde griffierecht door de griffier teruggestort.</w:t>
      </w:r>
    </w:p>
    <w:p w:rsidRPr="00570CC2" w:rsidR="00570CC2" w:rsidP="00570CC2" w:rsidRDefault="00570CC2">
      <w:pPr>
        <w:ind w:firstLine="284"/>
        <w:rPr>
          <w:rFonts w:ascii="Times New Roman" w:hAnsi="Times New Roman"/>
          <w:sz w:val="24"/>
        </w:rPr>
      </w:pPr>
      <w:r w:rsidRPr="00570CC2">
        <w:rPr>
          <w:rFonts w:ascii="Times New Roman" w:hAnsi="Times New Roman"/>
          <w:sz w:val="24"/>
        </w:rPr>
        <w:t>5. Het griffierecht wordt niet verhoogd, indien op het tijdstip waarop de eis dan wel het verzoek wordt vermeerderd een van de stukken, bedoeld in artikel 16, eerste lid, onder a of b, is overlegd.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13</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Indien de eis strekt tot betaling van een geldsom en de eiser zijn eis vermindert overeenkomstig artikel 129 van het Wetboek van Burgerlijke Rechtsvordering en van partijen minder griffierecht zou zijn geheven indien de verminderde eis was opgenomen in de dagvaarding, wordt het griffierecht niet alsnog verminderd.</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Indien het verzoek strekt tot betaling van een geldsom en de verzoeker zijn verzoek vermindert overeenkomstig artikel 283 van het Wetboek van Burgerlijke Rechtsvordering, is het eerste lid van overeenkomstige toepassing.</w:t>
      </w:r>
    </w:p>
    <w:p w:rsidRPr="00570CC2" w:rsidR="00570CC2" w:rsidP="00570CC2" w:rsidRDefault="00570CC2">
      <w:pPr>
        <w:rPr>
          <w:rFonts w:ascii="Times New Roman" w:hAnsi="Times New Roman"/>
          <w:b/>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14</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Indien de eis strekt tot veroordeling tot schadevergoeding op te maken bij staat, maar de rechter in het vonnis of het arrest overeenkomstig artikel 97 van Boek 6 van het Burgerlijk Wetboek de schade heeft begroot, wordt alsnog het griffierecht geheven dat partijen verschuldigd zouden zijn geweest, indien de eis in de dagvaarding had gestrekt tot betaling van een bepaalde geldsom ten belope van de begrote schade. Het reeds voldane griffierecht wordt hierop in mindering gebracht.</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Partijen zijn het nader vastgestelde griffierecht verschuldigd vanaf het tijdstip waarop de rechter het vonnis of het arrest, bedoeld in het eerste lid, heeft gewezen en zorgen dat het griffierecht binnen vier weken nadien is bijgeschreven op de rekening van het gerecht waar de zaak dient dan wel ter griffie is gestort.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15</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Van partijen die bij dezelfde advocaat of gemachtigde verschijnen en gelijkluidende conclusies nemen of gelijkluidend verweer voeren, wordt slechts eenmaal een gezamenlijk griffierecht geheven. Hetzelfde geldt voor verzoekers en belanghebbenden die bij dezelfde advocaat of gemachtigde verschijnen en gelijkluidende verzoekschriften of verweerschriften indienen.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2. Indien tot partijen of tot verzoekers of belanghebbenden als bedoeld in het eerste lid, zowel natuurlijke personen als niet-natuurlijke personen behoren, wordt het griffierecht geheven dat niet-natuurlijke personen verschuldigd zijn. Behoren tot degenen bedoeld in het eerste lid, zowel </w:t>
      </w:r>
      <w:proofErr w:type="spellStart"/>
      <w:r w:rsidRPr="00570CC2">
        <w:rPr>
          <w:rFonts w:ascii="Times New Roman" w:hAnsi="Times New Roman"/>
          <w:sz w:val="24"/>
        </w:rPr>
        <w:t>onvermogenden</w:t>
      </w:r>
      <w:proofErr w:type="spellEnd"/>
      <w:r w:rsidRPr="00570CC2">
        <w:rPr>
          <w:rFonts w:ascii="Times New Roman" w:hAnsi="Times New Roman"/>
          <w:sz w:val="24"/>
        </w:rPr>
        <w:t xml:space="preserve"> als anderen, dan wordt het griffierecht geheven dat deze laatsten verschuldigd zijn.</w:t>
      </w:r>
    </w:p>
    <w:p w:rsidRPr="00570CC2" w:rsidR="00570CC2" w:rsidP="00570CC2" w:rsidRDefault="00570CC2">
      <w:pPr>
        <w:rPr>
          <w:rFonts w:ascii="Times New Roman" w:hAnsi="Times New Roman"/>
          <w:sz w:val="24"/>
        </w:rPr>
      </w:pPr>
      <w:r w:rsidRPr="00570CC2">
        <w:rPr>
          <w:rFonts w:ascii="Times New Roman" w:hAnsi="Times New Roman"/>
          <w:sz w:val="24"/>
        </w:rPr>
        <w:t>3. In cassatie wordt van eisers, verzoekers, verweerders en belanghebbenden die bij dezelfde advocaat verschijnen en gelijkluidende procesinleidingen indienen of gelijkluidend verweer voeren, slechts eenmaal een gezamenlijk griffierecht geheven.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I</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lastRenderedPageBreak/>
        <w:t>Artikel 21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21</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Onverminderd de overige artikelen van deze wet worden aan partijen en aan belanghebbenden afschriften van of uittreksels uit vonnissen, arresten, beschikkingen, akten, processen-verbaal, registers of andere stukken kosteloos afgegeven, indien en voor zover zij daarbij belang hebben en niet in staat zijn op andere wijze in de behoefte te voorzien. Bij weigering van de griffier kunnen partijen een verzoek tot afgifte van een afschrift of uittrekstel indienen bij de voorzieningenrechter of in kantonzaken, de kantonrechter. Hiervoor is geen griffierecht verschuldigd. Tegen de beslissing op het verzoek, bedoeld in de tweede volzin, is geen hogere voorziening toegelaten.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Bij of krachtens algemene maatregel van bestuur worden regels gesteld met betrekking tot de griffierechten, verschuldigd voor de verstrekking van afschriften van en uittreksels uit vonnissen, arresten en beschikkingen anders dan in de gevallen, bedoeld in het eerste lid.</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Voor de geregelde verstrekking van niet-getekende afschriften van of uittreksels uit de rol aan advocaten of gemachtigden wordt een griffierecht geheven van € 22 per maand.</w:t>
      </w:r>
    </w:p>
    <w:p w:rsidRPr="00570CC2" w:rsidR="00570CC2" w:rsidP="00EA27B8" w:rsidRDefault="00570CC2">
      <w:pPr>
        <w:ind w:firstLine="284"/>
        <w:rPr>
          <w:rFonts w:ascii="Times New Roman" w:hAnsi="Times New Roman"/>
          <w:sz w:val="24"/>
        </w:rPr>
      </w:pPr>
      <w:r w:rsidRPr="00570CC2">
        <w:rPr>
          <w:rFonts w:ascii="Times New Roman" w:hAnsi="Times New Roman"/>
          <w:sz w:val="24"/>
        </w:rPr>
        <w:t>4. Voor de uitgifte van afschriften en uittreksels uit de registers van de burgerlijke stand met bijlagen worden de bedragen berekend, bedoeld bij de Wet rechten burgerlijke stand.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J</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In de bijlage bij de wet wordt in de tabel “artikel 30r” telkens vervangen door “artikel 32a”.</w:t>
      </w:r>
    </w:p>
    <w:p w:rsidRPr="00570CC2" w:rsidR="00570CC2" w:rsidP="00570CC2" w:rsidRDefault="00570CC2">
      <w:pPr>
        <w:rPr>
          <w:rFonts w:ascii="Times New Roman" w:hAnsi="Times New Roman"/>
          <w:sz w:val="24"/>
        </w:rPr>
      </w:pP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V</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Boek 1 van het Burgerlijk Wetboek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345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345</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De voogd behoeft machtiging van de kantonrechter om de navolgende handelingen voor rekening van de minderjarige te verrichten: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a. aangaan van overeenkomsten strekkende tot beschikking over goederen van de minderjarige, tenzij de handeling geld betreft, als een gewone beheersdaad kan worden beschouwd, of krachtens rechterlijk bevel geschiedt;</w:t>
      </w:r>
    </w:p>
    <w:p w:rsidRPr="00570CC2" w:rsidR="00570CC2" w:rsidP="00570CC2" w:rsidRDefault="00570CC2">
      <w:pPr>
        <w:ind w:firstLine="284"/>
        <w:rPr>
          <w:rFonts w:ascii="Times New Roman" w:hAnsi="Times New Roman"/>
          <w:sz w:val="24"/>
        </w:rPr>
      </w:pPr>
      <w:r w:rsidRPr="00570CC2">
        <w:rPr>
          <w:rFonts w:ascii="Times New Roman" w:hAnsi="Times New Roman"/>
          <w:sz w:val="24"/>
        </w:rPr>
        <w:t>b. giften doen, andere dan gebruikelijke, niet bovenmatige;</w:t>
      </w:r>
    </w:p>
    <w:p w:rsidRPr="00570CC2" w:rsidR="00570CC2" w:rsidP="00570CC2" w:rsidRDefault="00570CC2">
      <w:pPr>
        <w:ind w:firstLine="284"/>
        <w:rPr>
          <w:rFonts w:ascii="Times New Roman" w:hAnsi="Times New Roman"/>
          <w:sz w:val="24"/>
        </w:rPr>
      </w:pPr>
      <w:r w:rsidRPr="00570CC2">
        <w:rPr>
          <w:rFonts w:ascii="Times New Roman" w:hAnsi="Times New Roman"/>
          <w:sz w:val="24"/>
        </w:rPr>
        <w:t>c. een making of gift, waaraan lasten of voorwaarden zijn verbonden, aannemen;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d. geld lenen of de minderjarige als borg of hoofdelijke medeschuldenaar verbinden;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e. overeenkomen dat een boedel, waartoe de minderjarige gerechtigd is, voor een bepaalde tijd onverdeeld wordt gelaten.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De kantonrechter kan bepalen dat de voogd zijn machtiging behoeft voor het innen van vorderingen van de minderjarige, het disponeren over saldi bij een bank als bedoeld in artikel 1:1 van de Wet op het financieel toezicht daaronder begrepen.</w:t>
      </w: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3. Voor het aangaan van een overeenkomst tot beëindiging van een geschil waarbij de minderjarige is betrokken, behoeft de voogd geen machtiging in het geval van artikel 87 van het Wetboek van Burgerlijke Rechtsvordering of indien het voorwerp van de onzekerheid of het geschil een waarde van € 700 niet te boven gaat, noch indien de overeenkomst als een beheersdaad is te beschouwen.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441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441</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Tijdens het bewind vertegenwoordigt de bewindvoerder bij de vervulling van zijn taak de rechthebbende in en buiten rechte. De bewindvoerder draagt zorg voor een doelmatige belegging van het vermogen van de rechthebbende, voor zover dit onder het bewind staat en niet besteed behoort te worden voor een voldoende verzorging van de rechthebbende. De bewindvoerder kan voorts voor de rechthebbende alle handelingen verrichten die aan een goed bewind bijdragen.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Hij behoeft echter toestemming van de rechthebbende of, indien deze daartoe niet in staat of weigerachtig is, machtiging van de kantonrechter voor de volgende handelingen: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a. beschikken en aangaan van overeenkomsten tot beschikking over een onder het bewind staand goed, tenzij de handeling als een gewone beheersdaad kan worden beschouwd of krachtens rechterlijk bevel geschiedt;</w:t>
      </w:r>
    </w:p>
    <w:p w:rsidRPr="00570CC2" w:rsidR="00570CC2" w:rsidP="00570CC2" w:rsidRDefault="00570CC2">
      <w:pPr>
        <w:ind w:firstLine="284"/>
        <w:rPr>
          <w:rFonts w:ascii="Times New Roman" w:hAnsi="Times New Roman"/>
          <w:sz w:val="24"/>
        </w:rPr>
      </w:pPr>
      <w:r w:rsidRPr="00570CC2">
        <w:rPr>
          <w:rFonts w:ascii="Times New Roman" w:hAnsi="Times New Roman"/>
          <w:sz w:val="24"/>
        </w:rPr>
        <w:t>b. een making of gift waaraan lasten of voorwaarden zijn verbonden, aannemen;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c. geld lenen of de rechthebbende als borg of hoofdelijke medeschuldenaar verbinden; </w:t>
      </w:r>
    </w:p>
    <w:p w:rsidRPr="00570CC2" w:rsidR="00570CC2" w:rsidP="00570CC2" w:rsidRDefault="00570CC2">
      <w:pPr>
        <w:ind w:firstLine="284"/>
        <w:rPr>
          <w:rFonts w:ascii="Times New Roman" w:hAnsi="Times New Roman"/>
          <w:sz w:val="24"/>
        </w:rPr>
      </w:pPr>
      <w:r w:rsidRPr="00570CC2">
        <w:rPr>
          <w:rFonts w:ascii="Times New Roman" w:hAnsi="Times New Roman"/>
          <w:sz w:val="24"/>
        </w:rPr>
        <w:t xml:space="preserve">d. overeenkomen dat een boedel, waartoe de rechthebbende gerechtigd is, voor een bepaalde tijd onverdeeld wordt gelaten; </w:t>
      </w:r>
    </w:p>
    <w:p w:rsidRPr="00570CC2" w:rsidR="00570CC2" w:rsidP="00570CC2" w:rsidRDefault="00570CC2">
      <w:pPr>
        <w:ind w:firstLine="284"/>
        <w:rPr>
          <w:rFonts w:ascii="Times New Roman" w:hAnsi="Times New Roman"/>
          <w:sz w:val="24"/>
        </w:rPr>
      </w:pPr>
      <w:r w:rsidRPr="00570CC2">
        <w:rPr>
          <w:rFonts w:ascii="Times New Roman" w:hAnsi="Times New Roman"/>
          <w:sz w:val="24"/>
        </w:rPr>
        <w:t>e. het aangaan, buiten het geval van artikel 87 van het Wetboek van Burgerlijke Rechtsvordering, van een overeenkomst tot het beëindigen van een geschil, tenzij het voorwerp van het geschil een waarde van € 700 niet te boven gaat;</w:t>
      </w:r>
    </w:p>
    <w:p w:rsidRPr="00570CC2" w:rsidR="00570CC2" w:rsidP="00570CC2" w:rsidRDefault="00570CC2">
      <w:pPr>
        <w:ind w:firstLine="284"/>
        <w:rPr>
          <w:rFonts w:ascii="Times New Roman" w:hAnsi="Times New Roman"/>
          <w:sz w:val="24"/>
        </w:rPr>
      </w:pPr>
      <w:r w:rsidRPr="00570CC2">
        <w:rPr>
          <w:rFonts w:ascii="Times New Roman" w:hAnsi="Times New Roman"/>
          <w:sz w:val="24"/>
        </w:rPr>
        <w:t>f. andere bij de instelling van het bewind of nadien aangewezen handelingen.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De kantonrechter kan ook aan de bewindvoerder een doorlopende machtiging met zodanige voorwaarden als hij geraden acht, verlenen om handelingen als in het vorige lid bedoeld te verrichten en een verleende machtiging te allen tijde wijzigen of intrekken.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4. De bewindvoerder is, met uitsluiting van de rechthebbende, bevoegd de verdeling te vorderen van goederen, waarvan een onverdeeld aandeel tot zijn bewind behoort. Tot een verdeling, ook al geschiedt zij krachtens rechterlijk bevel, behoeft de bewindvoerder toestemming of machtiging overeenkomstig het tweede lid. De kantonrechter kan, in plaats van machtiging te verlenen, met overeenkomstige toepassing van artikel 181 van Boek 3 een onzijdig persoon benoemen, die in plaats van de bewindvoerder de rechthebbende bij de verdeling vertegenwoordigt.</w:t>
      </w:r>
    </w:p>
    <w:p w:rsidRPr="00570CC2" w:rsidR="00570CC2" w:rsidP="00570CC2" w:rsidRDefault="00570CC2">
      <w:pPr>
        <w:ind w:firstLine="284"/>
        <w:rPr>
          <w:rFonts w:ascii="Times New Roman" w:hAnsi="Times New Roman"/>
          <w:sz w:val="24"/>
        </w:rPr>
      </w:pPr>
      <w:r w:rsidRPr="00570CC2">
        <w:rPr>
          <w:rFonts w:ascii="Times New Roman" w:hAnsi="Times New Roman"/>
          <w:sz w:val="24"/>
        </w:rPr>
        <w:t>5. De bewindvoerder is, met uitsluiting van de rechthebbende, bevoegd een aan de rechthebbende opgekomen nalatenschap te aanvaarden. Tenzij de aanvaarding geschiedt met toestemming van de rechthebbende, kan de bewindvoerder niet anders aanvaarden dan onder het voorrecht van boedelbeschrijving.</w:t>
      </w:r>
    </w:p>
    <w:p w:rsidRPr="00570CC2" w:rsidR="00570CC2" w:rsidP="00570CC2" w:rsidRDefault="00570CC2">
      <w:pPr>
        <w:rPr>
          <w:rFonts w:ascii="Times New Roman" w:hAnsi="Times New Roman"/>
          <w:sz w:val="24"/>
        </w:rPr>
      </w:pPr>
    </w:p>
    <w:p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VI</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lastRenderedPageBreak/>
        <w:t>Boek 2 van het Burgerlijk Wetboek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338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338</w:t>
      </w:r>
    </w:p>
    <w:p w:rsidRPr="00570CC2" w:rsidR="00570CC2" w:rsidP="00570CC2" w:rsidRDefault="00570CC2">
      <w:pPr>
        <w:rPr>
          <w:rFonts w:ascii="Times New Roman" w:hAnsi="Times New Roman"/>
          <w:b/>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1. Nadat de dagvaarding aan hem is betekend en tot de dag waarop het vonnis onherroepelijk is geworden, kan de verweerder zijn aandelen niet vervreemden, verpanden of daarop een vruchtgebruik vestigen, tenzij de eisers daarvoor toestemming verlenen. Indien de eisers de toestemming weigeren, kan de rechter voor wie het geschil aanhangig is op vordering van verweerder de toestemming verlenen, indien verweerder bij de rechtshandeling een redelijk belang heeft. Tegen de beslissing van de rechter staat geen hogere voorziening open.</w:t>
      </w:r>
    </w:p>
    <w:p w:rsidRPr="00570CC2" w:rsidR="00570CC2" w:rsidP="00570CC2" w:rsidRDefault="00570CC2">
      <w:pPr>
        <w:ind w:firstLine="284"/>
        <w:rPr>
          <w:rFonts w:ascii="Times New Roman" w:hAnsi="Times New Roman"/>
          <w:sz w:val="24"/>
        </w:rPr>
      </w:pPr>
      <w:r w:rsidRPr="00570CC2">
        <w:rPr>
          <w:rFonts w:ascii="Times New Roman" w:hAnsi="Times New Roman"/>
          <w:sz w:val="24"/>
        </w:rPr>
        <w:t>2. Nadat de vordering is toegewezen, kan de verweerder de aandelen slechts overdragen met inachtneming van de artikelen 339 tot en met 341.</w:t>
      </w:r>
    </w:p>
    <w:p w:rsidRPr="00570CC2" w:rsidR="00570CC2" w:rsidP="00570CC2" w:rsidRDefault="00570CC2">
      <w:pPr>
        <w:ind w:firstLine="284"/>
        <w:rPr>
          <w:rFonts w:ascii="Times New Roman" w:hAnsi="Times New Roman"/>
          <w:sz w:val="24"/>
        </w:rPr>
      </w:pPr>
      <w:r w:rsidRPr="00570CC2">
        <w:rPr>
          <w:rFonts w:ascii="Times New Roman" w:hAnsi="Times New Roman"/>
          <w:sz w:val="24"/>
        </w:rPr>
        <w:t>3. Een voorlopige voorziening als bedoeld in artikel 223 van het Wetboek van Burgerlijke Rechtsvordering kan worden getroffen met werking tot het tijdstip dat de aandelen worden overgedragen. Een vordering tot het treffen van een voorlopige voorziening wordt met de meeste spoed behandeld.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570CC2" w:rsidRDefault="00570CC2">
      <w:pPr>
        <w:ind w:firstLine="284"/>
        <w:rPr>
          <w:rFonts w:ascii="Times New Roman" w:hAnsi="Times New Roman"/>
          <w:sz w:val="24"/>
        </w:rPr>
      </w:pPr>
      <w:r w:rsidRPr="00570CC2">
        <w:rPr>
          <w:rFonts w:ascii="Times New Roman" w:hAnsi="Times New Roman"/>
          <w:sz w:val="24"/>
        </w:rPr>
        <w:t>Artikel 342 komt te luiden: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b/>
          <w:sz w:val="24"/>
        </w:rPr>
      </w:pPr>
      <w:r w:rsidRPr="00570CC2">
        <w:rPr>
          <w:rFonts w:ascii="Times New Roman" w:hAnsi="Times New Roman"/>
          <w:b/>
          <w:sz w:val="24"/>
        </w:rPr>
        <w:t>Artikel 342</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Een of meer houders van aandelen die alleen of gezamenlijk ten minste een derde van het geplaatste kapitaal verschaffen, kunnen van een stemgerechtigde vruchtgebruiker of pandhouder van een aandeel in rechte vorderen dat het stemrecht op het aandeel overgaat op de houder van het aandeel, indien die vruchtgebruiker of pandhouder door zijn gedragingen het belang van de vennootschap zodanig schaadt dat in redelijkheid niet kan worden geduld dat hij het stemrecht blijft uitoefenen.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Een afschrift van het exploot van dagvaarding moet onverwijld door eisers aan de houder van het aandeel, die niet zelf tevens eiser is, worden betekend. Artikel 336, leden 2, 3 en 4 en artikel 339 lid 2 zijn van toepassing en de artikelen 337 en 338 leden 1 en 3, tweede volzin, zijn van overeenkomstige toepassing, in dier voege dat in het geval van artikel 338 lid 1 de vruchtgebruiker of pandhouder het vruchtgebruik of het pandrecht niet op een ander kan doen overgaan.</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Indien de vordering tot overgang van het stemrecht is toegewezen, vindt de overgang plaats door het in kracht van gewijsde gaan van het vonnis.</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VII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169 van Boek 4 van het Burgerlijk Wetboek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169</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De bewindvoerder mag met toestemming van de rechthebbende: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a. de in artikel 167 lid 1 bedoelde handelingen verrichten;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b. geld lenen of de rechthebbende als borg of hoofdelijk schuldenaar verbinden;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c. een overeenkomst tot beëindiging van een geschil aangaan; hij behoeft deze toestemming niet in het geval van artikel 87 van het Wetboek van Burgerlijke Rechtsvordering, of indien het voorwerp van het geschil een waarde van € 700 niet te boven gaat.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2. Is het bewind uitsluitend of mede in het belang van een ander dan de rechthebbende of in hun gemeenschappelijk belang ingesteld, dan is ook toestemming van die ander vereist.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3. Verleent iemand wiens toestemming is vereist deze niet, dan kan de kantonrechter haar </w:t>
      </w:r>
      <w:proofErr w:type="spellStart"/>
      <w:r w:rsidRPr="00570CC2">
        <w:rPr>
          <w:rFonts w:ascii="Times New Roman" w:hAnsi="Times New Roman"/>
          <w:sz w:val="24"/>
        </w:rPr>
        <w:t>desverzocht</w:t>
      </w:r>
      <w:proofErr w:type="spellEnd"/>
      <w:r w:rsidRPr="00570CC2">
        <w:rPr>
          <w:rFonts w:ascii="Times New Roman" w:hAnsi="Times New Roman"/>
          <w:sz w:val="24"/>
        </w:rPr>
        <w:t xml:space="preserve"> door zijn machtiging vervangen. De kantonrechter kan de machtiging verlenen onder zodanige voorwaarden als hij geraden acht.</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VIII</w:t>
      </w:r>
    </w:p>
    <w:p w:rsidRPr="002D6101" w:rsidR="00570CC2" w:rsidP="00570CC2" w:rsidRDefault="00570CC2">
      <w:pPr>
        <w:rPr>
          <w:rFonts w:ascii="Times New Roman" w:hAnsi="Times New Roman"/>
          <w:b/>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116 van Boek 5 van het Burgerlijk Wetboek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116</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Wanneer een recht van erfpacht of opstal in de splitsing betrokken is, geldt ter aanvulling van de artikelen 87 leden 2 en 3 en 88 het in de volgende leden bepaalde.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2. Opzegging van het recht wegens verzuim in de betaling van de canon of retributie kan slechts geschieden, wanneer de gehele canon of retributie over twee achtereenvolgende jaren onbetaald is gebleven.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3. Rust op een of meer appartementsrechten een beperkt recht of een beslag dan zijn artikel 87 lid 2, tweede zin, en artikel 88 lid 2 mede van overeenkomstige toepassing met betrekking tot dit beperkte recht of dit beslag.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4. Is het voor een appartementsrecht verschuldigde deel van de canon of retributie over de twee achtereenvolgende jaren onbetaald gebleven, dan kan het appartementsrecht door de rechter op vordering van de grondeigenaar aan deze worden toegewezen. De dagvaarding moet op straffe van niet-ontvankelijkheid binnen acht dagen worden betekend aan hen die als beperkt gerechtigde of beslaglegger op het appartementsrecht in de openbare registers staan ingeschreven.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5. Door inschrijving in de openbare registers van het vonnis waarbij de toewijzing is uitgesproken, gaat het appartementsrecht op de grondeigenaar over en gaan de daarop rustende beperkte rechten en beslagen teniet. Deze inschrijving geschiedt niet, voordat het vonnis in kracht van gewijsde is gegaan. Na deze inschrijving is de grondeigenaar verplicht de waarde die het appartementsrecht heeft op het tijdstip van de inschrijving aan de gewezen appartementseigenaar te vergoeden, na aftrek van hetgeen hij uit hoofde van de erfpacht van de gewezen appartementseigenaar te vorderen heeft, de kosten daaronder begrepen.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6. In de akte van vestiging kan worden aangegeven op welke wijze de waarde als bedoeld in het vorige lid zal worden bepaald. </w:t>
      </w:r>
    </w:p>
    <w:p w:rsidRPr="00570CC2" w:rsidR="00570CC2" w:rsidP="002D6101" w:rsidRDefault="00570CC2">
      <w:pPr>
        <w:ind w:firstLine="284"/>
        <w:rPr>
          <w:rFonts w:ascii="Times New Roman" w:hAnsi="Times New Roman"/>
          <w:sz w:val="24"/>
        </w:rPr>
      </w:pPr>
      <w:r w:rsidRPr="00570CC2">
        <w:rPr>
          <w:rFonts w:ascii="Times New Roman" w:hAnsi="Times New Roman"/>
          <w:sz w:val="24"/>
        </w:rPr>
        <w:t>7. Ieder beding dat ten nadele van een appartementseigenaar van dit artikel afwijkt, is nietig.</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 xml:space="preserve">ARTIKEL IX </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260 van Boek 6 van het Burgerlijk Wetboek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260</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Een wijziging of ontbinding als bedoeld in de artikelen 258 en 259 kan worden uitgesproken onder door de rechter te stellen voorwaarden.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2. Indien hij op grond van die artikelen de overeenkomst wijzigt of gedeeltelijk ontbindt, kan hij bepalen dat een of meer der partijen de overeenkomst binnen een bij de uitspraak vast te stellen termijn door een schriftelijke verklaring geheel zal kunnen ontbinden. De wijziging of gedeeltelijke ontbinding treedt niet in, voordat deze termijn is verstreken.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3. Is de overeenkomst die op grond van de artikelen 258 en 259 wordt gewijzigd of geheel of gedeeltelijk ontbonden, ingeschreven in de openbare registers, dan kan ook de uitspraak waarbij de wijziging of ontbinding plaatsvond, daarin worden ingeschreven, mits deze uitspraak in kracht van gewijsde is gegaan of uitvoerbaar bij voorraad is.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4. Wordt iemand te dier zake gedagvaard aan zijn overeenkomstig artikel 252 lid 2, eerste zin, gekozen woonplaats, dan zijn daarmee tevens gedagvaard al zijn rechtverkrijgenden die geen nieuwe inschrijving hebben genomen. Artikel 29 lid 2 en lid 3, tweede tot en met vierde zin, van Boek 3 zijn van overeenkomstige toepassing.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5. Andere rechtsfeiten die een ingeschreven overeenkomst wijzigen of beëindigen, zijn eveneens </w:t>
      </w:r>
      <w:proofErr w:type="spellStart"/>
      <w:r w:rsidRPr="00570CC2">
        <w:rPr>
          <w:rFonts w:ascii="Times New Roman" w:hAnsi="Times New Roman"/>
          <w:sz w:val="24"/>
        </w:rPr>
        <w:t>inschrijfbaar</w:t>
      </w:r>
      <w:proofErr w:type="spellEnd"/>
      <w:r w:rsidRPr="00570CC2">
        <w:rPr>
          <w:rFonts w:ascii="Times New Roman" w:hAnsi="Times New Roman"/>
          <w:sz w:val="24"/>
        </w:rPr>
        <w:t>, voor zover het rechterlijke uitspraken betreft mits zij in kracht van gewijsde zijn gegaan of uitvoerbaar bij voorraad zijn.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1595 van Boek 8 van het Burgerlijk Wetboek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1595</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De gegrondheid van de betaling verricht door de vervoerder die krachtens artikel 1594 het regres uitoefent, kan niet betwist worden door de vervoerder tegen wie het bedoeld regres wordt uitgeoefend, wanneer de schadevergoeding door de rechter is vastgesteld en wanneer deze laatstgenoemde vervoerder, naar behoren gedagvaard, de mogelijkheid is geboden tot tussenkomst in het geding. De rechter bij wie de hoofdvordering aanhangig is, stelt de termijnen voor de betekening van de dagvaarding en voor de tussenkomst vast.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2. De vervoerder die het regres uitoefent, moet zijn vordering instellen in één en hetzelfde geding tegen alle vervoerders met wie hij geen schikking heeft getroffen, op straffe van verlies van regres jegens de niet gedagvaarde vervoerders.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3. De rechter beslist in één uitspraak over alle bij hem aanhangige regresvorderingen.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Regresvorderingen kunnen niet aanhangig worden gemaakt door het instellen van een rechtsvordering in het geding dat de rechthebbende heeft ingesteld om schadevergoeding te verlangen op grond van de vervoerovereenkomst.</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2 van de Gerechtsdeurwaarderswet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lastRenderedPageBreak/>
        <w:t>Artikel 2</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De gerechtsdeurwaarder is belast met de taken die bij of krachtens de wet, al dan niet bij uitsluiting van ieder ander, aan deurwaarders onderscheidenlijk gerechtsdeurwaarders zijn opgedragen of voorbehouden. De gerechtsdeurwaarder is in het bijzonder belast met:</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a. het doen van dagvaardingen en andere betekeningen, behorende tot de rechtsingang of de instructie van gedingen;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b. het doen van gerechtelijke aanzeggingen, bekendmakingen, protesten en verdere exploten;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c. ontruimingen, beslagen, executoriale verkopingen, gijzelingen en andere handelingen, behorende tot of vereist voor de uitvoering van executoriale titels dan wel</w:t>
      </w:r>
      <w:r w:rsidR="002D6101">
        <w:rPr>
          <w:rFonts w:ascii="Times New Roman" w:hAnsi="Times New Roman"/>
          <w:sz w:val="24"/>
        </w:rPr>
        <w:t xml:space="preserve"> voor de bewaring van rechten;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d. het doen van protesten van non-acceptatie of non-betaling van wissels, orderbiljetten en dergelijke en het opmaken van een akte van interventie aan de voet van het protest;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e. het ambtelijk toezicht bij vrijwillige openbare verkopingen van roerende lichamelijke zaken bij opbod, bij opbod en afslag, of bij afslag.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2. Bij algemene maatregel van bestuur worden de in het eerste lid bedoelde ambtshandelingen omschreven.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3. Onder ambtshandelingen worden mede verstaan de werkzaamheden die rechtstreeks daarmee samenhangen.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De hoofdstukken 3 en 4 van de Algemene wet bestuursrecht zijn niet van toepassing op ambtshandelingen en de weigering deze te verrichten.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19 van de Uitvoeringswet Bewijsverdrag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19</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De rechter stelt zo nodig de dag vast, waarop de zaak weer ter </w:t>
      </w:r>
      <w:proofErr w:type="spellStart"/>
      <w:r w:rsidRPr="00570CC2">
        <w:rPr>
          <w:rFonts w:ascii="Times New Roman" w:hAnsi="Times New Roman"/>
          <w:sz w:val="24"/>
        </w:rPr>
        <w:t>rolle</w:t>
      </w:r>
      <w:proofErr w:type="spellEnd"/>
      <w:r w:rsidRPr="00570CC2">
        <w:rPr>
          <w:rFonts w:ascii="Times New Roman" w:hAnsi="Times New Roman"/>
          <w:sz w:val="24"/>
        </w:rPr>
        <w:t xml:space="preserve"> zal worden opgeroepen.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XIII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Uitvoeringswet Rechtsvorderingsverdrag 1905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8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8</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Verschijnt de gedaagde op de betekende roldatum niet, dan zal, indien de eiser het ontvangbewijs of de verklaring, bedoeld in artikel 5 van het verdrag, nog niet heeft ontvangen, de rechter op verzoek van de eiser het verlenen van verstek en de behandeling van de zaak tot een volgende zitting aanhouden.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lastRenderedPageBreak/>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21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21</w:t>
      </w:r>
    </w:p>
    <w:p w:rsidRPr="002D6101" w:rsidR="00570CC2" w:rsidP="00570CC2" w:rsidRDefault="00570CC2">
      <w:pPr>
        <w:rPr>
          <w:rFonts w:ascii="Times New Roman" w:hAnsi="Times New Roman"/>
          <w:b/>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De rechter stelt bij zijn vonnis de dag vast, waarop de zaak weer ter </w:t>
      </w:r>
      <w:proofErr w:type="spellStart"/>
      <w:r w:rsidRPr="00570CC2">
        <w:rPr>
          <w:rFonts w:ascii="Times New Roman" w:hAnsi="Times New Roman"/>
          <w:sz w:val="24"/>
        </w:rPr>
        <w:t>rolle</w:t>
      </w:r>
      <w:proofErr w:type="spellEnd"/>
      <w:r w:rsidRPr="00570CC2">
        <w:rPr>
          <w:rFonts w:ascii="Times New Roman" w:hAnsi="Times New Roman"/>
          <w:sz w:val="24"/>
        </w:rPr>
        <w:t xml:space="preserve"> zal worden opgeroepen.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 xml:space="preserve">ARTIKEL XIV </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17 van de Uitvoeringswet Rechtsvorderingsverdrag 1954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17</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De rechter stelt bij zijn vonnis de dag vast, waarop de zaak weer ter </w:t>
      </w:r>
      <w:proofErr w:type="spellStart"/>
      <w:r w:rsidRPr="00570CC2">
        <w:rPr>
          <w:rFonts w:ascii="Times New Roman" w:hAnsi="Times New Roman"/>
          <w:sz w:val="24"/>
        </w:rPr>
        <w:t>rolle</w:t>
      </w:r>
      <w:proofErr w:type="spellEnd"/>
      <w:r w:rsidRPr="00570CC2">
        <w:rPr>
          <w:rFonts w:ascii="Times New Roman" w:hAnsi="Times New Roman"/>
          <w:sz w:val="24"/>
        </w:rPr>
        <w:t xml:space="preserve"> zal worden opgeroepen.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XV</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Wet aansprakelijkheidsverzekering motorrijtuigen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7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7</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Voor de uitvoering van de bepalingen van deze wet kan de verzekeraar door de benadeelde worden gedagvaard, hetzij voor de rechter van de plaats van het feit, waaruit de schade is ontstaan, hetzij voor de rechter van de woonplaats van de benadeelde, hetzij voor de rechter van de zetel van de verzekeraar. </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De aansprakelijke persoon kan door de benadeelde worden gedagvaard, hetzij voor de rechter van de plaats van het feit, waaruit de schade is ontstaan, hetzij voor de rechter van de woonplaats van de benadeelde, hetzij voor de rechter van de woonplaats van de aansprakelijke persoon.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9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9</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Aan een vonnis gewezen in een geschil ter zake van door een motorrijtuig veroorzaakte schade, komt tegenover de verzekeraar, de verzekerde of de benadeelde gezag van gewijsde toe, indien zij in het geding de positie van een procespartij hebben gehad.</w:t>
      </w:r>
    </w:p>
    <w:p w:rsidRPr="00570CC2" w:rsidR="00570CC2" w:rsidP="002D6101" w:rsidRDefault="00570CC2">
      <w:pPr>
        <w:ind w:firstLine="284"/>
        <w:rPr>
          <w:rFonts w:ascii="Times New Roman" w:hAnsi="Times New Roman"/>
          <w:sz w:val="24"/>
        </w:rPr>
      </w:pPr>
      <w:r w:rsidRPr="00570CC2">
        <w:rPr>
          <w:rFonts w:ascii="Times New Roman" w:hAnsi="Times New Roman"/>
          <w:sz w:val="24"/>
        </w:rPr>
        <w:lastRenderedPageBreak/>
        <w:t>2. Voorts kan het vonnis dat is gewezen in een geschil tussen de benadeelde en de verzekerde, worden tegengeworpen aan de verzekeraar, indien is komen vast te staan dat de laatste in feite de leiding van het geding op zich heeft genomen; aan de verzekeraar staat alsdan geen tegenbewijs open tegen de bij gewijsde als bewezen aangenomen feiten.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De verzekeraar kan de verzekerde in het geding roepen, dat door de benadeelde tegenover hem wordt ingesteld. De oproeping dient te geschieden door middel van dagvaarding voor het nemen van de conclusie van antwoord. De in het geding geroepene heeft de positie van een procespartij.</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XVI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Wet uitvoering rechtsvorderingsverdrag Groot-Brittannië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9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9</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Verschijnt de gedaagde op de betekende roldatum niet, dan zal, indien de eiser het bewijsstuk, bedoeld bij het vorige artikel, nog niet ontvangen heeft, de rechter op verzoek van de eiser het verlenen van verstek en de behandeling van de zaak tot een volgende zitting aanhouden.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13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13</w:t>
      </w:r>
    </w:p>
    <w:p w:rsidRPr="002D6101" w:rsidR="00570CC2" w:rsidP="00570CC2" w:rsidRDefault="00570CC2">
      <w:pPr>
        <w:rPr>
          <w:rFonts w:ascii="Times New Roman" w:hAnsi="Times New Roman"/>
          <w:b/>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Indien een persoon, die voor een rogatoire commissie moet worden gehoord, niet vrijwillig verschijnt, geschiedt zijn dagvaarding op verzoek van de rechterlijke autoriteit, die de commissie uitvoert.</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C</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18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18</w:t>
      </w:r>
    </w:p>
    <w:p w:rsidRPr="002D6101" w:rsidR="00570CC2" w:rsidP="00570CC2" w:rsidRDefault="00570CC2">
      <w:pPr>
        <w:rPr>
          <w:rFonts w:ascii="Times New Roman" w:hAnsi="Times New Roman"/>
          <w:b/>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De rechter stelt bij zijn vonnis, waarbij een rogatoire commissie overeenkomstig het verdrag wordt opgedragen, de dag vast, waarop de zaak weer ter </w:t>
      </w:r>
      <w:proofErr w:type="spellStart"/>
      <w:r w:rsidRPr="00570CC2">
        <w:rPr>
          <w:rFonts w:ascii="Times New Roman" w:hAnsi="Times New Roman"/>
          <w:sz w:val="24"/>
        </w:rPr>
        <w:t>rolle</w:t>
      </w:r>
      <w:proofErr w:type="spellEnd"/>
      <w:r w:rsidRPr="00570CC2">
        <w:rPr>
          <w:rFonts w:ascii="Times New Roman" w:hAnsi="Times New Roman"/>
          <w:sz w:val="24"/>
        </w:rPr>
        <w:t xml:space="preserve"> zal worden opgeroepen.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XVII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3 van de Wet vergoeding van door NAVO-motorrijtuigen veroorzaakte schade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3</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Indien met een NAVO-motorrijtuig in Nederland schade is toegebracht waarvoor de eigenaar, houder of bestuurder van dat motorrijtuig of een persoon die daarmede wordt vervoerd, aansprakelijk is, wordt die schade door de Staat vergoed, </w:t>
      </w:r>
      <w:proofErr w:type="spellStart"/>
      <w:r w:rsidRPr="00570CC2">
        <w:rPr>
          <w:rFonts w:ascii="Times New Roman" w:hAnsi="Times New Roman"/>
          <w:sz w:val="24"/>
        </w:rPr>
        <w:t>voorzover</w:t>
      </w:r>
      <w:proofErr w:type="spellEnd"/>
      <w:r w:rsidRPr="00570CC2">
        <w:rPr>
          <w:rFonts w:ascii="Times New Roman" w:hAnsi="Times New Roman"/>
          <w:sz w:val="24"/>
        </w:rPr>
        <w:t xml:space="preserve"> bovengenoemden voor de vergoeding van die schade aansprakelijk zijn.</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Voor de toepassing van het vorige lid kan de Staat niet slechts worden gedagvaard voor de rechter van de plaats waar de Regering haar zetel heeft, doch ook voor de rechter van de plaats van het feit, waaruit de schade is ontstaan en voor de rechter van de woonplaats van de benadeelde.</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Bij de vaststelling van de schadevergoeding ten laste van de Staat wordt geen rekening gehouden met het feit, dat een grond bestaat tot matiging, als bedoeld in artikel 109 van Boek 6 van het Burgerlijk Wetboek, van de wettelijke verplichting tot schadevergoeding van de aansprakelijke personen.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Tenzij verrekening plaatsvindt volgens de regels bij het Verdrag gesteld, heeft de Staat een recht van verhaal tegen de aansprakelijke personen; bij het verhaal voor schadevergoeding wordt rekening gehouden met een grond tot matiging, als bedoeld in het vorige lid, van de wettelijke verplichting tot schadevergoeding van de aangesproken persoon.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XVIII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17 van de Invorderingswet 1990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17</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De belastingschuldige kan tegen de tenuitvoerlegging van een dwangbevel in verzet komen bij de rechtbank van het arrondissement waarbinnen hij woont of is gevestigd. Indien de belastingschuldige buiten Nederland woont of is gevestigd dan wel in Nederland geen vaste woonplaats of plaats van vestiging heeft, kan hij in verzet komen bij de rechtbank van het arrondissement waarbinnen het kantoor is gevestigd van de ontvanger die het dwangbevel heeft uitgevaardigd.</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Het verzet vangt aan met dagvaarding door de belastingschuldige als eiser aan de ontvanger die het dwangbevel heeft uitgevaardigd als gedaagde.</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Het verzet kan niet zijn gegrond op de stelling dat het aanslagbiljet, de aanmaning, het op de voet van artikel 13, derde lid, betekende dwangbevel of de schriftelijke mededeling, genoemd in artikel 27, eerste lid, niet is ontvangen, tenzij de belastingschuldige aannemelijk maakt dat ontvangst redelijkerwijs moet worden betwijfeld. Bovendien kan het verzet niet zijn gegrond op de stelling dat de belastingaanslag ten onrechte of tot een te hoog bedrag is vastgesteld.</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XIX</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Artikel 1 van de Wet vereenvoudiging wijze uitbrengen </w:t>
      </w:r>
      <w:proofErr w:type="spellStart"/>
      <w:r w:rsidRPr="00570CC2">
        <w:rPr>
          <w:rFonts w:ascii="Times New Roman" w:hAnsi="Times New Roman"/>
          <w:sz w:val="24"/>
        </w:rPr>
        <w:t>exploiten</w:t>
      </w:r>
      <w:proofErr w:type="spellEnd"/>
      <w:r w:rsidRPr="00570CC2">
        <w:rPr>
          <w:rFonts w:ascii="Times New Roman" w:hAnsi="Times New Roman"/>
          <w:sz w:val="24"/>
        </w:rPr>
        <w:t xml:space="preserve"> aan Grootboek 1946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1</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Alle stukken, brieven en </w:t>
      </w:r>
      <w:proofErr w:type="spellStart"/>
      <w:r w:rsidRPr="00570CC2">
        <w:rPr>
          <w:rFonts w:ascii="Times New Roman" w:hAnsi="Times New Roman"/>
          <w:sz w:val="24"/>
        </w:rPr>
        <w:t>exploiten</w:t>
      </w:r>
      <w:proofErr w:type="spellEnd"/>
      <w:r w:rsidRPr="00570CC2">
        <w:rPr>
          <w:rFonts w:ascii="Times New Roman" w:hAnsi="Times New Roman"/>
          <w:sz w:val="24"/>
        </w:rPr>
        <w:t>, die betrekking hebben op een inschrijving in het Grootboek 1946 of op een inschrijving in enig schuldregister voor geldleningen ten laste van het Rijk, gehouden bij het Agentschap van het Ministerie van Financiën te Amsterdam, worden gericht of betekend aan de Agent van het Ministerie van Financiën te Amsterdam, behoudens de verplichting om de dagvaarding uit te brengen aan de Staat, op de wijze als in artikel 48, van het Wetboek van Burgerlijke Rechtsvordering is voorgeschreven.</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artikelen 38 en 39 van de Kadasterwet komen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38</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Ter inschrijving van de instelling van een rechtsvordering of de indiening van een verzoek ter verkrijging van een rechterlijke uitspraak die de rechtstoestand van een registergoed betreft, wordt aangeboden: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a. in geval van instelling van de rechtsvordering door een dagvaarding: een door de deurwaarder of een advocaat getekend afschrift daarvan;</w:t>
      </w:r>
    </w:p>
    <w:p w:rsidRPr="00570CC2" w:rsidR="00570CC2" w:rsidP="002D6101" w:rsidRDefault="00570CC2">
      <w:pPr>
        <w:ind w:firstLine="284"/>
        <w:rPr>
          <w:rFonts w:ascii="Times New Roman" w:hAnsi="Times New Roman"/>
          <w:sz w:val="24"/>
        </w:rPr>
      </w:pPr>
      <w:r w:rsidRPr="00570CC2">
        <w:rPr>
          <w:rFonts w:ascii="Times New Roman" w:hAnsi="Times New Roman"/>
          <w:sz w:val="24"/>
        </w:rPr>
        <w:t>b. in geval van instelling van de rechtsvordering door een ander stuk: een afschrift daarvan getekend door een advocaat of door de griffier van het gerecht waar de zaak aanhangig is;</w:t>
      </w:r>
    </w:p>
    <w:p w:rsidRPr="00570CC2" w:rsidR="00570CC2" w:rsidP="002D6101" w:rsidRDefault="00570CC2">
      <w:pPr>
        <w:ind w:firstLine="284"/>
        <w:rPr>
          <w:rFonts w:ascii="Times New Roman" w:hAnsi="Times New Roman"/>
          <w:sz w:val="24"/>
        </w:rPr>
      </w:pPr>
      <w:r w:rsidRPr="00570CC2">
        <w:rPr>
          <w:rFonts w:ascii="Times New Roman" w:hAnsi="Times New Roman"/>
          <w:sz w:val="24"/>
        </w:rPr>
        <w:t>c. in geval van een verzoekschrift: een afschrift daarvan met aantekening van de dag waarop het verzoekschrift is ingekomen ter griffie, getekend door een advocaat of door de griffier van het gerecht waar het verzoekschrift is ingediend.</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Artikel 18, tweede-vijfde lid, is niet van toepassing, behoudens dat het aangeboden stuk in elk geval de naam en een ter zake van het geding gekozen woonplaats met adres van degene te wiens behoeve de aanbieding geschiedt, moet bevatten.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39</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Ter inschrijving van de instelling van een rechtsmiddel tegen een rechterlijke uitspraak, als bedoeld in artikel 38, wordt aangeboden: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a. ingeval het rechtsmiddel wordt ingesteld bij dagvaarding: een door de deurwaarder of een advocaat getekend afschrift daarvan;</w:t>
      </w:r>
    </w:p>
    <w:p w:rsidRPr="00570CC2" w:rsidR="00570CC2" w:rsidP="002D6101" w:rsidRDefault="00570CC2">
      <w:pPr>
        <w:ind w:firstLine="284"/>
        <w:rPr>
          <w:rFonts w:ascii="Times New Roman" w:hAnsi="Times New Roman"/>
          <w:sz w:val="24"/>
        </w:rPr>
      </w:pPr>
      <w:r w:rsidRPr="00570CC2">
        <w:rPr>
          <w:rFonts w:ascii="Times New Roman" w:hAnsi="Times New Roman"/>
          <w:sz w:val="24"/>
        </w:rPr>
        <w:t>b. ingeval het rechtsmiddel wordt ingesteld bij verzoekschrift: een afschrift daarvan met aantekening van de dag waarop het verzoekschrift is ingekomen ter griffie, getekend door een advocaat of de griffier van het gerecht waar het verzoekschrift is ingediend;</w:t>
      </w:r>
    </w:p>
    <w:p w:rsidRPr="00570CC2" w:rsidR="00570CC2" w:rsidP="002D6101" w:rsidRDefault="00570CC2">
      <w:pPr>
        <w:ind w:firstLine="284"/>
        <w:rPr>
          <w:rFonts w:ascii="Times New Roman" w:hAnsi="Times New Roman"/>
          <w:sz w:val="24"/>
        </w:rPr>
      </w:pPr>
      <w:r w:rsidRPr="00570CC2">
        <w:rPr>
          <w:rFonts w:ascii="Times New Roman" w:hAnsi="Times New Roman"/>
          <w:sz w:val="24"/>
        </w:rPr>
        <w:t>c. ingeval het rechtsmiddel wordt ingesteld bij een ander stuk: een afschrift daarvan, getekend door een advocaat of de griffier van het gerecht dat op het aangewende rechtsmiddel beslist.</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Artikel 18, tweede-vijfde lid, is niet van toepassing, behoudens dat het aangeboden stuk in elk geval de naam en een ter zake van het geding gekozen woonplaats met adres van degene te wiens behoeve de aanbieding geschiedt moet bevatten.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XXI</w:t>
      </w:r>
    </w:p>
    <w:p w:rsidRPr="002D6101" w:rsidR="00570CC2" w:rsidP="00570CC2" w:rsidRDefault="00570CC2">
      <w:pPr>
        <w:rPr>
          <w:rFonts w:ascii="Times New Roman" w:hAnsi="Times New Roman"/>
          <w:b/>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Verenwet wordt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25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25</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De rechtsvordering wordt aangebracht bij de rechtbank of een van de rechtbanken binnen het rechtsgebied waarvan het veer geheel of ten dele is gelegen.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Indien een van de te dagvaarden personen buiten het Koninkrijk woont, geen bekende woonplaats heeft, of vóór of na de dagvaarding overlijdt, wordt het geding gevoerd of voortgezet tegen een bijzondere bewindvoerder die op verzoek van de eiser wordt benoemd door de rechtbank waarbij de vordering wordt aangebracht.</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De bewindvoerder moet wonen binnen het rechtsgebied van deze rechtbank en geniet het loon van een bewindvoerder van een afwezige.</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Hij die door de bewindvoerder vertegenwoordigd wordt, is steeds bevoegd het geding van de bewindvoerder over te nemen en deze buiten het geding te doen stellen.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26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26</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De dagvaarding moet op straffe van nietigheid de som vermelden, welke als schadeloosstelling voor de opheffing van het veerrecht wordt aangeboden.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Maakt de eiser gebruik van de bevoegdheid hem bij artikel 28 verleend, dan geldt dit aanbod slechts voor het geval, dat het bestaan van het veerrecht door de rechter wordt erkend.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C</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30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30</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eis van artikel 23 en de vordering van artikel 27 worden afgewezen, wanneer niet ten minste drie dagen voor de dienende dag ter griffie van de rechtbank zijn neergelegd:</w:t>
      </w:r>
    </w:p>
    <w:p w:rsidRPr="00570CC2" w:rsidR="00570CC2" w:rsidP="002D6101" w:rsidRDefault="00570CC2">
      <w:pPr>
        <w:ind w:firstLine="284"/>
        <w:rPr>
          <w:rFonts w:ascii="Times New Roman" w:hAnsi="Times New Roman"/>
          <w:sz w:val="24"/>
        </w:rPr>
      </w:pPr>
      <w:r w:rsidRPr="00570CC2">
        <w:rPr>
          <w:rFonts w:ascii="Times New Roman" w:hAnsi="Times New Roman"/>
          <w:sz w:val="24"/>
        </w:rPr>
        <w:t>1°. het besluit tot opheffing bedoeld in artikel 18;</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de mededeling, bedoeld in artikel 19.</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D</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39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39</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Van het als schadeloosstelling toegewezen bedrag is rente als in burgerlijke zaken verschuldigd van de dag dat het veerrecht is opgeheven.</w:t>
      </w:r>
    </w:p>
    <w:p w:rsidRPr="00570CC2" w:rsidR="00570CC2" w:rsidP="002D6101" w:rsidRDefault="00570CC2">
      <w:pPr>
        <w:ind w:firstLine="284"/>
        <w:rPr>
          <w:rFonts w:ascii="Times New Roman" w:hAnsi="Times New Roman"/>
          <w:sz w:val="24"/>
        </w:rPr>
      </w:pPr>
      <w:r w:rsidRPr="00570CC2">
        <w:rPr>
          <w:rFonts w:ascii="Times New Roman" w:hAnsi="Times New Roman"/>
          <w:sz w:val="24"/>
        </w:rPr>
        <w:lastRenderedPageBreak/>
        <w:t>2. De kosten, veroorzaakt door het geschil over de schadeloosstelling, komen ten laste van de eiser, tenzij de rechtbank in de omstandigheden van het geding termen vindt om de kosten geheel of voor een deel te compenseren, behoudens dat de kosten geheel door de verweerder worden gedragen, indien hem niet meer wordt toegewezen dan bij dagvaarding werd aangeboden.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E</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42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42</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Binnen een maand, nadat het besluit tot opheffing van het veerrecht is genomen, wordt door Onze Minister of door Gedeputeerde Staten in artikel 19 bedoeld, aan de pachter mededeling gedaan in hoeverre hem schadeloosstelling wordt aangeboden.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Is die mededeling achterwege gebleven of neemt de pachter daarmede geen genoegen, dan kan hij hetzij vóór de dag bedoeld in de aanhef van artikel 34 tussenkomen in het geding bedoeld in artikel 23, indien dit gevoerd wordt, ten einde ook zijn schadeloosstelling te doen vaststellen, hetzij zijn eis zelfstandig aanbrengen bij de rechtbank, waarvoor gemeld geding gevoerd is of wordt, of gevoerd had kunnen worden.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In dit laatste geval moet de dagvaarding op straffe van nietigheid de som vermelden, die als schadeloosstelling wordt gevraagd, terwijl de conclusie van de verweerder de aangeboden som moet noemen.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De rechtbank zal alsdan kunnen bevelen dat geprocedeerd wordt overeenkomstig de artikelen 34 en 35.</w:t>
      </w:r>
    </w:p>
    <w:p w:rsidRPr="00570CC2" w:rsidR="00570CC2" w:rsidP="002D6101" w:rsidRDefault="00570CC2">
      <w:pPr>
        <w:ind w:firstLine="284"/>
        <w:rPr>
          <w:rFonts w:ascii="Times New Roman" w:hAnsi="Times New Roman"/>
          <w:sz w:val="24"/>
        </w:rPr>
      </w:pPr>
      <w:r w:rsidRPr="00570CC2">
        <w:rPr>
          <w:rFonts w:ascii="Times New Roman" w:hAnsi="Times New Roman"/>
          <w:sz w:val="24"/>
        </w:rPr>
        <w:t>5. Het eerste lid van artikel 39 is op de schadeloosstelling van de pachter van toepassing.</w:t>
      </w:r>
    </w:p>
    <w:p w:rsidRPr="00570CC2" w:rsidR="00570CC2" w:rsidP="002D6101" w:rsidRDefault="00570CC2">
      <w:pPr>
        <w:ind w:firstLine="284"/>
        <w:rPr>
          <w:rFonts w:ascii="Times New Roman" w:hAnsi="Times New Roman"/>
          <w:sz w:val="24"/>
        </w:rPr>
      </w:pPr>
      <w:r w:rsidRPr="00570CC2">
        <w:rPr>
          <w:rFonts w:ascii="Times New Roman" w:hAnsi="Times New Roman"/>
          <w:sz w:val="24"/>
        </w:rPr>
        <w:t>6. De kosten, veroorzaakt door het geschil over deze schadeloosstelling, komen ten laste van de verweerder, tenzij de rechtbank in de omstandigheden van het geding termen vindt om de kosten geheel of voor een deel te compenseren, behoudens dat de kosten geheel door de eiser worden gedragen, indien hem niet meer wordt toegewezen dan bij conclusie werd aangeboden.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46 van de Wegenwet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46</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De rechtsvordering, bedoeld in artikel 43, wordt ingesteld tegen de provincie.</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Onze Commissaris is verplicht onmiddellijk een afschrift van de dagvaarding te doen toekomen aan burgemeester en wethouders van de gemeente, binnen wier gebied de weg is gelegen, en aan het bestuur van het waterschap dat heeft te zorgen, dat de weg in goede staat verkeert.</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De gemeente en het waterschap kunnen zonder vormelijke toelating in het geding als gevoegde of tussenkomende partij optreden.</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XXIII</w:t>
      </w:r>
    </w:p>
    <w:p w:rsidRPr="00570CC2" w:rsidR="00570CC2" w:rsidP="00570CC2" w:rsidRDefault="00570CC2">
      <w:pPr>
        <w:rPr>
          <w:rFonts w:ascii="Times New Roman" w:hAnsi="Times New Roman"/>
          <w:sz w:val="24"/>
        </w:rPr>
      </w:pPr>
    </w:p>
    <w:p w:rsidRPr="00570CC2" w:rsidR="00570CC2" w:rsidP="00EA27B8" w:rsidRDefault="00570CC2">
      <w:pPr>
        <w:ind w:firstLine="284"/>
        <w:rPr>
          <w:rFonts w:ascii="Times New Roman" w:hAnsi="Times New Roman"/>
          <w:sz w:val="24"/>
        </w:rPr>
      </w:pPr>
      <w:r w:rsidRPr="00570CC2">
        <w:rPr>
          <w:rFonts w:ascii="Times New Roman" w:hAnsi="Times New Roman"/>
          <w:sz w:val="24"/>
        </w:rPr>
        <w:t>Artikel 6.13 van de Erfgoedwet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6.13</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1. De kosten verbonden aan de toepassing van inbewaringneming als bedoeld in artikel 6.11, kunnen, indien daartoe aanleiding bestaat, bij beschikking van Onze Minister geheel of ten dele ten laste worden gebracht van degene die het verbod van artikel 6.10 overtreedt.</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In elk geval zijn geen kosten verschuldigd indien: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a. bij uitspraak die in kracht van gewijsde is gegaan, de rechtsvordering, bedoeld in artikel 6.15, wordt afgewezen dan wel een schadeloosstelling of billijke vergoeding als bedoeld in artikel 6.15, derde lid, wordt toegekend; of</w:t>
      </w:r>
    </w:p>
    <w:p w:rsidRPr="00570CC2" w:rsidR="00570CC2" w:rsidP="002D6101" w:rsidRDefault="00570CC2">
      <w:pPr>
        <w:ind w:firstLine="284"/>
        <w:rPr>
          <w:rFonts w:ascii="Times New Roman" w:hAnsi="Times New Roman"/>
          <w:sz w:val="24"/>
        </w:rPr>
      </w:pPr>
      <w:r w:rsidRPr="00570CC2">
        <w:rPr>
          <w:rFonts w:ascii="Times New Roman" w:hAnsi="Times New Roman"/>
          <w:sz w:val="24"/>
        </w:rPr>
        <w:t>b. Onze Minister definitief van teruggave van het cultuurgoed afziet.</w:t>
      </w:r>
    </w:p>
    <w:p w:rsidRPr="00570CC2" w:rsidR="00570CC2" w:rsidP="002D6101" w:rsidRDefault="00570CC2">
      <w:pPr>
        <w:ind w:firstLine="284"/>
        <w:rPr>
          <w:rFonts w:ascii="Times New Roman" w:hAnsi="Times New Roman"/>
          <w:sz w:val="24"/>
        </w:rPr>
      </w:pPr>
      <w:r w:rsidRPr="00570CC2">
        <w:rPr>
          <w:rFonts w:ascii="Times New Roman" w:hAnsi="Times New Roman"/>
          <w:sz w:val="24"/>
        </w:rPr>
        <w:t>3. Indien zich een geval als bedoeld in het tweede lid voordoet, nadat Onze Minister een beschikking als bedoeld in het eerste lid heeft gegeven, trekt hij deze beschikking in.</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De beschikking vermeldt het in rekening te brengen bedrag. Onder de kosten kunnen worden begrepen de kosten verbonden aan de voorbereiding van de inbewaringneming.</w:t>
      </w:r>
    </w:p>
    <w:p w:rsidRPr="00570CC2" w:rsidR="00570CC2" w:rsidP="002D6101" w:rsidRDefault="00570CC2">
      <w:pPr>
        <w:ind w:firstLine="284"/>
        <w:rPr>
          <w:rFonts w:ascii="Times New Roman" w:hAnsi="Times New Roman"/>
          <w:sz w:val="24"/>
        </w:rPr>
      </w:pPr>
      <w:r w:rsidRPr="00570CC2">
        <w:rPr>
          <w:rFonts w:ascii="Times New Roman" w:hAnsi="Times New Roman"/>
          <w:sz w:val="24"/>
        </w:rPr>
        <w:t>5. Onze Minister kan van de overtreder bij dwangbevel de ingevolge de vorige leden verschuldigde kosten, verhoogd met de op de invordering vallende kosten, invorderen.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6. Het dwangbevel wordt op kosten van de overtreder bij deurwaardersexploot betekend en levert een executoriale titel op in de zin van het Tweede Boek van het Wetboek van Burgerlijke Rechtsvordering. Tenuitvoerlegging vindt niet plaats zolang het geval, bedoeld in het tweede lid, onder a, zich nog kan voordoen.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7. Gedurende zes weken na de dag van betekening staat verzet tegen het dwangbevel open door dagvaarding van Onze Minister.</w:t>
      </w:r>
    </w:p>
    <w:p w:rsidRPr="00570CC2" w:rsidR="00570CC2" w:rsidP="002D6101" w:rsidRDefault="00570CC2">
      <w:pPr>
        <w:ind w:firstLine="284"/>
        <w:rPr>
          <w:rFonts w:ascii="Times New Roman" w:hAnsi="Times New Roman"/>
          <w:sz w:val="24"/>
        </w:rPr>
      </w:pPr>
      <w:r w:rsidRPr="00570CC2">
        <w:rPr>
          <w:rFonts w:ascii="Times New Roman" w:hAnsi="Times New Roman"/>
          <w:sz w:val="24"/>
        </w:rPr>
        <w:t>8. Het verzet schorst de tenuitvoerlegging. Op verzoek van Onze Minister kan de rechter de schorsing van de tenuitvoerlegging opheffen.</w:t>
      </w:r>
    </w:p>
    <w:p w:rsidR="00570CC2" w:rsidP="00570CC2" w:rsidRDefault="00570CC2">
      <w:pPr>
        <w:rPr>
          <w:rFonts w:ascii="Times New Roman" w:hAnsi="Times New Roman"/>
          <w:sz w:val="24"/>
        </w:rPr>
      </w:pPr>
    </w:p>
    <w:p w:rsidRPr="00570CC2"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HOOFDSTUK 3: SAMENLOOPBEPALINGEN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XXIV</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Indien het bij koninklijke boodschap van 25 november 2019 ingediende voorstel van wet tot wijziging van het Wetboek van Burgerlijke Rechtsvordering, het Burgerlijk Wetboek en enige andere wetten (tegengaan huwelijkse gevangenschap en enige andere onderwerpen) (35 348) tot wet is of wordt verheven en artikel I, onderdeel A2, van die wet later in werking treedt dan deze wet, wordt in artikel I, onderdeel A2, van die wet “Artikel 30p” telkens vervangen door “Artikel 29a”.</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XXV</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Indien het bij koninklijke boodschap van 17 juni 2020 ingediende voorstel van wet tot wijziging van het Wetboek van Burgerlijke Rechtsvordering en enige andere wetten in verband met de vereenvoudiging en modernisering van het bewijsrecht (Wet vereenvoudiging en modernisering bewijsrecht) (35 498) tot wet is of wordt verheven en artikel I, onderdeel E, van die wet eerder in werking is getreden of treedt dan deze wet, wordt artikel 29a van het </w:t>
      </w:r>
      <w:r w:rsidRPr="00570CC2">
        <w:rPr>
          <w:rFonts w:ascii="Times New Roman" w:hAnsi="Times New Roman"/>
          <w:sz w:val="24"/>
        </w:rPr>
        <w:lastRenderedPageBreak/>
        <w:t>Wetboek van Burgerlijke Rechtsvordering zoals dat is komen te luiden door inwerkingtreding van de Wet vereenvoudiging en modernisering bewijsrecht en vóór inwerkingtreding van deze wet, vernummerd tot artikel 29b.</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XXVI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Indien het bij koninklijke boodschap van 17 juni 2020 ingediende voorstel van wet tot wijziging van het Wetboek van Burgerlijke Rechtsvordering en enige andere wetten in verband met de vereenvoudiging en modernisering van het bewijsrecht (Wet vereenvoudiging en modernisering bewijsrecht) (35 498) tot wet is of wordt verheven en de artikelen I, onderdeel E, II en XII van die wet later in werking treden dan deze wet, wordt die wet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I, onderdeel E, komt te luiden:</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Na artikel 29a wordt een artikel ingevoegd, luidende:</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29b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1. De griffiers en andere bewaarders van openbare registers verstrekken, zonder rechterlijk bevel, tegen betaling van het daarvoor verschuldigde griffierecht, afschrift of uittreksel uit die registers aan eenieder die daarom verzoekt. </w:t>
      </w:r>
    </w:p>
    <w:p w:rsidRPr="00570CC2" w:rsidR="00570CC2" w:rsidP="002D6101" w:rsidRDefault="00570CC2">
      <w:pPr>
        <w:ind w:firstLine="284"/>
        <w:rPr>
          <w:rFonts w:ascii="Times New Roman" w:hAnsi="Times New Roman"/>
          <w:sz w:val="24"/>
        </w:rPr>
      </w:pPr>
      <w:r w:rsidRPr="00570CC2">
        <w:rPr>
          <w:rFonts w:ascii="Times New Roman" w:hAnsi="Times New Roman"/>
          <w:sz w:val="24"/>
        </w:rPr>
        <w:t>2. Het eerste lid geldt niet, voor zover artikel 29 van toepassing is.</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artikelen II en XII vervallen.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XXVII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Indien het bij koninklijke boodschap van 17 juni 2020 ingediende voorstel van wet tot wijziging van het Wetboek van Burgerlijke Rechtsvordering en enige andere wetten in verband met de vereenvoudiging en modernisering van het bewijsrecht (Wet vereenvoudiging en modernisering bewijsrecht) (35 498) tot wet is of wordt verheven en artikel V, onderdeel A, van die wet eerder in werking is getreden of treedt dan deze wet, komt artikel XI van deze wet te luiden: </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2D6101">
      <w:pPr>
        <w:rPr>
          <w:rFonts w:ascii="Times New Roman" w:hAnsi="Times New Roman"/>
          <w:b/>
          <w:sz w:val="24"/>
        </w:rPr>
      </w:pPr>
      <w:r w:rsidRPr="002D6101">
        <w:rPr>
          <w:rFonts w:ascii="Times New Roman" w:hAnsi="Times New Roman"/>
          <w:b/>
          <w:sz w:val="24"/>
        </w:rPr>
        <w:t>ARTIKEL XI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Artikel 2 van de Gerechtsdeurwaarderswet komt te luiden:</w:t>
      </w:r>
    </w:p>
    <w:p w:rsidRPr="00570CC2" w:rsidR="00570CC2" w:rsidP="00570CC2" w:rsidRDefault="00570CC2">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2</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lastRenderedPageBreak/>
        <w:t>1. De gerechtsdeurwaarder is belast met de taken die bij of krachtens de wet, al dan niet bij uitsluiting van ieder ander, aan deurwaarders onderscheidenlijk gerechtsdeurwaarders zijn opgedragen of voorbehouden. De gerechtsdeurwaarder is in het bijzonder belast met:</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a. het doen van dagvaardingen en andere betekeningen, behorende tot de rechtsingang of de instructie van gedingen;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b. het doen van gerechtelijke aanzeggingen, bekendmakingen, protesten en verdere exploten;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c. ontruimingen, beslagen, executoriale verkopingen, gijzelingen en andere handelingen, behorende tot of vereist voor de uitvoering van executoriale titels dan we</w:t>
      </w:r>
      <w:r w:rsidR="002D6101">
        <w:rPr>
          <w:rFonts w:ascii="Times New Roman" w:hAnsi="Times New Roman"/>
          <w:sz w:val="24"/>
        </w:rPr>
        <w:t>l voor de bewaring van rechten;</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d. het doen van protesten van non-acceptatie of non-betaling van wissels, orderbiljetten en dergelijke en het opmaken van een akte van interventie aan de voet van het protest; </w:t>
      </w:r>
    </w:p>
    <w:p w:rsidRPr="00570CC2" w:rsidR="00570CC2" w:rsidP="002D6101" w:rsidRDefault="00570CC2">
      <w:pPr>
        <w:ind w:firstLine="284"/>
        <w:rPr>
          <w:rFonts w:ascii="Times New Roman" w:hAnsi="Times New Roman"/>
          <w:sz w:val="24"/>
        </w:rPr>
      </w:pPr>
      <w:r w:rsidRPr="00570CC2">
        <w:rPr>
          <w:rFonts w:ascii="Times New Roman" w:hAnsi="Times New Roman"/>
          <w:sz w:val="24"/>
        </w:rPr>
        <w:t>e. het ambtelijk toezicht bij vrijwillige openbare verkopingen van roerende lichamelijke zaken bij opbod, bij opbod en afslag, of bij afslag;</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f. het opmaken van een proces-verbaal, bestemd om in procedures voor de burgerlijke rechter tot bewijs te dienen van de daarin door de gerechtsdeurwaarder persoonlijk waargenomen feiten.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2. Bij algemene maatregel van bestuur worden de in het eerste lid bedoelde ambtshandelingen omschreven.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3. Onder ambtshandelingen worden mede verstaan de werkzaamheden die rechtstreeks daarmee samenhangen. </w:t>
      </w:r>
    </w:p>
    <w:p w:rsidRPr="00570CC2" w:rsidR="00570CC2" w:rsidP="002D6101" w:rsidRDefault="00570CC2">
      <w:pPr>
        <w:ind w:firstLine="284"/>
        <w:rPr>
          <w:rFonts w:ascii="Times New Roman" w:hAnsi="Times New Roman"/>
          <w:sz w:val="24"/>
        </w:rPr>
      </w:pPr>
      <w:r w:rsidRPr="00570CC2">
        <w:rPr>
          <w:rFonts w:ascii="Times New Roman" w:hAnsi="Times New Roman"/>
          <w:sz w:val="24"/>
        </w:rPr>
        <w:t>4. De hoofdstukken 3 en 4 van de Algemene wet bestuursrecht zijn niet van toepassing op ambtshandelingen en de weigering deze te verrichten.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 xml:space="preserve">ARTIKEL XXVIII </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Indien het bij koninklijke boodschap van 8 februari 2022 ingediende voorstel van wet tot wijziging van het Wetboek van Burgerlijke Rechtsvordering en het Wetboek van Burgerlijke Rechtsvordering BES in verband met het op 2 december 2004 te New York tot stand gekomen Verdrag van de Verenigde Naties inzake de immuniteit van rechtsmacht van staten en hun eigendommen (Uitvoeringswet VN-Verdrag staatsimmuniteit) (36 028) tot wet is of wordt verheven en die wet later in werking treedt dan deze wet, wordt die wet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In de aanhef van artikel I vervalt “zoals dat luidt voor de procedures bij alle gerechten, met uitzondering van de Hoge Raad,”.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artikelen II en IV vervallen.</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XXIX</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Indien het bij koninklijke boodschap van 11 februari 2022 ingediende voorstel van wet tot wijziging van Boek 3 van het Burgerlijk Wetboek en het Wetboek van Burgerlijke </w:t>
      </w:r>
      <w:r w:rsidRPr="00570CC2">
        <w:rPr>
          <w:rFonts w:ascii="Times New Roman" w:hAnsi="Times New Roman"/>
          <w:sz w:val="24"/>
        </w:rPr>
        <w:lastRenderedPageBreak/>
        <w:t>Rechtsvordering in verband met de omzetting van Richtlijn (EU) 2020/1828 van het Europees Parlement en de Raad van 25 november 2020 betreffende representatieve vorderingen ter bescherming van de collectieve belangen van consumenten en tot intrekking van Richtlijn 2009/22/EG (PbEU 2020, L 409) (Implementatiewet richtlijn representatieve vorderingen voor consumenten) (36 034) tot wet is of wordt verheven en die wet later in werking treedt dan deze wet, wordt die wet als volgt gewijzigd:</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A</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 xml:space="preserve">In de aanhef van artikel III vervalt “zoals dat luidt voor alle gerechten, met uitzondering van de Hoge Raad,”. </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B</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 artikelen IV, VII en VIII vervallen.</w:t>
      </w:r>
    </w:p>
    <w:p w:rsidRPr="00570CC2" w:rsidR="00570CC2" w:rsidP="00570CC2" w:rsidRDefault="00570CC2">
      <w:pPr>
        <w:rPr>
          <w:rFonts w:ascii="Times New Roman" w:hAnsi="Times New Roman"/>
          <w:sz w:val="24"/>
        </w:rPr>
      </w:pPr>
    </w:p>
    <w:p w:rsidRPr="00570CC2" w:rsidR="00570CC2" w:rsidP="00570CC2" w:rsidRDefault="00570CC2">
      <w:pPr>
        <w:rPr>
          <w:rFonts w:ascii="Times New Roman" w:hAnsi="Times New Roman"/>
          <w:sz w:val="24"/>
        </w:rPr>
      </w:pPr>
      <w:r w:rsidRPr="00570CC2">
        <w:rPr>
          <w:rFonts w:ascii="Times New Roman" w:hAnsi="Times New Roman"/>
          <w:sz w:val="24"/>
        </w:rPr>
        <w:t>C</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In artikel VI vervalt “voor alle gerechten, met uitzondering van de Hoge Raad,”.</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HOOFDSTUK 4: SLOTBEPALINGEN</w:t>
      </w:r>
    </w:p>
    <w:p w:rsidRPr="002D6101" w:rsidR="00570CC2" w:rsidP="00570CC2" w:rsidRDefault="00570CC2">
      <w:pPr>
        <w:rPr>
          <w:rFonts w:ascii="Times New Roman" w:hAnsi="Times New Roman"/>
          <w:b/>
          <w:sz w:val="24"/>
        </w:rPr>
      </w:pPr>
    </w:p>
    <w:p w:rsidRPr="002D6101" w:rsidR="002D6101" w:rsidP="00570CC2" w:rsidRDefault="002D6101">
      <w:pPr>
        <w:rPr>
          <w:rFonts w:ascii="Times New Roman" w:hAnsi="Times New Roman"/>
          <w:b/>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XXX</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Deze wet treedt in werking op een bij koninklijk besluit te bepalen tijdstip.</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Pr="002D6101" w:rsidR="00570CC2" w:rsidP="00570CC2" w:rsidRDefault="00570CC2">
      <w:pPr>
        <w:rPr>
          <w:rFonts w:ascii="Times New Roman" w:hAnsi="Times New Roman"/>
          <w:b/>
          <w:sz w:val="24"/>
        </w:rPr>
      </w:pPr>
      <w:r w:rsidRPr="002D6101">
        <w:rPr>
          <w:rFonts w:ascii="Times New Roman" w:hAnsi="Times New Roman"/>
          <w:b/>
          <w:sz w:val="24"/>
        </w:rPr>
        <w:t>ARTIKEL XXXI</w:t>
      </w:r>
    </w:p>
    <w:p w:rsidRPr="00570CC2" w:rsidR="00570CC2" w:rsidP="00570CC2" w:rsidRDefault="00570CC2">
      <w:pPr>
        <w:rPr>
          <w:rFonts w:ascii="Times New Roman" w:hAnsi="Times New Roman"/>
          <w:sz w:val="24"/>
        </w:rPr>
      </w:pPr>
    </w:p>
    <w:p w:rsidRPr="00570CC2" w:rsidR="00570CC2" w:rsidP="002D6101" w:rsidRDefault="00570CC2">
      <w:pPr>
        <w:ind w:firstLine="284"/>
        <w:rPr>
          <w:rFonts w:ascii="Times New Roman" w:hAnsi="Times New Roman"/>
          <w:sz w:val="24"/>
        </w:rPr>
      </w:pPr>
      <w:r w:rsidRPr="00570CC2">
        <w:rPr>
          <w:rFonts w:ascii="Times New Roman" w:hAnsi="Times New Roman"/>
          <w:sz w:val="24"/>
        </w:rPr>
        <w:t>Deze wet wordt aangehaald als: Wet technische eenmaking Wetboek van Burgerlijke Rechtsvordering.</w:t>
      </w:r>
    </w:p>
    <w:p w:rsidRPr="00570CC2"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00B74C91" w:rsidRDefault="00B74C91">
      <w:pPr>
        <w:rPr>
          <w:rFonts w:ascii="Times New Roman" w:hAnsi="Times New Roman"/>
          <w:sz w:val="24"/>
        </w:rPr>
      </w:pPr>
      <w:r>
        <w:rPr>
          <w:rFonts w:ascii="Times New Roman" w:hAnsi="Times New Roman"/>
          <w:sz w:val="24"/>
        </w:rPr>
        <w:br w:type="page"/>
      </w:r>
    </w:p>
    <w:p w:rsidRPr="00570CC2" w:rsidR="00570CC2" w:rsidP="002D6101" w:rsidRDefault="00570CC2">
      <w:pPr>
        <w:ind w:firstLine="284"/>
        <w:rPr>
          <w:rFonts w:ascii="Times New Roman" w:hAnsi="Times New Roman"/>
          <w:sz w:val="24"/>
        </w:rPr>
      </w:pPr>
      <w:r w:rsidRPr="00570CC2">
        <w:rPr>
          <w:rFonts w:ascii="Times New Roman" w:hAnsi="Times New Roman"/>
          <w:sz w:val="24"/>
        </w:rPr>
        <w:lastRenderedPageBreak/>
        <w:t>Lasten en bevelen dat deze in het Staatsblad zal worden geplaatst en dat alle ministeries, autori</w:t>
      </w:r>
      <w:r w:rsidR="002D6101">
        <w:rPr>
          <w:rFonts w:ascii="Times New Roman" w:hAnsi="Times New Roman"/>
          <w:sz w:val="24"/>
        </w:rPr>
        <w:t>teiten, colleges en ambtenaren d</w:t>
      </w:r>
      <w:r w:rsidRPr="00570CC2">
        <w:rPr>
          <w:rFonts w:ascii="Times New Roman" w:hAnsi="Times New Roman"/>
          <w:sz w:val="24"/>
        </w:rPr>
        <w:t>ie zulks aangaat, aan de nauwkeurige uitvoering de hand zullen houden.</w:t>
      </w:r>
    </w:p>
    <w:p w:rsidRPr="00570CC2" w:rsidR="00570CC2" w:rsidP="00570CC2" w:rsidRDefault="00570CC2">
      <w:pPr>
        <w:rPr>
          <w:rFonts w:ascii="Times New Roman" w:hAnsi="Times New Roman"/>
          <w:sz w:val="24"/>
        </w:rPr>
      </w:pPr>
    </w:p>
    <w:p w:rsidRPr="00570CC2" w:rsidR="00570CC2" w:rsidP="00570CC2" w:rsidRDefault="002D6101">
      <w:pPr>
        <w:rPr>
          <w:rFonts w:ascii="Times New Roman" w:hAnsi="Times New Roman"/>
          <w:sz w:val="24"/>
        </w:rPr>
      </w:pPr>
      <w:r>
        <w:rPr>
          <w:rFonts w:ascii="Times New Roman" w:hAnsi="Times New Roman"/>
          <w:sz w:val="24"/>
        </w:rPr>
        <w:t>Gegeven</w:t>
      </w:r>
    </w:p>
    <w:p w:rsidRPr="00570CC2" w:rsidR="00570CC2" w:rsidP="00570CC2" w:rsidRDefault="00570CC2">
      <w:pPr>
        <w:rPr>
          <w:rFonts w:ascii="Times New Roman" w:hAnsi="Times New Roman"/>
          <w:sz w:val="24"/>
        </w:rPr>
      </w:pPr>
    </w:p>
    <w:p w:rsidR="00570CC2" w:rsidP="00570CC2" w:rsidRDefault="00570CC2">
      <w:pPr>
        <w:rPr>
          <w:rFonts w:ascii="Times New Roman" w:hAnsi="Times New Roman"/>
          <w:sz w:val="24"/>
        </w:rPr>
      </w:pPr>
    </w:p>
    <w:p w:rsidR="002D6101" w:rsidP="00570CC2" w:rsidRDefault="002D6101">
      <w:pPr>
        <w:rPr>
          <w:rFonts w:ascii="Times New Roman" w:hAnsi="Times New Roman"/>
          <w:sz w:val="24"/>
        </w:rPr>
      </w:pPr>
    </w:p>
    <w:p w:rsidR="002D6101" w:rsidP="00570CC2" w:rsidRDefault="002D6101">
      <w:pPr>
        <w:rPr>
          <w:rFonts w:ascii="Times New Roman" w:hAnsi="Times New Roman"/>
          <w:sz w:val="24"/>
        </w:rPr>
      </w:pPr>
    </w:p>
    <w:p w:rsidR="002D6101" w:rsidP="00570CC2" w:rsidRDefault="002D6101">
      <w:pPr>
        <w:rPr>
          <w:rFonts w:ascii="Times New Roman" w:hAnsi="Times New Roman"/>
          <w:sz w:val="24"/>
        </w:rPr>
      </w:pPr>
    </w:p>
    <w:p w:rsidR="002D6101" w:rsidP="00570CC2" w:rsidRDefault="002D6101">
      <w:pPr>
        <w:rPr>
          <w:rFonts w:ascii="Times New Roman" w:hAnsi="Times New Roman"/>
          <w:sz w:val="24"/>
        </w:rPr>
      </w:pPr>
    </w:p>
    <w:p w:rsidR="002D6101" w:rsidP="00570CC2" w:rsidRDefault="002D6101">
      <w:pPr>
        <w:rPr>
          <w:rFonts w:ascii="Times New Roman" w:hAnsi="Times New Roman"/>
          <w:sz w:val="24"/>
        </w:rPr>
      </w:pPr>
    </w:p>
    <w:p w:rsidR="002D6101" w:rsidP="00570CC2" w:rsidRDefault="002D6101">
      <w:pPr>
        <w:rPr>
          <w:rFonts w:ascii="Times New Roman" w:hAnsi="Times New Roman"/>
          <w:sz w:val="24"/>
        </w:rPr>
      </w:pPr>
    </w:p>
    <w:p w:rsidRPr="00570CC2" w:rsidR="002D6101" w:rsidP="00570CC2" w:rsidRDefault="002D6101">
      <w:pPr>
        <w:rPr>
          <w:rFonts w:ascii="Times New Roman" w:hAnsi="Times New Roman"/>
          <w:sz w:val="24"/>
        </w:rPr>
      </w:pPr>
    </w:p>
    <w:p w:rsidR="00CB3578" w:rsidP="00570CC2" w:rsidRDefault="00570CC2">
      <w:pPr>
        <w:rPr>
          <w:rFonts w:ascii="Times New Roman" w:hAnsi="Times New Roman"/>
          <w:sz w:val="24"/>
        </w:rPr>
      </w:pPr>
      <w:r w:rsidRPr="00570CC2">
        <w:rPr>
          <w:rFonts w:ascii="Times New Roman" w:hAnsi="Times New Roman"/>
          <w:sz w:val="24"/>
        </w:rPr>
        <w:t>De Minister voor Rechtsbescherming,</w:t>
      </w:r>
      <w:bookmarkStart w:name="_GoBack" w:id="0"/>
      <w:bookmarkEnd w:id="0"/>
    </w:p>
    <w:sectPr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CC2" w:rsidRDefault="00570CC2">
      <w:pPr>
        <w:spacing w:line="20" w:lineRule="exact"/>
      </w:pPr>
    </w:p>
  </w:endnote>
  <w:endnote w:type="continuationSeparator" w:id="0">
    <w:p w:rsidR="00570CC2" w:rsidRDefault="00570CC2">
      <w:pPr>
        <w:pStyle w:val="Amendement"/>
      </w:pPr>
      <w:r>
        <w:rPr>
          <w:b w:val="0"/>
          <w:bCs w:val="0"/>
        </w:rPr>
        <w:t xml:space="preserve"> </w:t>
      </w:r>
    </w:p>
  </w:endnote>
  <w:endnote w:type="continuationNotice" w:id="1">
    <w:p w:rsidR="00570CC2" w:rsidRDefault="00570C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1F65">
      <w:rPr>
        <w:rStyle w:val="Paginanummer"/>
        <w:rFonts w:ascii="Times New Roman" w:hAnsi="Times New Roman"/>
        <w:noProof/>
      </w:rPr>
      <w:t>29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CC2" w:rsidRDefault="00570CC2">
      <w:pPr>
        <w:pStyle w:val="Amendement"/>
      </w:pPr>
      <w:r>
        <w:rPr>
          <w:b w:val="0"/>
          <w:bCs w:val="0"/>
        </w:rPr>
        <w:separator/>
      </w:r>
    </w:p>
  </w:footnote>
  <w:footnote w:type="continuationSeparator" w:id="0">
    <w:p w:rsidR="00570CC2" w:rsidRDefault="00570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C2"/>
    <w:rsid w:val="00012DBE"/>
    <w:rsid w:val="000A1D81"/>
    <w:rsid w:val="00111ED3"/>
    <w:rsid w:val="001C190E"/>
    <w:rsid w:val="002168F4"/>
    <w:rsid w:val="002A727C"/>
    <w:rsid w:val="002D6101"/>
    <w:rsid w:val="00570CC2"/>
    <w:rsid w:val="005D2707"/>
    <w:rsid w:val="00606255"/>
    <w:rsid w:val="006B607A"/>
    <w:rsid w:val="007D451C"/>
    <w:rsid w:val="00826224"/>
    <w:rsid w:val="008E0D4E"/>
    <w:rsid w:val="00930A23"/>
    <w:rsid w:val="009C7354"/>
    <w:rsid w:val="009E6D7F"/>
    <w:rsid w:val="00A11E73"/>
    <w:rsid w:val="00A2521E"/>
    <w:rsid w:val="00AE436A"/>
    <w:rsid w:val="00B74C91"/>
    <w:rsid w:val="00C135B1"/>
    <w:rsid w:val="00C92DF8"/>
    <w:rsid w:val="00CB3578"/>
    <w:rsid w:val="00D20AFA"/>
    <w:rsid w:val="00D55648"/>
    <w:rsid w:val="00E16443"/>
    <w:rsid w:val="00E36EE9"/>
    <w:rsid w:val="00EA27B8"/>
    <w:rsid w:val="00F13442"/>
    <w:rsid w:val="00F81F6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0D1E1"/>
  <w15:docId w15:val="{5EE46E42-B131-4354-857C-FB4DACA2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B74C91"/>
    <w:rPr>
      <w:rFonts w:ascii="Segoe UI" w:hAnsi="Segoe UI" w:cs="Segoe UI"/>
      <w:sz w:val="18"/>
      <w:szCs w:val="18"/>
    </w:rPr>
  </w:style>
  <w:style w:type="character" w:customStyle="1" w:styleId="BallontekstChar">
    <w:name w:val="Ballontekst Char"/>
    <w:basedOn w:val="Standaardalinea-lettertype"/>
    <w:link w:val="Ballontekst"/>
    <w:semiHidden/>
    <w:rsid w:val="00B74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11083</ap:Words>
  <ap:Characters>60512</ap:Characters>
  <ap:DocSecurity>0</ap:DocSecurity>
  <ap:Lines>504</ap:Lines>
  <ap:Paragraphs>142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2022-12-15T10:01:00.0000000Z</lastPrinted>
  <dcterms:created xsi:type="dcterms:W3CDTF">2022-12-15T09:29:00.0000000Z</dcterms:created>
  <dcterms:modified xsi:type="dcterms:W3CDTF">2022-12-15T10:01:00.0000000Z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