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14:paraId="67818890" w14:textId="77777777">
          <w:pPr>
            <w:tabs>
              <w:tab w:val="left" w:pos="3686"/>
            </w:tabs>
          </w:pPr>
          <w:r>
            <w:rPr>
              <w:noProof/>
            </w:rPr>
            <mc:AlternateContent>
              <mc:Choice Requires="wps">
                <w:drawing>
                  <wp:anchor distT="0" distB="0" distL="114300" distR="114300" simplePos="0" relativeHeight="251657728" behindDoc="0" locked="0" layoutInCell="1" allowOverlap="1" wp14:editId="33CFE9F3" wp14:anchorId="543296C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1911DACA"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43296C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14:paraId="1911DACA"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4F18A3AB" wp14:anchorId="4A4EE0F3">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W16.22.0125/II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5 oktober 2022</w:t>
              </w:r>
            </w:sdtContent>
          </w:sdt>
        </w:p>
        <w:p w:rsidR="00503044" w:rsidP="00503044" w:rsidRDefault="00503044" w14:paraId="6F60D998" w14:textId="77777777">
          <w:pPr>
            <w:tabs>
              <w:tab w:val="left" w:pos="3685"/>
            </w:tabs>
          </w:pPr>
        </w:p>
        <w:p w:rsidR="00503044" w:rsidP="00503044" w:rsidRDefault="00503044" w14:paraId="7188A1E3"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EF6B75" w:rsidRDefault="0039598F" w14:paraId="21B78378" w14:textId="77777777">
              <w:r>
                <w:t>Bij Kabinetsmissive van 14 juli 2022, no.2022001573, heeft Uwe Majesteit, op voordracht van de Minister van Justitie en Veiligheid, bij de Afdeling advisering van de Raad van State ter overweging aanhangig gemaakt het voorstel van wet tot Wijziging van Boek 2 van het Burgerlijk Wetboek en de Wet op het notarisambt in verband met de implementatie van Richtlijn (EU) 2019/2121 van het Europees Parlement en de Raad van 27 november 2019 tot wijziging van Richtlijn (EU) 2017/1132 met betrekking tot grensoverschrijdende omzettingen, fusies en splitsingen (PbEU 2019, L 321/1) (Wet implementatie richtlijn grensoverschrijdende omzettingen, fusies en splitsingen), met memorie van toelichting.</w:t>
              </w:r>
            </w:p>
          </w:sdtContent>
        </w:sdt>
        <w:p w:rsidR="0071031E" w:rsidRDefault="0071031E" w14:paraId="183B4BC4" w14:textId="77777777"/>
        <w:sdt>
          <w:sdtPr>
            <w:alias w:val="VrijeTekst1"/>
            <w:tag w:val="VrijeTekst1"/>
            <w:id w:val="-437221631"/>
            <w:lock w:val="sdtLocked"/>
          </w:sdtPr>
          <w:sdtEndPr/>
          <w:sdtContent>
            <w:sdt>
              <w:sdtPr>
                <w:alias w:val="VrijeTekst1"/>
                <w:tag w:val="VrijeTekst1"/>
                <w:id w:val="-85928236"/>
              </w:sdtPr>
              <w:sdtEndPr/>
              <w:sdtContent>
                <w:p w:rsidRPr="003E1386" w:rsidR="003E1386" w:rsidP="003E1386" w:rsidRDefault="0039598F" w14:paraId="35D66862" w14:textId="77777777">
                  <w:r w:rsidRPr="003E1386">
                    <w:t>Het wetsvoorstel strekt tot implementatie van de richtlijn grensoverschrijdende omzettingen, fusies en splitsingen (hierna: de richtlijn).</w:t>
                  </w:r>
                  <w:r w:rsidRPr="003E1386">
                    <w:rPr>
                      <w:vertAlign w:val="superscript"/>
                    </w:rPr>
                    <w:footnoteReference w:id="1"/>
                  </w:r>
                  <w:r w:rsidRPr="003E1386">
                    <w:t xml:space="preserve"> De richtlijn voorziet in een (nader) geregelde procedure voor het verloop van de drie genoemde verrichtingen en in bijbehorende beschermingsbepalingen voor aandeelhouders, werknemers en schuldeisers. </w:t>
                  </w:r>
                </w:p>
                <w:p w:rsidRPr="003E1386" w:rsidR="003E1386" w:rsidP="003E1386" w:rsidRDefault="00EC4874" w14:paraId="7D6F4AB2" w14:textId="77777777"/>
                <w:p w:rsidR="00D53B14" w:rsidP="003E1386" w:rsidRDefault="0039598F" w14:paraId="3191795D" w14:textId="77777777">
                  <w:r w:rsidRPr="00541C44">
                    <w:t>Vanwege de door de richtlijn voorgeschreven digitale indiening van de verrichtingen merkt de Afdeling advisering van de Raad van State op</w:t>
                  </w:r>
                  <w:r w:rsidRPr="003E1386">
                    <w:t xml:space="preserve"> dat de uitvoerbaarheid van het voorstel in het gedrang komt</w:t>
                  </w:r>
                  <w:r>
                    <w:t>.</w:t>
                  </w:r>
                  <w:r w:rsidRPr="003E1386">
                    <w:t xml:space="preserve"> </w:t>
                  </w:r>
                  <w:r>
                    <w:t>Dit als gevolg van</w:t>
                  </w:r>
                  <w:r w:rsidRPr="003E1386">
                    <w:t xml:space="preserve"> de te verwachten vertraging in de aanpassingen in het digitale registratiesysteem bij de Kamer van Koophandel</w:t>
                  </w:r>
                  <w:r>
                    <w:t xml:space="preserve">. </w:t>
                  </w:r>
                  <w:r w:rsidRPr="003E1386">
                    <w:t>Zolang dat systeem niet adequaat functioneert, moet in tussenoplossingen worden voorzien. Daarnaast stelt de Afdeling vragen over het ontbreken van flankerend fiscaal beleid. In het belang van de rechtszekerheid dient hierover meer informatie te worden verstrekt dan de toelichting bij het wetsvoorstel thans bevat.</w:t>
                  </w:r>
                  <w:r w:rsidRPr="00C72F00">
                    <w:t xml:space="preserve"> </w:t>
                  </w:r>
                </w:p>
                <w:p w:rsidR="00D53B14" w:rsidP="003E1386" w:rsidRDefault="00EC4874" w14:paraId="34E9B170" w14:textId="77777777"/>
                <w:p w:rsidR="00D53B14" w:rsidP="003E1386" w:rsidRDefault="0039598F" w14:paraId="0448E890" w14:textId="77777777">
                  <w:r>
                    <w:t>Bovendien kan</w:t>
                  </w:r>
                  <w:r w:rsidRPr="00C72F00">
                    <w:t xml:space="preserve"> de toelichting aan duidelijkheid winnen door nader in te gaan op de te verwachten</w:t>
                  </w:r>
                  <w:r>
                    <w:t xml:space="preserve"> juridische</w:t>
                  </w:r>
                  <w:r w:rsidRPr="00C72F00">
                    <w:t xml:space="preserve"> gevolgen</w:t>
                  </w:r>
                  <w:r>
                    <w:t xml:space="preserve"> </w:t>
                  </w:r>
                  <w:r w:rsidRPr="00C72F00">
                    <w:t xml:space="preserve">van een grensoverschrijdende verrichting </w:t>
                  </w:r>
                  <w:r w:rsidRPr="003A306F">
                    <w:t>– in het bijzonder de omzetting –</w:t>
                  </w:r>
                  <w:r>
                    <w:t xml:space="preserve"> op andere terreinen dan de fiscaliteit en het vennootschapsrecht. Dit betreft in het bijzonder</w:t>
                  </w:r>
                  <w:r w:rsidRPr="00C72F00">
                    <w:t xml:space="preserve"> de toepasselijke regelgeving </w:t>
                  </w:r>
                  <w:r>
                    <w:t xml:space="preserve">inzake </w:t>
                  </w:r>
                  <w:r w:rsidRPr="00C72F00">
                    <w:t>(onder meer) de sociale zekerheid, arbeidsomstandigheden en toezicht.</w:t>
                  </w:r>
                  <w:r w:rsidRPr="003E1386">
                    <w:t xml:space="preserve"> </w:t>
                  </w:r>
                </w:p>
                <w:p w:rsidR="00D53B14" w:rsidP="003E1386" w:rsidRDefault="00EC4874" w14:paraId="7C0E8BBD" w14:textId="77777777"/>
                <w:p w:rsidRPr="003E1386" w:rsidR="003E1386" w:rsidP="003E1386" w:rsidRDefault="0039598F" w14:paraId="5513D10A" w14:textId="77777777">
                  <w:r>
                    <w:t>Verder</w:t>
                  </w:r>
                  <w:r w:rsidRPr="003E1386">
                    <w:t xml:space="preserve"> maakt de Afdeling </w:t>
                  </w:r>
                  <w:r>
                    <w:t xml:space="preserve">een </w:t>
                  </w:r>
                  <w:r w:rsidRPr="003E1386">
                    <w:t>opmerking over het begrip ‘omzeiling’ met betrekking tot de fraudetoets die de notaris moet verrichten</w:t>
                  </w:r>
                  <w:r>
                    <w:t xml:space="preserve">. </w:t>
                  </w:r>
                  <w:r w:rsidRPr="00C72F00">
                    <w:t>In verband hiermee wordt ook de vraag gesteld door wie en op welke wijze</w:t>
                  </w:r>
                  <w:r>
                    <w:t xml:space="preserve"> </w:t>
                  </w:r>
                  <w:r w:rsidRPr="00C72F00">
                    <w:t>het fiscale deel van de fraudetoets wordt uitgevoerd. Ten slotte stelt de Afdeling een vraag</w:t>
                  </w:r>
                  <w:r w:rsidRPr="003E1386">
                    <w:t xml:space="preserve"> over de taal waarin de relevante documentatie voor de betreffende grensoverschrijdende verrichting moet worden gesteld.</w:t>
                  </w:r>
                </w:p>
                <w:p w:rsidRPr="003E1386" w:rsidR="003E1386" w:rsidP="003E1386" w:rsidRDefault="00EC4874" w14:paraId="74473E60" w14:textId="77777777"/>
                <w:p w:rsidRPr="003E1386" w:rsidR="003E1386" w:rsidP="003E1386" w:rsidRDefault="0039598F" w14:paraId="6C30EF98" w14:textId="77777777">
                  <w:r>
                    <w:t>I</w:t>
                  </w:r>
                  <w:r w:rsidRPr="003E1386">
                    <w:t>n dat verband is aanpassing van de toelichting, en zo nodig het wetsvoorstel, wenselijk.</w:t>
                  </w:r>
                </w:p>
                <w:p w:rsidRPr="003E1386" w:rsidR="003E1386" w:rsidP="003E1386" w:rsidRDefault="00EC4874" w14:paraId="2C648AD6" w14:textId="77777777">
                  <w:pPr>
                    <w:pStyle w:val="Lijstalinea"/>
                    <w:ind w:left="720"/>
                  </w:pPr>
                </w:p>
                <w:p w:rsidRPr="003E1386" w:rsidR="003E1386" w:rsidP="003E1386" w:rsidRDefault="0039598F" w14:paraId="282F0DE2" w14:textId="77777777">
                  <w:pPr>
                    <w:rPr>
                      <w:u w:val="single"/>
                    </w:rPr>
                  </w:pPr>
                  <w:r w:rsidRPr="003E1386">
                    <w:t>1.</w:t>
                  </w:r>
                  <w:r w:rsidRPr="003E1386">
                    <w:tab/>
                  </w:r>
                  <w:r w:rsidRPr="003E1386">
                    <w:rPr>
                      <w:u w:val="single"/>
                    </w:rPr>
                    <w:t>Achtergrond en inhoud voorstel</w:t>
                  </w:r>
                </w:p>
                <w:p w:rsidRPr="003E1386" w:rsidR="003E1386" w:rsidP="003E1386" w:rsidRDefault="00EC4874" w14:paraId="30345E49" w14:textId="77777777"/>
                <w:p w:rsidRPr="003E1386" w:rsidR="003E1386" w:rsidP="003E1386" w:rsidRDefault="0039598F" w14:paraId="6411DF6C" w14:textId="77777777">
                  <w:r w:rsidRPr="003E1386">
                    <w:lastRenderedPageBreak/>
                    <w:t>De richtlijn wijzigt de Vennootschapsrichtlijn</w:t>
                  </w:r>
                  <w:r w:rsidRPr="003E1386">
                    <w:rPr>
                      <w:vertAlign w:val="superscript"/>
                    </w:rPr>
                    <w:footnoteReference w:id="2"/>
                  </w:r>
                  <w:r w:rsidRPr="003E1386">
                    <w:t xml:space="preserve"> en vult deze verder aan, in het bijzonder door nieuwe regelingen in te voegen met betrekking tot grensoverschrijdende omzettingen en splitsingen. Daarnaast voorziet de richtlijn ook in wijzigingen van de al in de Vennootschapsrichtlijn opgenomen regeling voor grensoverschrijdende fusies. De uiterste datum waarop de richtlijn moet zijn omgezet in Nederlands recht is 31 januari 2023.</w:t>
                  </w:r>
                  <w:r w:rsidRPr="003E1386">
                    <w:rPr>
                      <w:vertAlign w:val="superscript"/>
                    </w:rPr>
                    <w:footnoteReference w:id="3"/>
                  </w:r>
                  <w:r w:rsidRPr="003E1386">
                    <w:t xml:space="preserve"> </w:t>
                  </w:r>
                </w:p>
                <w:p w:rsidRPr="003E1386" w:rsidR="003E1386" w:rsidP="003E1386" w:rsidRDefault="00EC4874" w14:paraId="1CB52853" w14:textId="77777777"/>
                <w:p w:rsidRPr="003E1386" w:rsidR="003E1386" w:rsidP="003E1386" w:rsidRDefault="0039598F" w14:paraId="6CD8B5D1" w14:textId="77777777">
                  <w:r w:rsidRPr="003E1386">
                    <w:t>De richtlijn regelt de drie genoemde verrichtingen – omzetting, splitsing en fusie – grotendeels langs vergelijkbare lijnen. Het proces van elke verrichting verloopt via drie fasen: de voorbereidende, besluitvormende en uitvoerende fase.</w:t>
                  </w:r>
                  <w:r w:rsidRPr="003E1386">
                    <w:rPr>
                      <w:vertAlign w:val="superscript"/>
                    </w:rPr>
                    <w:footnoteReference w:id="4"/>
                  </w:r>
                </w:p>
                <w:p w:rsidRPr="003E1386" w:rsidR="003E1386" w:rsidP="003E1386" w:rsidRDefault="00EC4874" w14:paraId="50C3FF92" w14:textId="77777777"/>
                <w:p w:rsidR="00D53B14" w:rsidP="003E1386" w:rsidRDefault="0039598F" w14:paraId="0A306C91" w14:textId="77777777">
                  <w:r w:rsidRPr="003E1386">
                    <w:t>De voorbereidende fase houdt in dat elke vennootschap voorbereidende handelingen moet verrichten volgens het eigen nationale recht. Met betrekking tot bijvoorbeeld de fusie geldt dat daaronder onder meer wordt verstaan dat een (gezamenlijk) fusievoorstel wordt opgesteld en openbaar gemaakt</w:t>
                  </w:r>
                  <w:r>
                    <w:t>.</w:t>
                  </w:r>
                  <w:r w:rsidRPr="003E1386">
                    <w:t xml:space="preserve"> </w:t>
                  </w:r>
                  <w:r>
                    <w:t>D</w:t>
                  </w:r>
                  <w:r w:rsidRPr="003E1386">
                    <w:t xml:space="preserve">aarbij </w:t>
                  </w:r>
                  <w:r>
                    <w:t xml:space="preserve">geeft </w:t>
                  </w:r>
                  <w:r w:rsidRPr="003E1386">
                    <w:t xml:space="preserve">de richtlijn regels over wat er minimaal in dit voorstel moet worden opgenomen. </w:t>
                  </w:r>
                </w:p>
                <w:p w:rsidR="00D53B14" w:rsidP="003E1386" w:rsidRDefault="00EC4874" w14:paraId="7EC1B90F" w14:textId="77777777"/>
                <w:p w:rsidR="00D53B14" w:rsidP="003E1386" w:rsidRDefault="0039598F" w14:paraId="68E5721A" w14:textId="77777777">
                  <w:r w:rsidRPr="003E1386">
                    <w:t xml:space="preserve">Vervolgens moet het formele besluit tot fusie worden genomen. Daarna start de uitvoerende fase. De bevoegde instantie uit het land van vertrek moet een schriftelijke verklaring – een zogenaamd pre-fusieattest – afgeven aan de bevoegde instantie uit het land van bestemming waarin staat dat de fusie, kort gezegd, rechtmatig is verlopen. </w:t>
                  </w:r>
                </w:p>
                <w:p w:rsidR="00D53B14" w:rsidP="003E1386" w:rsidRDefault="00EC4874" w14:paraId="455740D0" w14:textId="77777777"/>
                <w:p w:rsidRPr="003E1386" w:rsidR="003E1386" w:rsidP="003E1386" w:rsidRDefault="0039598F" w14:paraId="3F5E3E95" w14:textId="77777777">
                  <w:r>
                    <w:t xml:space="preserve">Daarna </w:t>
                  </w:r>
                  <w:r w:rsidRPr="003E1386">
                    <w:t>wordt de fusie uitgevoerd volgens de regels van het land van bestemming; daarover geeft de bevoegde instantie uit het land van bestemming een slotattest af waarin staat dat aan alle fusievereisten is voldaan. Daarop kunnen de inschrijvingen van de fuserende vennootschappen in het handelsregister, in zowel het land van bestemming als het land van vertrek, worden bijgewerkt. Voor de splitsing en de omzetting geldt een vergelijkbaar regime.</w:t>
                  </w:r>
                </w:p>
                <w:p w:rsidRPr="003E1386" w:rsidR="003E1386" w:rsidP="003E1386" w:rsidRDefault="00EC4874" w14:paraId="1D93BDDC" w14:textId="77777777"/>
                <w:p w:rsidRPr="003E1386" w:rsidR="003E1386" w:rsidP="003E1386" w:rsidRDefault="0039598F" w14:paraId="47E771B2" w14:textId="77777777">
                  <w:r w:rsidRPr="003E1386">
                    <w:t xml:space="preserve">De richtlijn regelt daarnaast per </w:t>
                  </w:r>
                  <w:r>
                    <w:t xml:space="preserve">grensoverschrijdende </w:t>
                  </w:r>
                  <w:r w:rsidRPr="003E1386">
                    <w:t>verrichting een vorm van bescherming van (de belangen van) aandeelhouders, schuldeisers en werknemers. Zo voorziet de richtlijn voor aandeelhouders in een uittreedrecht en in regelingen en procedures voor vaststelling van ruilverhoudingen en schadeloosstellingen.</w:t>
                  </w:r>
                  <w:r w:rsidRPr="003E1386">
                    <w:rPr>
                      <w:vertAlign w:val="superscript"/>
                    </w:rPr>
                    <w:footnoteReference w:id="5"/>
                  </w:r>
                  <w:r w:rsidRPr="003E1386">
                    <w:t xml:space="preserve"> De bestaande mogelijkheden voor werknemers die zij op grond van rechtspersonenrechtelijke medezeggenschapsregelingen hebben, worden verder verzekerd voor alle verrichtingen.</w:t>
                  </w:r>
                  <w:r w:rsidRPr="003E1386">
                    <w:rPr>
                      <w:vertAlign w:val="superscript"/>
                    </w:rPr>
                    <w:footnoteReference w:id="6"/>
                  </w:r>
                  <w:r w:rsidRPr="003E1386">
                    <w:t xml:space="preserve"> Schuldeisers krijgen onder meer de mogelijkheid om zich tot een (administratieve of gerechtelijke) instantie te wenden binnen drie maanden na openbaarmaking van het verrichtingsvoorstel voor het afdwingen van waarborgen (</w:t>
                  </w:r>
                  <w:r w:rsidRPr="003E1386">
                    <w:rPr>
                      <w:iCs/>
                    </w:rPr>
                    <w:t>zoals een (bank)garantie of een pandrecht)</w:t>
                  </w:r>
                  <w:r w:rsidRPr="003E1386">
                    <w:t xml:space="preserve"> als zij, kort gezegd, niet tevreden zijn over de geboden waarborgen in dit voorstel.</w:t>
                  </w:r>
                  <w:r w:rsidRPr="003E1386">
                    <w:rPr>
                      <w:vertAlign w:val="superscript"/>
                    </w:rPr>
                    <w:footnoteReference w:id="7"/>
                  </w:r>
                </w:p>
                <w:p w:rsidRPr="003E1386" w:rsidR="003E1386" w:rsidP="003E1386" w:rsidRDefault="00EC4874" w14:paraId="15018C2A" w14:textId="77777777"/>
                <w:p w:rsidRPr="003E1386" w:rsidR="003E1386" w:rsidP="003E1386" w:rsidRDefault="0039598F" w14:paraId="776ADA35" w14:textId="77777777">
                  <w:r w:rsidRPr="003E1386">
                    <w:lastRenderedPageBreak/>
                    <w:t>Het wetsvoorstel implementeert de richtlijn door Boek 2 BW te wijzigen en aan te vullen. Daarnaast brengt dit wetsvoorstel een wijziging aan in de Wet op het notarisambt (Wna). Deze wijziging is nodig ter implementatie van het onderdeel van de richtlijn dat de controle betreft op de rechtmatigheid van de grensoverschrijdende verrichting door een bevoegde instantie. Dat is in Nederland de notaris.</w:t>
                  </w:r>
                  <w:r w:rsidRPr="003E1386">
                    <w:rPr>
                      <w:vertAlign w:val="superscript"/>
                    </w:rPr>
                    <w:footnoteReference w:id="8"/>
                  </w:r>
                </w:p>
                <w:p w:rsidRPr="003E1386" w:rsidR="003E1386" w:rsidP="003E1386" w:rsidRDefault="00EC4874" w14:paraId="594210DF" w14:textId="77777777"/>
                <w:p w:rsidRPr="003E1386" w:rsidR="003E1386" w:rsidP="003E1386" w:rsidRDefault="0039598F" w14:paraId="568E3153" w14:textId="77777777">
                  <w:r w:rsidRPr="003E1386">
                    <w:t>De toelichting beargumenteert dat ervoor is gekozen om de implementatie langs de lijnen van de richtlijn vorm te geven en niet in het voorstel méér of andere zaken te regelen dan de richtlijn voorschrijft.</w:t>
                  </w:r>
                  <w:r w:rsidRPr="003E1386">
                    <w:rPr>
                      <w:vertAlign w:val="superscript"/>
                    </w:rPr>
                    <w:footnoteReference w:id="9"/>
                  </w:r>
                  <w:r w:rsidRPr="003E1386">
                    <w:t xml:space="preserve"> Dit betekent onder meer dat geen fiscale flankerende maatregelen in het voorstel zijn opgenomen. Voor de implementatie van lidstaatopties is uitsluitend gekozen, wanneer dit het beste aansluit bij al bestaande nationale regelingen betreffende de bestaande binnenlandse en buitenlandse grensoverschrijdende verrichtingen.</w:t>
                  </w:r>
                  <w:r w:rsidRPr="003E1386">
                    <w:rPr>
                      <w:vertAlign w:val="superscript"/>
                    </w:rPr>
                    <w:footnoteReference w:id="10"/>
                  </w:r>
                </w:p>
                <w:p w:rsidRPr="003E1386" w:rsidR="003E1386" w:rsidP="003E1386" w:rsidRDefault="00EC4874" w14:paraId="28070FBA" w14:textId="77777777"/>
                <w:p w:rsidRPr="003E1386" w:rsidR="003E1386" w:rsidP="003E1386" w:rsidRDefault="0039598F" w14:paraId="31F30C7E" w14:textId="77777777">
                  <w:r w:rsidRPr="003E1386">
                    <w:t>2.</w:t>
                  </w:r>
                  <w:r w:rsidRPr="003E1386">
                    <w:tab/>
                  </w:r>
                  <w:r w:rsidRPr="003E1386">
                    <w:rPr>
                      <w:u w:val="single"/>
                    </w:rPr>
                    <w:t>Uitvoerbaarheid digitale registratie</w:t>
                  </w:r>
                </w:p>
                <w:p w:rsidRPr="003E1386" w:rsidR="003E1386" w:rsidP="003E1386" w:rsidRDefault="00EC4874" w14:paraId="543300E9" w14:textId="77777777"/>
                <w:p w:rsidRPr="003E1386" w:rsidR="003E1386" w:rsidP="003E1386" w:rsidRDefault="0039598F" w14:paraId="43B6BAE5" w14:textId="77777777">
                  <w:r w:rsidRPr="003E1386">
                    <w:t>De richtlijn schrijft voor dat de benodigde documentatie voor een grensoverschrijdende verrichting digitaal moet kunnen worden ingediend en dat digitaal moet kunnen worden gecommuniceerd via de registers.</w:t>
                  </w:r>
                  <w:r w:rsidRPr="003E1386">
                    <w:rPr>
                      <w:vertAlign w:val="superscript"/>
                    </w:rPr>
                    <w:footnoteReference w:id="11"/>
                  </w:r>
                  <w:r w:rsidRPr="003E1386">
                    <w:t xml:space="preserve"> Het wetsvoorstel wijst de Kamer van Koophandel (KvK) aan als beheerder van het register in Nederland.</w:t>
                  </w:r>
                  <w:r w:rsidRPr="003E1386">
                    <w:rPr>
                      <w:vertAlign w:val="superscript"/>
                    </w:rPr>
                    <w:footnoteReference w:id="12"/>
                  </w:r>
                  <w:r w:rsidRPr="003E1386">
                    <w:t xml:space="preserve"> De KvK moet daarvoor een al bestaand digitaal systeem aanpassen.</w:t>
                  </w:r>
                  <w:r w:rsidRPr="003E1386">
                    <w:rPr>
                      <w:vertAlign w:val="superscript"/>
                    </w:rPr>
                    <w:footnoteReference w:id="13"/>
                  </w:r>
                  <w:r w:rsidRPr="003E1386">
                    <w:t xml:space="preserve"> Via dit systeem kunnen stukken digitaal worden opgevraagd, verstrekt aan betrokken partijen bij de verrichting en uitgewisseld met beheerders in andere lidstaten. </w:t>
                  </w:r>
                </w:p>
                <w:p w:rsidRPr="003E1386" w:rsidR="003E1386" w:rsidP="003E1386" w:rsidRDefault="00EC4874" w14:paraId="542CAB46" w14:textId="77777777">
                  <w:pPr>
                    <w:pStyle w:val="Lijstalinea"/>
                    <w:ind w:left="720"/>
                  </w:pPr>
                </w:p>
                <w:p w:rsidRPr="003E1386" w:rsidR="003E1386" w:rsidP="003E1386" w:rsidRDefault="0039598F" w14:paraId="50B36C3A" w14:textId="77777777">
                  <w:r w:rsidRPr="003E1386">
                    <w:t>De KvK geeft in haar uitvoeringstoets aan dat deze aanpassingen uitvoerbaar zijn, maar niet vóór de implementatiedatum vanwege capaciteitsproblemen in verband met meerdere digitale projecten die de KvK onder handen heeft.</w:t>
                  </w:r>
                  <w:r w:rsidRPr="003E1386">
                    <w:rPr>
                      <w:vertAlign w:val="superscript"/>
                    </w:rPr>
                    <w:footnoteReference w:id="14"/>
                  </w:r>
                  <w:r w:rsidRPr="003E1386">
                    <w:t xml:space="preserve"> De toelichting geeft aan dat samen met de KvK zal worden nagegaan hoe de implementatie vormgegeven kan worden.</w:t>
                  </w:r>
                  <w:r w:rsidRPr="003E1386">
                    <w:rPr>
                      <w:vertAlign w:val="superscript"/>
                    </w:rPr>
                    <w:footnoteReference w:id="15"/>
                  </w:r>
                </w:p>
                <w:p w:rsidRPr="003E1386" w:rsidR="003E1386" w:rsidP="003E1386" w:rsidRDefault="00EC4874" w14:paraId="0E4BD812" w14:textId="77777777"/>
                <w:p w:rsidR="00B1384A" w:rsidP="003E1386" w:rsidRDefault="0039598F" w14:paraId="0EACECB4" w14:textId="77777777">
                  <w:r w:rsidRPr="003E1386">
                    <w:t>De Afdeling merkt op dat de toelichting niet specifiek ingaat op de verwachte vertraging in de uitvoering die de KvK aangeeft en de mogelijke gevolgen daarvan. Dit roept de vraag op hoe partijen aan hun verplichtingen kunnen voldoen en stukken kunnen indienen of opvragen</w:t>
                  </w:r>
                  <w:r>
                    <w:t xml:space="preserve"> en hoe uitwisseling van relevante gegevens plaatsvindt tussen handelsregisters van verschillende lidstaten</w:t>
                  </w:r>
                  <w:r w:rsidRPr="003E1386">
                    <w:t xml:space="preserve"> als het wetsvoorstel in werking treedt voordat de KvK het digitale systeem naar behoren heeft ingericht. </w:t>
                  </w:r>
                </w:p>
                <w:p w:rsidR="00B1384A" w:rsidP="003E1386" w:rsidRDefault="00EC4874" w14:paraId="1B0177C8" w14:textId="77777777"/>
                <w:p w:rsidRPr="003E1386" w:rsidR="003E1386" w:rsidP="003E1386" w:rsidRDefault="0039598F" w14:paraId="225CE496" w14:textId="77777777">
                  <w:r w:rsidRPr="003E1386">
                    <w:t xml:space="preserve">De Afdeling adviseert in het licht van het voorgaande </w:t>
                  </w:r>
                  <w:r>
                    <w:t xml:space="preserve">om in </w:t>
                  </w:r>
                  <w:r w:rsidRPr="003E1386">
                    <w:t>de toelichting</w:t>
                  </w:r>
                  <w:r>
                    <w:t xml:space="preserve"> </w:t>
                  </w:r>
                  <w:r w:rsidRPr="00B1384A">
                    <w:t>in</w:t>
                  </w:r>
                  <w:r>
                    <w:t xml:space="preserve"> te </w:t>
                  </w:r>
                  <w:r w:rsidRPr="00B1384A">
                    <w:t>gaa</w:t>
                  </w:r>
                  <w:r>
                    <w:t>n</w:t>
                  </w:r>
                  <w:r w:rsidRPr="00B1384A">
                    <w:t xml:space="preserve"> op mogelijke tussenoplossingen, bij voorkeur vergezeld van een concreet tijdpad</w:t>
                  </w:r>
                  <w:r w:rsidRPr="003E1386">
                    <w:t>, zodat betrokken partijen met het oog op de rechtszekerheid weten waar zij aan toe zijn.</w:t>
                  </w:r>
                </w:p>
                <w:p w:rsidRPr="003E1386" w:rsidR="003E1386" w:rsidP="003E1386" w:rsidRDefault="00EC4874" w14:paraId="60BA196B" w14:textId="77777777"/>
                <w:p w:rsidRPr="008B228F" w:rsidR="00205228" w:rsidP="003E1386" w:rsidRDefault="0039598F" w14:paraId="5E6E1049" w14:textId="77777777">
                  <w:pPr>
                    <w:rPr>
                      <w:u w:val="single"/>
                    </w:rPr>
                  </w:pPr>
                  <w:r w:rsidRPr="003E1386">
                    <w:t>3.</w:t>
                  </w:r>
                  <w:r w:rsidRPr="003E1386">
                    <w:tab/>
                  </w:r>
                  <w:r w:rsidRPr="008B228F">
                    <w:rPr>
                      <w:u w:val="single"/>
                    </w:rPr>
                    <w:t>Betekenis wetsvoorstel voor andere juridische terreinen</w:t>
                  </w:r>
                </w:p>
                <w:p w:rsidR="00205228" w:rsidP="003E1386" w:rsidRDefault="00EC4874" w14:paraId="3F73A85F" w14:textId="77777777"/>
                <w:p w:rsidRPr="008B228F" w:rsidR="003E1386" w:rsidP="003E1386" w:rsidRDefault="0039598F" w14:paraId="530F14E9" w14:textId="77777777">
                  <w:pPr>
                    <w:rPr>
                      <w:i/>
                      <w:iCs/>
                    </w:rPr>
                  </w:pPr>
                  <w:r w:rsidRPr="008B228F">
                    <w:t>a.</w:t>
                  </w:r>
                  <w:r w:rsidRPr="008B228F">
                    <w:rPr>
                      <w:i/>
                      <w:iCs/>
                    </w:rPr>
                    <w:t xml:space="preserve"> </w:t>
                  </w:r>
                  <w:r>
                    <w:rPr>
                      <w:i/>
                      <w:iCs/>
                    </w:rPr>
                    <w:tab/>
                  </w:r>
                  <w:r w:rsidRPr="008B228F">
                    <w:rPr>
                      <w:i/>
                      <w:iCs/>
                    </w:rPr>
                    <w:t>Fiscale gevolgen</w:t>
                  </w:r>
                </w:p>
                <w:p w:rsidRPr="003E1386" w:rsidR="003E1386" w:rsidP="003E1386" w:rsidRDefault="0039598F" w14:paraId="04A204AB" w14:textId="77777777">
                  <w:r w:rsidRPr="003E1386">
                    <w:t>Het wetsvoorstel voorziet in lijn met de richtlijn in een vennootschapsrechtelijk kader voor de grensoverschrijdende fusie, splitsing en omzetting. Zowel in de richtlijn als in het wetsvoorstel ontbre</w:t>
                  </w:r>
                  <w:r>
                    <w:t>ekt een analyse van de fiscale gevolgen van een grensoverschrijdende verrichting en eventuele relevante</w:t>
                  </w:r>
                  <w:r w:rsidRPr="003E1386">
                    <w:t xml:space="preserve"> flankerende maatregelen. Voor grensoverschrijdende fusies en splitsingen bestaat reeds een fiscaalrechtelijk kader op Europees en nationaal niveau.</w:t>
                  </w:r>
                  <w:r w:rsidRPr="003E1386">
                    <w:rPr>
                      <w:vertAlign w:val="superscript"/>
                    </w:rPr>
                    <w:footnoteReference w:id="16"/>
                  </w:r>
                  <w:r w:rsidRPr="003E1386">
                    <w:t xml:space="preserve"> Dat geldt niet voor de grensoverschrijdende omzetting.</w:t>
                  </w:r>
                </w:p>
                <w:p w:rsidRPr="003E1386" w:rsidR="003E1386" w:rsidP="003E1386" w:rsidRDefault="00EC4874" w14:paraId="5699B550" w14:textId="77777777"/>
                <w:p w:rsidRPr="003E1386" w:rsidR="003E1386" w:rsidP="003E1386" w:rsidRDefault="0039598F" w14:paraId="61CDA9CF" w14:textId="77777777">
                  <w:r w:rsidRPr="003E1386">
                    <w:t>Verschillende consultatiereacties gaan (uitgebreid) in op het ontbreken van</w:t>
                  </w:r>
                  <w:r>
                    <w:t xml:space="preserve"> fiscale duiding van het wetsvoorstel en eventuele daarop volgende</w:t>
                  </w:r>
                  <w:r w:rsidRPr="003E1386">
                    <w:t xml:space="preserve"> fiscale flankerende maatregelen – met name op het terrein van de grensoverschrijdende omzetting – en wijzen op de rechtsonzekerheid die zal ontstaan bij het ontbreken </w:t>
                  </w:r>
                  <w:r>
                    <w:t>daarvan</w:t>
                  </w:r>
                  <w:r w:rsidRPr="003E1386">
                    <w:t>.</w:t>
                  </w:r>
                  <w:r w:rsidRPr="003E1386">
                    <w:rPr>
                      <w:vertAlign w:val="superscript"/>
                    </w:rPr>
                    <w:footnoteReference w:id="17"/>
                  </w:r>
                  <w:r w:rsidRPr="003E1386">
                    <w:t xml:space="preserve"> In reactie hierop onderkent de toelichting het belang van fiscaal flankerend beleid. Omdat de richtlijn geen directe fiscale regels bevat, is echter besloten deze ook niet in het wetsvoorstel ter implementatie van de richtlijn op te nemen. Wel is een apart wetsvoorstel in voorbereiding dat op de hiervoor genoemde problematiek in zal gaan.</w:t>
                  </w:r>
                  <w:r w:rsidRPr="003E1386">
                    <w:rPr>
                      <w:vertAlign w:val="superscript"/>
                    </w:rPr>
                    <w:footnoteReference w:id="18"/>
                  </w:r>
                  <w:r w:rsidRPr="003E1386">
                    <w:t xml:space="preserve"> </w:t>
                  </w:r>
                </w:p>
                <w:p w:rsidRPr="003E1386" w:rsidR="003E1386" w:rsidP="003E1386" w:rsidRDefault="00EC4874" w14:paraId="29F84BAF" w14:textId="77777777"/>
                <w:p w:rsidR="00D53B14" w:rsidP="003E1386" w:rsidRDefault="0039598F" w14:paraId="357C381D" w14:textId="77777777">
                  <w:r w:rsidRPr="003E1386">
                    <w:t>De Afdeling merkt op dat het ontbreken van</w:t>
                  </w:r>
                  <w:r>
                    <w:t xml:space="preserve"> een analyse van de fiscale gevolgen en daarmee samenhangend</w:t>
                  </w:r>
                  <w:r w:rsidRPr="003E1386">
                    <w:t xml:space="preserve"> fiscaal flankerend beleid in het bijzonder ten aanzien van de grensoverschrijdende omzetting rechtsonzekerheid bij alle betrokken partijen oplevert. Daarbij heeft de Afdeling in beginsel begrip voor de terughoudendheid fiscale maatregelen in het onderhavige wetsvoorstel ter implementatie van de richtlijn te treffen, omdat deze maatregelen in de richtlijn evenmin getroffen zijn. </w:t>
                  </w:r>
                </w:p>
                <w:p w:rsidR="00D53B14" w:rsidP="003E1386" w:rsidRDefault="00EC4874" w14:paraId="79818B92" w14:textId="77777777"/>
                <w:p w:rsidR="00D53B14" w:rsidP="003E1386" w:rsidRDefault="0039598F" w14:paraId="79D45479" w14:textId="77777777">
                  <w:r w:rsidRPr="003E1386">
                    <w:t>Dit zou echter geen beletsel zijn om gelijktijdig een separaat wetsvoorstel met flankerende fiscale maatregelen in te dienen. Nu dit niet het geval is, zou de toelichting een concreet tijdpad dienen te bevatten van dergelijke flankerende fiscale maatregelen. De toelichting onderkent nu</w:t>
                  </w:r>
                  <w:r>
                    <w:t xml:space="preserve"> </w:t>
                  </w:r>
                  <w:r w:rsidRPr="003E1386">
                    <w:t>onvoldoende dat betrokken partijen vanuit fiscaal oogpunt niet weten waar zij aan toe zijn als zij zouden overwegen een grensoverschrijdende verrichting, in het bijzonder een omzetting, te doen volgens het wetsvoorstel. De toezegging dat een wetsvoorstel met verder flankerende fiscale regulering in voorbereiding is, geeft, ook met de toevoeging dat daarbij als uitgangspunt zal gelden dat aanvullende fiscale regelgeving zoveel mogelijk langs de lijnen van bestaande fiscale wet- en regelgeving zal worden vormgegeven, te weinig richting en zekerheid. Dat geldt</w:t>
                  </w:r>
                  <w:r>
                    <w:t xml:space="preserve"> voor de betrokken partijen, maar</w:t>
                  </w:r>
                  <w:r w:rsidRPr="003E1386">
                    <w:t xml:space="preserve"> ook voor de Belastingdienst die mogelijk vragen op dit terrein kan verwachten. </w:t>
                  </w:r>
                </w:p>
                <w:p w:rsidR="00D53B14" w:rsidP="003E1386" w:rsidRDefault="00EC4874" w14:paraId="61B9B0A6" w14:textId="77777777"/>
                <w:p w:rsidRPr="003E1386" w:rsidR="003E1386" w:rsidP="003E1386" w:rsidRDefault="0039598F" w14:paraId="2BBAB28A" w14:textId="77777777">
                  <w:r w:rsidRPr="003E1386">
                    <w:t>Daarbij geeft de Afdeling in overweging om in de toelichting ook in hoofdlijnen inhoudelijk in te gaan op de contouren van de fiscale maatregelen die men verwacht te treffen. Te denken valt daarbij onder meer aan het beleid ten aanzien van de vennootschapsbelasting, de dividendbelasting, de bron</w:t>
                  </w:r>
                  <w:r>
                    <w:t>belasting</w:t>
                  </w:r>
                  <w:r w:rsidRPr="003E1386">
                    <w:t xml:space="preserve"> op rente en royalties en – voor de volledigheid </w:t>
                  </w:r>
                  <w:r>
                    <w:t>–</w:t>
                  </w:r>
                  <w:r w:rsidRPr="003E1386">
                    <w:t xml:space="preserve"> de overdrachtsbelasting.</w:t>
                  </w:r>
                </w:p>
                <w:p w:rsidRPr="003E1386" w:rsidR="003E1386" w:rsidP="003E1386" w:rsidRDefault="00EC4874" w14:paraId="346010A1" w14:textId="77777777"/>
                <w:p w:rsidR="003E1386" w:rsidP="003E1386" w:rsidRDefault="0039598F" w14:paraId="646AC8AD" w14:textId="77777777">
                  <w:r w:rsidRPr="003E1386">
                    <w:t>De Afdeling adviseert met het oog op de rechtszekerheid in het licht van het voorgaande de toelichting aan te vullen.</w:t>
                  </w:r>
                </w:p>
                <w:p w:rsidR="00205228" w:rsidP="003E1386" w:rsidRDefault="00EC4874" w14:paraId="6FA18D08" w14:textId="77777777"/>
                <w:p w:rsidRPr="008B228F" w:rsidR="00205228" w:rsidP="00205228" w:rsidRDefault="0039598F" w14:paraId="23AC533C" w14:textId="77777777">
                  <w:pPr>
                    <w:rPr>
                      <w:i/>
                      <w:iCs/>
                    </w:rPr>
                  </w:pPr>
                  <w:r w:rsidRPr="00C43602">
                    <w:t>b</w:t>
                  </w:r>
                  <w:r>
                    <w:t>.</w:t>
                  </w:r>
                  <w:r w:rsidRPr="008B228F">
                    <w:rPr>
                      <w:i/>
                      <w:iCs/>
                    </w:rPr>
                    <w:tab/>
                    <w:t>Overige externe gevolgen</w:t>
                  </w:r>
                  <w:r>
                    <w:rPr>
                      <w:i/>
                      <w:iCs/>
                    </w:rPr>
                    <w:t xml:space="preserve"> van</w:t>
                  </w:r>
                  <w:r w:rsidRPr="008B228F">
                    <w:rPr>
                      <w:i/>
                      <w:iCs/>
                    </w:rPr>
                    <w:t xml:space="preserve"> grensoverschrijdende omzetting</w:t>
                  </w:r>
                </w:p>
                <w:p w:rsidR="00205228" w:rsidP="00205228" w:rsidRDefault="0039598F" w14:paraId="2501EADB" w14:textId="77777777">
                  <w:r>
                    <w:t>Uit de richtlijn en het wetsvoorstel blijkt dat alle verrichtingen met de nodige waarborgen voor betrokken partijen zijn omgeven. Beide geven ook blijk van het belang van de veranderingen die in het toepasselijk juridisch regime op verschillende terreinen kunnen optreden.</w:t>
                  </w:r>
                  <w:r>
                    <w:rPr>
                      <w:rStyle w:val="Voetnootmarkering"/>
                    </w:rPr>
                    <w:footnoteReference w:id="19"/>
                  </w:r>
                  <w:r>
                    <w:t xml:space="preserve"> Een grensoverschrijdende verrichting – in het bijzonder de omzetting – kan verschillende externe juridische gevolgen hebben, waarvan niet alleen de betrokken partijen, maar ook de bevoegde overheid of overheden op de hoogte moeten zijn. </w:t>
                  </w:r>
                  <w:r w:rsidRPr="00CF7F00">
                    <w:t>Een omzetting van een besloten vennootschap in een vennootschap naar het recht van een andere lidstaat, inclusief verplaatsing van de statutaire zetel, kan bijvoorbeeld betekenen dat regelgeving uit de andere lidstaat op de onderneming en de betrokken werknemers en schuldeisers</w:t>
                  </w:r>
                  <w:r>
                    <w:t xml:space="preserve"> van toepassing wordt, bijvoorbeeld op het terrein van arbeidsomstandigheden of sociale zekerheid. Ook kan een toezichthouder uit een andere lidstaat ten gevolge van de omzetting (mede) zeggenschap verkrijgen of verliezen. </w:t>
                  </w:r>
                </w:p>
                <w:p w:rsidR="00205228" w:rsidP="00205228" w:rsidRDefault="00EC4874" w14:paraId="559BA707" w14:textId="77777777"/>
                <w:p w:rsidR="00205228" w:rsidP="00205228" w:rsidRDefault="0039598F" w14:paraId="4F639EB8" w14:textId="77777777">
                  <w:r>
                    <w:t>De Afdeling merkt op dat de toelichting op de mogelijke gevolgen van een grensoverschrijdende omzetting anders dan op vennootschapsrechtelijk terrein summier ingaat en zich daarbij dan vooral richt op de vereisten in de betrokken documentatie, zoals het omzettingsvoorstel en de toelichting daarop.</w:t>
                  </w:r>
                  <w:r>
                    <w:rPr>
                      <w:rStyle w:val="Voetnootmarkering"/>
                    </w:rPr>
                    <w:footnoteReference w:id="20"/>
                  </w:r>
                  <w:r>
                    <w:t xml:space="preserve"> </w:t>
                  </w:r>
                </w:p>
                <w:p w:rsidR="00056834" w:rsidP="00205228" w:rsidRDefault="00EC4874" w14:paraId="3BCCD741" w14:textId="77777777"/>
                <w:p w:rsidRPr="00B62B59" w:rsidR="00B62B59" w:rsidP="00B62B59" w:rsidRDefault="0039598F" w14:paraId="3C6AAD5C" w14:textId="77777777">
                  <w:r w:rsidRPr="00B62B59">
                    <w:t xml:space="preserve">De Afdeling adviseert in het licht van het voorgaande in de toelichting nader in te gaan op de gevolgen die een grensoverschrijdende omzetting kan hebben op andere terreinen dan het vennootschapsrecht. </w:t>
                  </w:r>
                </w:p>
                <w:p w:rsidRPr="003E1386" w:rsidR="003E1386" w:rsidP="003E1386" w:rsidRDefault="00EC4874" w14:paraId="6389669B" w14:textId="77777777"/>
                <w:p w:rsidR="003E1386" w:rsidP="003E1386" w:rsidRDefault="0039598F" w14:paraId="29322D63" w14:textId="77777777">
                  <w:pPr>
                    <w:rPr>
                      <w:u w:val="single"/>
                    </w:rPr>
                  </w:pPr>
                  <w:r w:rsidRPr="003E1386">
                    <w:t>4.</w:t>
                  </w:r>
                  <w:r w:rsidRPr="003E1386">
                    <w:tab/>
                  </w:r>
                  <w:r w:rsidRPr="003E1386">
                    <w:rPr>
                      <w:u w:val="single"/>
                    </w:rPr>
                    <w:t>Fraudetoets</w:t>
                  </w:r>
                </w:p>
                <w:p w:rsidR="001C0243" w:rsidP="003E1386" w:rsidRDefault="00EC4874" w14:paraId="05040A15" w14:textId="77777777">
                  <w:pPr>
                    <w:rPr>
                      <w:u w:val="single"/>
                    </w:rPr>
                  </w:pPr>
                </w:p>
                <w:p w:rsidRPr="008B228F" w:rsidR="003E1386" w:rsidP="003E1386" w:rsidRDefault="0039598F" w14:paraId="07037650" w14:textId="77777777">
                  <w:pPr>
                    <w:rPr>
                      <w:i/>
                      <w:iCs/>
                    </w:rPr>
                  </w:pPr>
                  <w:r w:rsidRPr="008B228F">
                    <w:t>a.</w:t>
                  </w:r>
                  <w:r w:rsidRPr="008B228F">
                    <w:rPr>
                      <w:i/>
                      <w:iCs/>
                    </w:rPr>
                    <w:tab/>
                    <w:t>Het omzeilingsbegrip</w:t>
                  </w:r>
                </w:p>
                <w:p w:rsidRPr="003E1386" w:rsidR="003E1386" w:rsidP="003E1386" w:rsidRDefault="0039598F" w14:paraId="2ADE94C2" w14:textId="77777777">
                  <w:r w:rsidRPr="003E1386">
                    <w:t xml:space="preserve">De richtlijn voorziet in een regime waarin een bevoegde autoriteit, die door de lidstaat wordt aangewezen, de grensoverschrijdende verrichting begeleidt en controleert op onrechtmatigheid. Deze fraudetoets vindt plaats door het afgeven van een verklaring – een attest – ter goedkeuring van de besluitvorming van de verrichting en een slotverklaring om de verrichting formeel af te ronden. </w:t>
                  </w:r>
                </w:p>
                <w:p w:rsidRPr="003E1386" w:rsidR="003E1386" w:rsidP="003E1386" w:rsidRDefault="00EC4874" w14:paraId="37FDAB12" w14:textId="77777777"/>
                <w:p w:rsidR="0052526F" w:rsidP="003E1386" w:rsidRDefault="0039598F" w14:paraId="1998AE27" w14:textId="77777777">
                  <w:r w:rsidRPr="003E1386">
                    <w:t>Het wetsvoorstel wijst in Nederland als bevoegde autoriteit de notaris aan om genoemd proces te begeleiden en de fraudetoets uit te voeren. De betrokken bepalingen (die steeds per verrichting gelijkluidend zijn) regelen dat de notaris de eerder genoemde verklaring niet afgeeft indien hij vaststelt dat de grensoverschrijdende verrichting is opgezet voor onrechtmatige of frauduleuze doeleinden die leiden tot of gericht zijn op ontduiking of omzeiling van Unie- of nationaal recht, of voor criminele doeleinden.</w:t>
                  </w:r>
                  <w:r w:rsidRPr="003E1386">
                    <w:rPr>
                      <w:vertAlign w:val="superscript"/>
                    </w:rPr>
                    <w:footnoteReference w:id="21"/>
                  </w:r>
                  <w:r w:rsidRPr="003E1386">
                    <w:t xml:space="preserve"> </w:t>
                  </w:r>
                </w:p>
                <w:p w:rsidR="0052526F" w:rsidP="003E1386" w:rsidRDefault="00EC4874" w14:paraId="115DD521" w14:textId="77777777"/>
                <w:p w:rsidRPr="003E1386" w:rsidR="003E1386" w:rsidP="003E1386" w:rsidRDefault="0039598F" w14:paraId="57C606FD" w14:textId="77777777">
                  <w:r w:rsidRPr="003E1386">
                    <w:t>De toetsing die wordt verlangd heeft dezelfde zwaarte en omvang als de toetsing die de notaris thans bij een grensoverschrijdende verrichting verricht uit hoofde van zijn notariële ‘poortwachtersrol’.</w:t>
                  </w:r>
                  <w:r w:rsidRPr="003E1386">
                    <w:rPr>
                      <w:vertAlign w:val="superscript"/>
                    </w:rPr>
                    <w:footnoteReference w:id="22"/>
                  </w:r>
                  <w:r w:rsidRPr="003E1386">
                    <w:t xml:space="preserve"> Daaronder wordt verstaan dat de notaris verplicht is dienst te weigeren, wanneer naar zijn redelijke overtuiging of vermoeden de werkzaamheid die van hem verlangd wordt (bijvoorbeeld de afgifte van een pre-verrichting attest), leidt tot strijd met het recht of de openbare orde, wanneer zijn medewerking wordt verlangd bij handelingen die kennelijk een ongeoorloofd doel of gevolg hebben of wanneer hij andere gegronde redenen voor weigering heeft.</w:t>
                  </w:r>
                  <w:r w:rsidRPr="003E1386">
                    <w:rPr>
                      <w:vertAlign w:val="superscript"/>
                    </w:rPr>
                    <w:footnoteReference w:id="23"/>
                  </w:r>
                  <w:r w:rsidRPr="003E1386">
                    <w:t xml:space="preserve"> De toelichting neemt bij de verdere bespreking van de genoemde fraudetoets de formulering uit de voorgestelde wettekst over, maar voegt steeds het begrip ‘onrechtmatig’ tussen haken toe aan de term ‘omzeiling’. </w:t>
                  </w:r>
                </w:p>
                <w:p w:rsidRPr="003E1386" w:rsidR="003E1386" w:rsidP="003E1386" w:rsidRDefault="00EC4874" w14:paraId="6306F3FF" w14:textId="77777777"/>
                <w:p w:rsidRPr="003E1386" w:rsidR="003E1386" w:rsidP="003E1386" w:rsidRDefault="0039598F" w14:paraId="1CCB608B" w14:textId="77777777">
                  <w:r w:rsidRPr="003E1386">
                    <w:t xml:space="preserve">De Afdeling merkt op </w:t>
                  </w:r>
                  <w:r>
                    <w:t xml:space="preserve">dat </w:t>
                  </w:r>
                  <w:r w:rsidRPr="003E1386">
                    <w:t xml:space="preserve">de tekst van de richtlijn en van </w:t>
                  </w:r>
                  <w:r>
                    <w:t>het</w:t>
                  </w:r>
                  <w:r w:rsidRPr="003E1386">
                    <w:t xml:space="preserve"> wet</w:t>
                  </w:r>
                  <w:r>
                    <w:t>svoorstel</w:t>
                  </w:r>
                  <w:r w:rsidRPr="003E1386">
                    <w:t xml:space="preserve"> de term</w:t>
                  </w:r>
                  <w:r>
                    <w:t xml:space="preserve"> </w:t>
                  </w:r>
                  <w:r w:rsidRPr="003E1386">
                    <w:t xml:space="preserve">‘omzeiling’ zonder nadere toevoeging </w:t>
                  </w:r>
                  <w:r>
                    <w:t>hanteert</w:t>
                  </w:r>
                  <w:r w:rsidRPr="003E1386">
                    <w:t xml:space="preserve">. </w:t>
                  </w:r>
                  <w:r>
                    <w:t>De</w:t>
                  </w:r>
                  <w:r w:rsidRPr="003E1386">
                    <w:t xml:space="preserve"> toelichting </w:t>
                  </w:r>
                  <w:r>
                    <w:t>vult</w:t>
                  </w:r>
                  <w:r w:rsidRPr="003E1386">
                    <w:t xml:space="preserve"> het begrip ‘omzeiling’ consequent aan met de term ‘onrechtmatig’ tussen haken. Dat suggereert dat de toelichting ook de mogelijkheid openlaat dat er een vorm van ‘rechtmatige’ omzeiling </w:t>
                  </w:r>
                  <w:r>
                    <w:t>bestaat, die de fraudetoets zou kunnen doorstaan</w:t>
                  </w:r>
                  <w:r w:rsidRPr="003E1386">
                    <w:t>.</w:t>
                  </w:r>
                  <w:r>
                    <w:rPr>
                      <w:rStyle w:val="Voetnootmarkering"/>
                    </w:rPr>
                    <w:footnoteReference w:id="24"/>
                  </w:r>
                  <w:r w:rsidRPr="003E1386">
                    <w:t xml:space="preserve"> </w:t>
                  </w:r>
                </w:p>
                <w:p w:rsidRPr="003E1386" w:rsidR="003E1386" w:rsidP="003E1386" w:rsidRDefault="00EC4874" w14:paraId="41438558" w14:textId="77777777"/>
                <w:p w:rsidR="003E1386" w:rsidP="003E1386" w:rsidRDefault="0039598F" w14:paraId="565F5A6F" w14:textId="77777777">
                  <w:r w:rsidRPr="003E1386">
                    <w:t xml:space="preserve">De Afdeling adviseert in de toelichting </w:t>
                  </w:r>
                  <w:r>
                    <w:t xml:space="preserve">nader in te gaan op de keuze om in de toelichting de term ‘omzeiling’ aan te vullen met de term ‘onrechtmatig’ tussen haken in afwijking van de tekst van de richtlijn en van het wetsvoorstel. </w:t>
                  </w:r>
                </w:p>
                <w:p w:rsidR="001C0243" w:rsidP="003E1386" w:rsidRDefault="00EC4874" w14:paraId="231D2985" w14:textId="77777777"/>
                <w:p w:rsidRPr="008B228F" w:rsidR="001C0243" w:rsidP="001C0243" w:rsidRDefault="0039598F" w14:paraId="30CE9AF3" w14:textId="77777777">
                  <w:pPr>
                    <w:rPr>
                      <w:i/>
                      <w:iCs/>
                    </w:rPr>
                  </w:pPr>
                  <w:r w:rsidRPr="00C43602">
                    <w:t>b</w:t>
                  </w:r>
                  <w:r>
                    <w:t>.</w:t>
                  </w:r>
                  <w:r w:rsidRPr="008B228F">
                    <w:rPr>
                      <w:i/>
                      <w:iCs/>
                    </w:rPr>
                    <w:tab/>
                    <w:t xml:space="preserve">Rol fiscaliteit </w:t>
                  </w:r>
                </w:p>
                <w:p w:rsidR="001C0243" w:rsidP="001C0243" w:rsidRDefault="0039598F" w14:paraId="011B28A2" w14:textId="77777777">
                  <w:r>
                    <w:t>In de tekst van de bepalingen in de richtlijn noch het wetsvoorstel komt expliciet naar voren dat de fraudetoets die de notaris uitvoert een fiscaal aspect in zich kan dragen. In de considerans bij de richtlijn wordt er wel op gewezen dat de fraudetoets een fiscaal aspect bevat.</w:t>
                  </w:r>
                  <w:r>
                    <w:rPr>
                      <w:rStyle w:val="Voetnootmarkering"/>
                    </w:rPr>
                    <w:footnoteReference w:id="25"/>
                  </w:r>
                  <w:r>
                    <w:t xml:space="preserve"> Bovendien vermeldt de considerans dat lidstaten, onverminderd de bindendheid van een regelmatig verlopen grensoverschrijdende verrichting, de bevoegdheden houden, onder meer op het terrein van het fiscale recht om op basis van nieuwe wezenlijke informatie vast te stellen, nadat de grensoverschrijdende verrichting van kracht is geworden, dat de grensoverschrijdende verrichting is opgezet voor onrechtmatige of frauduleuze doeleinden die leiden tot of gericht zijn op ontduiking of omzeiling van Unie- of nationaal recht, of voor criminele doeleinden.</w:t>
                  </w:r>
                  <w:r>
                    <w:rPr>
                      <w:rStyle w:val="Voetnootmarkering"/>
                    </w:rPr>
                    <w:footnoteReference w:id="26"/>
                  </w:r>
                  <w:r>
                    <w:t xml:space="preserve"> </w:t>
                  </w:r>
                </w:p>
                <w:p w:rsidR="001C0243" w:rsidP="001C0243" w:rsidRDefault="00EC4874" w14:paraId="09F285DA" w14:textId="77777777"/>
                <w:p w:rsidR="001C0243" w:rsidP="001C0243" w:rsidRDefault="0039598F" w14:paraId="3805BC1C" w14:textId="77777777">
                  <w:r>
                    <w:t>De Afdeling merkt op dat de toelichting niet ingaat op de vraag of de notaris in zijn rol van bevoegde autoriteit in de door de wet voorgeschreven fraudetoets ook eventuele fiscale fraude meeneemt in deze toets. Omdat de voorgenomen wetsbepalingen op dit terrein en de toelichting hierop niet ingaan en tegelijkertijd de reeds bestaande poortwachtersfunctie van de notaris – waarvan fiscale controle niet a priori deel uitmaakt – in de toelichting wordt benadrukt, lijkt dit op voorhand niet het geval te zijn. Omdat denkbaar is dat betrokken partijen juist om fiscale redenen een grensoverschrijdende verrichting wenselijk zullen vinden, is het daarom van belang dat de toelichting expliciet benoemt dat de Belastingdienst of een andere daarvoor bestemde autoriteit een grensoverschrijdende verrichting ook toetst op fiscale fraude.</w:t>
                  </w:r>
                  <w:r>
                    <w:rPr>
                      <w:rStyle w:val="Voetnootmarkering"/>
                    </w:rPr>
                    <w:footnoteReference w:id="27"/>
                  </w:r>
                </w:p>
                <w:p w:rsidR="001C0243" w:rsidP="001C0243" w:rsidRDefault="00EC4874" w14:paraId="4F0E6130" w14:textId="77777777"/>
                <w:p w:rsidRPr="003E1386" w:rsidR="001C0243" w:rsidP="001C0243" w:rsidRDefault="0039598F" w14:paraId="75B35CE1" w14:textId="77777777">
                  <w:r>
                    <w:t>De Afdeling adviseert in het licht van het voorgaande de toelichting aan te vullen en zo nodig het voorstel aan te passen.</w:t>
                  </w:r>
                </w:p>
                <w:p w:rsidRPr="003E1386" w:rsidR="003E1386" w:rsidP="003E1386" w:rsidRDefault="00EC4874" w14:paraId="7CFF19E6" w14:textId="77777777"/>
                <w:p w:rsidR="0039598F" w:rsidRDefault="0039598F" w14:paraId="074A04B2" w14:textId="77777777">
                  <w:r>
                    <w:br w:type="page"/>
                  </w:r>
                </w:p>
                <w:p w:rsidRPr="003E1386" w:rsidR="003E1386" w:rsidP="003E1386" w:rsidRDefault="0039598F" w14:paraId="619177A0" w14:textId="64A0C8F3">
                  <w:pPr>
                    <w:rPr>
                      <w:u w:val="single"/>
                    </w:rPr>
                  </w:pPr>
                  <w:r w:rsidRPr="003E1386">
                    <w:t>5.</w:t>
                  </w:r>
                  <w:r w:rsidRPr="003E1386">
                    <w:tab/>
                  </w:r>
                  <w:r w:rsidRPr="003E1386">
                    <w:rPr>
                      <w:u w:val="single"/>
                    </w:rPr>
                    <w:t>Taal</w:t>
                  </w:r>
                </w:p>
                <w:p w:rsidRPr="003E1386" w:rsidR="003E1386" w:rsidP="003E1386" w:rsidRDefault="00EC4874" w14:paraId="24A724B2" w14:textId="77777777">
                  <w:pPr>
                    <w:rPr>
                      <w:u w:val="single"/>
                    </w:rPr>
                  </w:pPr>
                </w:p>
                <w:p w:rsidRPr="003E1386" w:rsidR="003E1386" w:rsidP="003E1386" w:rsidRDefault="0039598F" w14:paraId="3B3785E6" w14:textId="77777777">
                  <w:r w:rsidRPr="003E1386">
                    <w:t>De richtlijn en het wetsvoorstel bevatten geen bepalingen waarin direct is voorgeschreven in welke taal of talen relevante documentatie ten behoeve van een grensoverschrijdende verrichting (bijvoorbeeld een fusievoorstel of een statutenwijziging) moet zijn opgesteld. Verschillende consultatiereacties benoemen dit punt.</w:t>
                  </w:r>
                  <w:r w:rsidRPr="003E1386">
                    <w:rPr>
                      <w:vertAlign w:val="superscript"/>
                    </w:rPr>
                    <w:footnoteReference w:id="28"/>
                  </w:r>
                  <w:r w:rsidRPr="003E1386">
                    <w:t xml:space="preserve"> De toelichting gaat op dit punt niet specifiek in.</w:t>
                  </w:r>
                </w:p>
                <w:p w:rsidRPr="003E1386" w:rsidR="003E1386" w:rsidP="003E1386" w:rsidRDefault="00EC4874" w14:paraId="5C189C19" w14:textId="77777777"/>
                <w:p w:rsidR="0052526F" w:rsidP="003E1386" w:rsidRDefault="0039598F" w14:paraId="3729593A" w14:textId="77777777">
                  <w:r w:rsidRPr="003E1386">
                    <w:t xml:space="preserve">De Afdeling merkt op dat het wenselijk zou zijn als de toelichting op het voornoemde punt duidelijkheid verschaft met het oog op de belangen van verschillende betrokken partijen. Vanuit het perspectief van de betrokken vennootschappen zelf en de vennootschapspraktijk is voorstelbaar dat zij de betreffende documentatie wensen op te stellen in een taal die in het internationale handelsverkeer wordt gehanteerd: bijvoorbeeld het Engels, Duits of het Frans. </w:t>
                  </w:r>
                </w:p>
                <w:p w:rsidR="0052526F" w:rsidP="003E1386" w:rsidRDefault="00EC4874" w14:paraId="4850E05C" w14:textId="77777777"/>
                <w:p w:rsidRPr="003E1386" w:rsidR="003E1386" w:rsidP="003E1386" w:rsidRDefault="0039598F" w14:paraId="61BBFE8A" w14:textId="77777777">
                  <w:r w:rsidRPr="003E1386">
                    <w:t xml:space="preserve">Daarnaast spelen echter belangen van betrokken partijen, zoals schuldeisers of werknemers, een rol. Voor hen is het van belang dat zij de belangrijke stukken (ook) in hun eigen </w:t>
                  </w:r>
                  <w:r>
                    <w:t>voer</w:t>
                  </w:r>
                  <w:r w:rsidRPr="003E1386">
                    <w:t>taal kunnen bestuderen om hun (rechts)positie adequaat te kunnen bepalen. Voor stukken, zoals statuten, die in openbare registers moeten worden ingeschreven, geldt al dat ten minste een getrouwe Nederlandse vertaling beschikbaar moet zijn, wanneer deze in een vreemde taal zijn opgesteld.</w:t>
                  </w:r>
                  <w:r w:rsidRPr="003E1386">
                    <w:rPr>
                      <w:vertAlign w:val="superscript"/>
                    </w:rPr>
                    <w:footnoteReference w:id="29"/>
                  </w:r>
                  <w:r w:rsidRPr="003E1386">
                    <w:t xml:space="preserve"> Voor andere stukken, zoals een fusievoorstel, waarvoor deze verplichting niet geldt, zou een verduidelijking te dien aanzien in de toelichting gewenst zijn.</w:t>
                  </w:r>
                </w:p>
                <w:p w:rsidRPr="003E1386" w:rsidR="003E1386" w:rsidP="003E1386" w:rsidRDefault="00EC4874" w14:paraId="0420DB2A" w14:textId="77777777"/>
                <w:p w:rsidRPr="003E1386" w:rsidR="003E1386" w:rsidP="00662FAA" w:rsidRDefault="0039598F" w14:paraId="7B84845D" w14:textId="77777777">
                  <w:r w:rsidRPr="003E1386">
                    <w:t>De Afdeling adviseert in het licht van het voorgaande in de toelichting nader in te gaan op de taalvoorschriften bij de betrokken grensoverschrijdende verrichting.</w:t>
                  </w:r>
                </w:p>
              </w:sdtContent>
            </w:sdt>
          </w:sdtContent>
        </w:sdt>
        <w:p w:rsidR="003A1FC7" w:rsidRDefault="003A1FC7" w14:paraId="25D6E723" w14:textId="77777777"/>
        <w:sdt>
          <w:sdtPr>
            <w:alias w:val="Dictum"/>
            <w:tag w:val="Dictum"/>
            <w:id w:val="1621489950"/>
            <w:lock w:val="sdtContentLocked"/>
            <w:placeholder>
              <w:docPart w:val="DefaultPlaceholder_1082065158"/>
            </w:placeholder>
            <w:text w:multiLine="1"/>
          </w:sdtPr>
          <w:sdtEndPr/>
          <w:sdtContent>
            <w:p w:rsidR="00EF6B75" w:rsidRDefault="0039598F" w14:paraId="406DED3A"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EF6B75"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DAFB3" w14:textId="77777777" w:rsidR="00847094" w:rsidRDefault="0039598F" w:rsidP="005B3E03">
      <w:r>
        <w:separator/>
      </w:r>
    </w:p>
    <w:p w14:paraId="5DAA2B69" w14:textId="77777777" w:rsidR="002D0ACF" w:rsidRDefault="00EC4874"/>
  </w:endnote>
  <w:endnote w:type="continuationSeparator" w:id="0">
    <w:p w14:paraId="7532AC06" w14:textId="77777777" w:rsidR="00847094" w:rsidRDefault="0039598F" w:rsidP="005B3E03">
      <w:r>
        <w:continuationSeparator/>
      </w:r>
    </w:p>
    <w:p w14:paraId="33FE6395" w14:textId="77777777" w:rsidR="002D0ACF" w:rsidRDefault="00EC48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1D4D1"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2D3A0C5F" wp14:editId="26F95DBF">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3DA55B"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3A0C5F"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14:paraId="0D3DA55B"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BA558" w14:textId="77777777" w:rsidR="00847094" w:rsidRDefault="0039598F" w:rsidP="005B3E03">
      <w:r>
        <w:separator/>
      </w:r>
    </w:p>
    <w:p w14:paraId="14131316" w14:textId="77777777" w:rsidR="002D0ACF" w:rsidRDefault="00EC4874"/>
  </w:footnote>
  <w:footnote w:type="continuationSeparator" w:id="0">
    <w:p w14:paraId="587830D8" w14:textId="77777777" w:rsidR="00847094" w:rsidRDefault="0039598F" w:rsidP="005B3E03">
      <w:r>
        <w:continuationSeparator/>
      </w:r>
    </w:p>
    <w:p w14:paraId="15F6C53C" w14:textId="77777777" w:rsidR="002D0ACF" w:rsidRDefault="00EC4874"/>
  </w:footnote>
  <w:footnote w:id="1">
    <w:p w14:paraId="478E3BEE" w14:textId="77777777" w:rsidR="003E1386" w:rsidRDefault="0039598F" w:rsidP="003E1386">
      <w:pPr>
        <w:pStyle w:val="Voetnoottekst"/>
        <w:rPr>
          <w:rFonts w:cstheme="minorHAnsi"/>
        </w:rPr>
      </w:pPr>
      <w:r>
        <w:rPr>
          <w:rStyle w:val="Voetnootmarkering"/>
          <w:rFonts w:cstheme="minorHAnsi"/>
        </w:rPr>
        <w:footnoteRef/>
      </w:r>
      <w:r>
        <w:rPr>
          <w:rFonts w:cstheme="minorHAnsi"/>
        </w:rPr>
        <w:t xml:space="preserve"> </w:t>
      </w:r>
      <w:r>
        <w:rPr>
          <w:rFonts w:cstheme="minorHAnsi"/>
        </w:rPr>
        <w:tab/>
        <w:t>Richtlijn (EU) 2019/2121 van het Europees Parlement en de Raad van 27 november 2019 tot wijziging van Richtlijn (EU) 2017/1132 met betrekking tot grensoverschrijdende omzettingen, fusies en splitsingen (PbEU 2019, L 321/1).</w:t>
      </w:r>
    </w:p>
  </w:footnote>
  <w:footnote w:id="2">
    <w:p w14:paraId="369E079B" w14:textId="77777777" w:rsidR="003E1386" w:rsidRDefault="0039598F" w:rsidP="003E1386">
      <w:pPr>
        <w:pStyle w:val="Voetnoottekst"/>
        <w:rPr>
          <w:rFonts w:cstheme="minorHAnsi"/>
        </w:rPr>
      </w:pPr>
      <w:r>
        <w:rPr>
          <w:rStyle w:val="Voetnootmarkering"/>
          <w:rFonts w:cstheme="minorHAnsi"/>
        </w:rPr>
        <w:footnoteRef/>
      </w:r>
      <w:r>
        <w:rPr>
          <w:rFonts w:cstheme="minorHAnsi"/>
        </w:rPr>
        <w:t xml:space="preserve"> </w:t>
      </w:r>
      <w:r>
        <w:rPr>
          <w:rFonts w:cstheme="minorHAnsi"/>
        </w:rPr>
        <w:tab/>
        <w:t xml:space="preserve">Richtlijn (EU) 2017/1132 van het Europees Parlement en de Raad van 14 juni 2017 aangaande bepaalde aspecten van het vennootschapsrecht (PbEU 2017, </w:t>
      </w:r>
      <w:r w:rsidRPr="005B41EB">
        <w:rPr>
          <w:rFonts w:cstheme="minorHAnsi"/>
        </w:rPr>
        <w:t>L 169/46</w:t>
      </w:r>
      <w:r>
        <w:rPr>
          <w:rFonts w:cstheme="minorHAnsi"/>
        </w:rPr>
        <w:t>).</w:t>
      </w:r>
    </w:p>
  </w:footnote>
  <w:footnote w:id="3">
    <w:p w14:paraId="67969F98" w14:textId="77777777" w:rsidR="003E1386" w:rsidRDefault="0039598F" w:rsidP="003E1386">
      <w:pPr>
        <w:pStyle w:val="Voetnoottekst"/>
      </w:pPr>
      <w:r>
        <w:rPr>
          <w:rStyle w:val="Voetnootmarkering"/>
        </w:rPr>
        <w:footnoteRef/>
      </w:r>
      <w:r>
        <w:t xml:space="preserve"> </w:t>
      </w:r>
      <w:r>
        <w:tab/>
        <w:t>Memorie van toelichting, paragraaf 1.</w:t>
      </w:r>
    </w:p>
  </w:footnote>
  <w:footnote w:id="4">
    <w:p w14:paraId="187585B4" w14:textId="77777777" w:rsidR="003E1386" w:rsidRDefault="0039598F" w:rsidP="003E1386">
      <w:pPr>
        <w:pStyle w:val="Voetnoottekst"/>
      </w:pPr>
      <w:r>
        <w:rPr>
          <w:rStyle w:val="Voetnootmarkering"/>
        </w:rPr>
        <w:footnoteRef/>
      </w:r>
      <w:r>
        <w:t xml:space="preserve"> </w:t>
      </w:r>
      <w:r>
        <w:tab/>
        <w:t>Memorie van toelichting, paragrafen 2.3-2.6.</w:t>
      </w:r>
    </w:p>
  </w:footnote>
  <w:footnote w:id="5">
    <w:p w14:paraId="6F970B0D" w14:textId="77777777" w:rsidR="003E1386" w:rsidRDefault="0039598F" w:rsidP="003E1386">
      <w:pPr>
        <w:pStyle w:val="Voetnoottekst"/>
      </w:pPr>
      <w:r>
        <w:rPr>
          <w:rStyle w:val="Voetnootmarkering"/>
        </w:rPr>
        <w:footnoteRef/>
      </w:r>
      <w:r>
        <w:t xml:space="preserve"> </w:t>
      </w:r>
      <w:r>
        <w:tab/>
        <w:t>Memorie van toelichting, paragraaf 2.7.</w:t>
      </w:r>
    </w:p>
  </w:footnote>
  <w:footnote w:id="6">
    <w:p w14:paraId="108FE890" w14:textId="77777777" w:rsidR="003E1386" w:rsidRDefault="0039598F" w:rsidP="003E1386">
      <w:pPr>
        <w:pStyle w:val="Voetnoottekst"/>
      </w:pPr>
      <w:r>
        <w:rPr>
          <w:rStyle w:val="Voetnootmarkering"/>
        </w:rPr>
        <w:footnoteRef/>
      </w:r>
      <w:r>
        <w:t xml:space="preserve"> </w:t>
      </w:r>
      <w:r>
        <w:tab/>
        <w:t>Memorie van toelichting, paragraaf 2.7.</w:t>
      </w:r>
    </w:p>
  </w:footnote>
  <w:footnote w:id="7">
    <w:p w14:paraId="7BD99315" w14:textId="77777777" w:rsidR="003E1386" w:rsidRDefault="0039598F" w:rsidP="003E1386">
      <w:pPr>
        <w:pStyle w:val="Voetnoottekst"/>
      </w:pPr>
      <w:r>
        <w:rPr>
          <w:rStyle w:val="Voetnootmarkering"/>
        </w:rPr>
        <w:footnoteRef/>
      </w:r>
      <w:r>
        <w:t xml:space="preserve"> </w:t>
      </w:r>
      <w:r>
        <w:tab/>
        <w:t>Memorie van toelichting, paragraaf 2.7 en paragraaf</w:t>
      </w:r>
      <w:r w:rsidRPr="001518F6">
        <w:t xml:space="preserve"> 3.2.2</w:t>
      </w:r>
      <w:r>
        <w:t xml:space="preserve"> voor de uitwerking in het wetsvoorstel: het gaat hier om de voorzitter van de Ondernemingskamer.</w:t>
      </w:r>
    </w:p>
  </w:footnote>
  <w:footnote w:id="8">
    <w:p w14:paraId="64EC845D" w14:textId="77777777" w:rsidR="003E1386" w:rsidRDefault="0039598F" w:rsidP="003E1386">
      <w:pPr>
        <w:pStyle w:val="Voetnoottekst"/>
      </w:pPr>
      <w:r>
        <w:rPr>
          <w:rStyle w:val="Voetnootmarkering"/>
        </w:rPr>
        <w:footnoteRef/>
      </w:r>
      <w:r>
        <w:t xml:space="preserve"> </w:t>
      </w:r>
      <w:r>
        <w:tab/>
        <w:t xml:space="preserve">Memorie van toelichting, paragraaf 3.2.3. </w:t>
      </w:r>
    </w:p>
  </w:footnote>
  <w:footnote w:id="9">
    <w:p w14:paraId="609EC7D0" w14:textId="77777777" w:rsidR="003E1386" w:rsidRDefault="0039598F" w:rsidP="003E1386">
      <w:pPr>
        <w:pStyle w:val="Voetnoottekst"/>
      </w:pPr>
      <w:r>
        <w:rPr>
          <w:rStyle w:val="Voetnootmarkering"/>
        </w:rPr>
        <w:footnoteRef/>
      </w:r>
      <w:r>
        <w:t xml:space="preserve"> </w:t>
      </w:r>
      <w:r>
        <w:tab/>
        <w:t xml:space="preserve">Memorie van toelichting, paragraaf 3.3. en 6.2. </w:t>
      </w:r>
      <w:r w:rsidRPr="00662FAA">
        <w:t>Zie ook de Aanwijzingen voor de regelgeving, aanwijzing 9.4.</w:t>
      </w:r>
    </w:p>
  </w:footnote>
  <w:footnote w:id="10">
    <w:p w14:paraId="46646335" w14:textId="77777777" w:rsidR="003E1386" w:rsidRDefault="0039598F" w:rsidP="003E1386">
      <w:pPr>
        <w:pStyle w:val="Voetnoottekst"/>
      </w:pPr>
      <w:r>
        <w:rPr>
          <w:rStyle w:val="Voetnootmarkering"/>
        </w:rPr>
        <w:footnoteRef/>
      </w:r>
      <w:r>
        <w:t xml:space="preserve"> </w:t>
      </w:r>
      <w:r>
        <w:tab/>
        <w:t xml:space="preserve">Memorie van toelichting, paragraaf 3.3.2 e.v. </w:t>
      </w:r>
      <w:r w:rsidRPr="00662FAA">
        <w:t>Zie ook de Aanwijzingen voor de regelgeving, aanwijzing 9.7.</w:t>
      </w:r>
    </w:p>
  </w:footnote>
  <w:footnote w:id="11">
    <w:p w14:paraId="143ED0A2" w14:textId="77777777" w:rsidR="003E1386" w:rsidRDefault="0039598F" w:rsidP="003E1386">
      <w:pPr>
        <w:pStyle w:val="Voetnoottekst"/>
      </w:pPr>
      <w:r>
        <w:rPr>
          <w:rStyle w:val="Voetnootmarkering"/>
        </w:rPr>
        <w:footnoteRef/>
      </w:r>
      <w:r>
        <w:t xml:space="preserve"> </w:t>
      </w:r>
      <w:r>
        <w:tab/>
      </w:r>
      <w:r w:rsidRPr="0003685F">
        <w:t>Artikel 86 octies en Considerans, overwegingen 41 en 43 van de richtlijn</w:t>
      </w:r>
      <w:r>
        <w:t>.</w:t>
      </w:r>
    </w:p>
  </w:footnote>
  <w:footnote w:id="12">
    <w:p w14:paraId="48D68B4D" w14:textId="77777777" w:rsidR="003E1386" w:rsidRDefault="0039598F" w:rsidP="003E1386">
      <w:pPr>
        <w:pStyle w:val="Voetnoottekst"/>
      </w:pPr>
      <w:r>
        <w:rPr>
          <w:rStyle w:val="Voetnootmarkering"/>
        </w:rPr>
        <w:footnoteRef/>
      </w:r>
      <w:r>
        <w:t xml:space="preserve"> </w:t>
      </w:r>
      <w:r>
        <w:tab/>
        <w:t>Memorie van toelichting, paragrafen 2.6 en 5.</w:t>
      </w:r>
    </w:p>
  </w:footnote>
  <w:footnote w:id="13">
    <w:p w14:paraId="69AAE881" w14:textId="77777777" w:rsidR="003E1386" w:rsidRDefault="0039598F" w:rsidP="003E1386">
      <w:pPr>
        <w:pStyle w:val="Voetnoottekst"/>
      </w:pPr>
      <w:r>
        <w:rPr>
          <w:rStyle w:val="Voetnootmarkering"/>
        </w:rPr>
        <w:footnoteRef/>
      </w:r>
      <w:r>
        <w:t xml:space="preserve"> </w:t>
      </w:r>
      <w:r>
        <w:tab/>
        <w:t xml:space="preserve">Het betreft hier het </w:t>
      </w:r>
      <w:r w:rsidRPr="008B19E5">
        <w:t>Business Registers Interconnection System</w:t>
      </w:r>
      <w:r>
        <w:t xml:space="preserve"> (BRIS), zie de Uitvoeringstoets van de KvK, p. 2. e.v.</w:t>
      </w:r>
    </w:p>
  </w:footnote>
  <w:footnote w:id="14">
    <w:p w14:paraId="5CA68D67" w14:textId="77777777" w:rsidR="003E1386" w:rsidRDefault="0039598F" w:rsidP="003E1386">
      <w:pPr>
        <w:pStyle w:val="Voetnoottekst"/>
      </w:pPr>
      <w:r>
        <w:rPr>
          <w:rStyle w:val="Voetnootmarkering"/>
        </w:rPr>
        <w:footnoteRef/>
      </w:r>
      <w:r>
        <w:t xml:space="preserve"> </w:t>
      </w:r>
      <w:r>
        <w:tab/>
        <w:t>Uitvoeringstoets van de KvK, p.1.</w:t>
      </w:r>
    </w:p>
  </w:footnote>
  <w:footnote w:id="15">
    <w:p w14:paraId="7C8BA1E0" w14:textId="77777777" w:rsidR="003E1386" w:rsidRDefault="0039598F" w:rsidP="003E1386">
      <w:pPr>
        <w:pStyle w:val="Voetnoottekst"/>
      </w:pPr>
      <w:r>
        <w:rPr>
          <w:rStyle w:val="Voetnootmarkering"/>
        </w:rPr>
        <w:footnoteRef/>
      </w:r>
      <w:r>
        <w:t xml:space="preserve"> </w:t>
      </w:r>
      <w:r>
        <w:tab/>
        <w:t>Memorie van toelichting, paragraaf 5.</w:t>
      </w:r>
    </w:p>
  </w:footnote>
  <w:footnote w:id="16">
    <w:p w14:paraId="13CDF913" w14:textId="77777777" w:rsidR="003E1386" w:rsidRDefault="0039598F" w:rsidP="003E1386">
      <w:pPr>
        <w:pStyle w:val="Voetnoottekst"/>
      </w:pPr>
      <w:r>
        <w:rPr>
          <w:rStyle w:val="Voetnootmarkering"/>
        </w:rPr>
        <w:footnoteRef/>
      </w:r>
      <w:r>
        <w:t xml:space="preserve"> </w:t>
      </w:r>
      <w:r>
        <w:tab/>
      </w:r>
      <w:r w:rsidRPr="003A306F">
        <w:t>Richtlijn 2009/133/EG van de Raad van 19 oktober 2009 betreffende de gemeenschappelijke fiscale regeling voor fusies, splitsingen, gedeeltelijke splitsingen, inbreng van activa en aandelenruil met betrekking tot vennootschappen uit verschillende lidstaten</w:t>
      </w:r>
      <w:r w:rsidRPr="00763477">
        <w:t>, </w:t>
      </w:r>
      <w:r w:rsidRPr="00763477">
        <w:rPr>
          <w:i/>
          <w:iCs/>
        </w:rPr>
        <w:t>PbEG</w:t>
      </w:r>
      <w:r>
        <w:rPr>
          <w:i/>
          <w:iCs/>
        </w:rPr>
        <w:t xml:space="preserve"> </w:t>
      </w:r>
      <w:r>
        <w:t>2009,</w:t>
      </w:r>
      <w:r w:rsidRPr="00763477">
        <w:t> L 310/34, zoals laatstelijk gewijzigd op 13 mei 2013, </w:t>
      </w:r>
      <w:r w:rsidRPr="00763477">
        <w:rPr>
          <w:i/>
          <w:iCs/>
        </w:rPr>
        <w:t>PbEU</w:t>
      </w:r>
      <w:r w:rsidRPr="00763477">
        <w:t> </w:t>
      </w:r>
      <w:r>
        <w:t xml:space="preserve">2013, </w:t>
      </w:r>
      <w:r w:rsidRPr="00763477">
        <w:t>L 141/30</w:t>
      </w:r>
      <w:r>
        <w:t>.</w:t>
      </w:r>
    </w:p>
  </w:footnote>
  <w:footnote w:id="17">
    <w:p w14:paraId="5FD91A8D" w14:textId="77777777" w:rsidR="003E1386" w:rsidRDefault="0039598F" w:rsidP="003E1386">
      <w:pPr>
        <w:pStyle w:val="Voetnoottekst"/>
      </w:pPr>
      <w:r>
        <w:rPr>
          <w:rStyle w:val="Voetnootmarkering"/>
        </w:rPr>
        <w:footnoteRef/>
      </w:r>
      <w:r>
        <w:t xml:space="preserve"> </w:t>
      </w:r>
      <w:r>
        <w:tab/>
        <w:t>Zie onder meer de reacties van de Commissie Vennootschapsrecht, p.4, de Nederlandse Orde van Belastingadviseurs, paragraaf 2, en Loyens &amp; Loeff, paragraaf 6.</w:t>
      </w:r>
    </w:p>
  </w:footnote>
  <w:footnote w:id="18">
    <w:p w14:paraId="26DC8C75" w14:textId="77777777" w:rsidR="003E1386" w:rsidRDefault="0039598F" w:rsidP="003E1386">
      <w:pPr>
        <w:pStyle w:val="Voetnoottekst"/>
      </w:pPr>
      <w:r>
        <w:rPr>
          <w:rStyle w:val="Voetnootmarkering"/>
        </w:rPr>
        <w:footnoteRef/>
      </w:r>
      <w:r>
        <w:t xml:space="preserve"> </w:t>
      </w:r>
      <w:r>
        <w:tab/>
        <w:t>Memorie van toelichting, paragraaf 6.9.</w:t>
      </w:r>
    </w:p>
  </w:footnote>
  <w:footnote w:id="19">
    <w:p w14:paraId="76053A4B" w14:textId="77777777" w:rsidR="00056834" w:rsidRDefault="0039598F">
      <w:pPr>
        <w:pStyle w:val="Voetnoottekst"/>
      </w:pPr>
      <w:r>
        <w:rPr>
          <w:rStyle w:val="Voetnootmarkering"/>
        </w:rPr>
        <w:footnoteRef/>
      </w:r>
      <w:r>
        <w:t xml:space="preserve"> </w:t>
      </w:r>
      <w:r>
        <w:tab/>
        <w:t>Zie bijvoorbeeld de considerans bij de richtlijn, overweging 36 en voorgesteld artikel</w:t>
      </w:r>
      <w:bookmarkStart w:id="1" w:name="_Hlk115269456"/>
      <w:r>
        <w:t xml:space="preserve"> 2:335d BW</w:t>
      </w:r>
      <w:bookmarkEnd w:id="1"/>
      <w:r>
        <w:t>.</w:t>
      </w:r>
    </w:p>
  </w:footnote>
  <w:footnote w:id="20">
    <w:p w14:paraId="419A4EA0" w14:textId="77777777" w:rsidR="00056834" w:rsidRDefault="0039598F">
      <w:pPr>
        <w:pStyle w:val="Voetnoottekst"/>
      </w:pPr>
      <w:r>
        <w:rPr>
          <w:rStyle w:val="Voetnootmarkering"/>
        </w:rPr>
        <w:footnoteRef/>
      </w:r>
      <w:r>
        <w:t xml:space="preserve"> </w:t>
      </w:r>
      <w:r>
        <w:tab/>
        <w:t xml:space="preserve">Memorie van toelichting, artikelsgewijze toelichting bij voorgestelde artikel </w:t>
      </w:r>
      <w:r w:rsidRPr="00056834">
        <w:t>2:335d BW</w:t>
      </w:r>
      <w:r>
        <w:t>.</w:t>
      </w:r>
    </w:p>
  </w:footnote>
  <w:footnote w:id="21">
    <w:p w14:paraId="57C721DF" w14:textId="77777777" w:rsidR="003E1386" w:rsidRDefault="0039598F" w:rsidP="003E1386">
      <w:pPr>
        <w:pStyle w:val="Voetnoottekst"/>
      </w:pPr>
      <w:r>
        <w:rPr>
          <w:rStyle w:val="Voetnootmarkering"/>
        </w:rPr>
        <w:footnoteRef/>
      </w:r>
      <w:r>
        <w:t xml:space="preserve"> </w:t>
      </w:r>
      <w:r>
        <w:tab/>
        <w:t>Zie bijvoorbeeld voorgesteld artikel 2:335l lid 6 BW in lijn met artikel 86quaterdecies lid 8 van de richtlijn betreffende de grensoverschrijdende omzetting.</w:t>
      </w:r>
    </w:p>
  </w:footnote>
  <w:footnote w:id="22">
    <w:p w14:paraId="0D6B485F" w14:textId="77777777" w:rsidR="003E1386" w:rsidRDefault="0039598F" w:rsidP="003E1386">
      <w:pPr>
        <w:pStyle w:val="Voetnoottekst"/>
      </w:pPr>
      <w:r>
        <w:rPr>
          <w:rStyle w:val="Voetnootmarkering"/>
        </w:rPr>
        <w:footnoteRef/>
      </w:r>
      <w:r>
        <w:t xml:space="preserve"> </w:t>
      </w:r>
      <w:r>
        <w:tab/>
        <w:t>Memorie van toelichting, paragraaf 3.2.3 en artikel 21 Wna.</w:t>
      </w:r>
    </w:p>
  </w:footnote>
  <w:footnote w:id="23">
    <w:p w14:paraId="67C42E9D" w14:textId="77777777" w:rsidR="003E1386" w:rsidRDefault="0039598F" w:rsidP="003E1386">
      <w:pPr>
        <w:pStyle w:val="Voetnoottekst"/>
      </w:pPr>
      <w:r>
        <w:rPr>
          <w:rStyle w:val="Voetnootmarkering"/>
        </w:rPr>
        <w:footnoteRef/>
      </w:r>
      <w:r>
        <w:t xml:space="preserve"> </w:t>
      </w:r>
      <w:r>
        <w:tab/>
      </w:r>
      <w:r w:rsidRPr="00C514B3">
        <w:t xml:space="preserve">Artikel 21 </w:t>
      </w:r>
      <w:r>
        <w:t>Wna.</w:t>
      </w:r>
    </w:p>
  </w:footnote>
  <w:footnote w:id="24">
    <w:p w14:paraId="6C3D2F86" w14:textId="77777777" w:rsidR="000550E5" w:rsidRDefault="0039598F">
      <w:pPr>
        <w:pStyle w:val="Voetnoottekst"/>
      </w:pPr>
      <w:r>
        <w:rPr>
          <w:rStyle w:val="Voetnootmarkering"/>
        </w:rPr>
        <w:footnoteRef/>
      </w:r>
      <w:r>
        <w:t xml:space="preserve"> </w:t>
      </w:r>
      <w:r>
        <w:tab/>
        <w:t xml:space="preserve">Zie ook bijvoorbeeld Hof van Justitie van de Europese Unie van 9 maart 1999. C-212/97, Centros, </w:t>
      </w:r>
      <w:r w:rsidRPr="000550E5">
        <w:t>ECLI:EU:C:1999:126</w:t>
      </w:r>
      <w:r>
        <w:t xml:space="preserve"> en </w:t>
      </w:r>
      <w:r w:rsidRPr="003301EC">
        <w:t xml:space="preserve">Hof van Justitie van de Europese Unie </w:t>
      </w:r>
      <w:r>
        <w:t>van 18 januari 2018, C-</w:t>
      </w:r>
      <w:r w:rsidRPr="00C43602">
        <w:t>249/15</w:t>
      </w:r>
      <w:r>
        <w:t xml:space="preserve">, Wind 1014 GmbH, </w:t>
      </w:r>
      <w:r w:rsidRPr="00C43602">
        <w:t>ECLI:EU:C:2018:21</w:t>
      </w:r>
      <w:r>
        <w:t>.</w:t>
      </w:r>
    </w:p>
  </w:footnote>
  <w:footnote w:id="25">
    <w:p w14:paraId="02551681" w14:textId="77777777" w:rsidR="004705B8" w:rsidRDefault="0039598F">
      <w:pPr>
        <w:pStyle w:val="Voetnoottekst"/>
      </w:pPr>
      <w:r>
        <w:rPr>
          <w:rStyle w:val="Voetnootmarkering"/>
        </w:rPr>
        <w:footnoteRef/>
      </w:r>
      <w:r>
        <w:t xml:space="preserve"> </w:t>
      </w:r>
      <w:r>
        <w:tab/>
        <w:t>Considerans bij de richtlijn, overwegingen 35 en 36.</w:t>
      </w:r>
    </w:p>
  </w:footnote>
  <w:footnote w:id="26">
    <w:p w14:paraId="154CF8DB" w14:textId="77777777" w:rsidR="004705B8" w:rsidRDefault="0039598F">
      <w:pPr>
        <w:pStyle w:val="Voetnoottekst"/>
      </w:pPr>
      <w:r>
        <w:rPr>
          <w:rStyle w:val="Voetnootmarkering"/>
        </w:rPr>
        <w:footnoteRef/>
      </w:r>
      <w:r>
        <w:t xml:space="preserve"> </w:t>
      </w:r>
      <w:r>
        <w:tab/>
        <w:t>Considerans bij de richtlijn, overweging 51.</w:t>
      </w:r>
    </w:p>
  </w:footnote>
  <w:footnote w:id="27">
    <w:p w14:paraId="44F3A08F" w14:textId="77777777" w:rsidR="00883CDC" w:rsidRDefault="0039598F" w:rsidP="00883CDC">
      <w:pPr>
        <w:pStyle w:val="Voetnoottekst"/>
      </w:pPr>
      <w:r>
        <w:rPr>
          <w:rStyle w:val="Voetnootmarkering"/>
        </w:rPr>
        <w:footnoteRef/>
      </w:r>
      <w:r>
        <w:t xml:space="preserve"> </w:t>
      </w:r>
      <w:r>
        <w:tab/>
      </w:r>
      <w:r w:rsidRPr="00883CDC">
        <w:t>Overweging 34 van de considerans bij de richtlijn laat ook de mogelijkheid open dat meer bevoegde instanties, waaronder ook een belastingdienst, kunnen worden aangewezen.</w:t>
      </w:r>
    </w:p>
  </w:footnote>
  <w:footnote w:id="28">
    <w:p w14:paraId="516364DE" w14:textId="2CCAC291" w:rsidR="003E1386" w:rsidRDefault="0039598F" w:rsidP="003E1386">
      <w:pPr>
        <w:pStyle w:val="Voetnoottekst"/>
      </w:pPr>
      <w:r>
        <w:rPr>
          <w:rStyle w:val="Voetnootmarkering"/>
        </w:rPr>
        <w:footnoteRef/>
      </w:r>
      <w:r>
        <w:t xml:space="preserve"> </w:t>
      </w:r>
      <w:r>
        <w:tab/>
        <w:t>Zie bijvoorbeeld de reacties van Loyens &amp; Loeff, paragraaf 2.2, en de Gecombineerde Commissie Vennootschapsrecht van de Nederlandse Orde van Advocaten en de Koninklijke Notariële Beroepsorganisatie, nrs. 19 en 20.</w:t>
      </w:r>
    </w:p>
  </w:footnote>
  <w:footnote w:id="29">
    <w:p w14:paraId="6D216719" w14:textId="77777777" w:rsidR="003E1386" w:rsidRDefault="0039598F" w:rsidP="003E1386">
      <w:pPr>
        <w:pStyle w:val="Voetnoottekst"/>
      </w:pPr>
      <w:r>
        <w:rPr>
          <w:rStyle w:val="Voetnootmarkering"/>
        </w:rPr>
        <w:footnoteRef/>
      </w:r>
      <w:r>
        <w:t xml:space="preserve"> </w:t>
      </w:r>
      <w:r>
        <w:tab/>
        <w:t xml:space="preserve">Artikel 35 </w:t>
      </w:r>
      <w:r w:rsidRPr="00C62FD7">
        <w:t>Wet beëdigde tolken en vertalers</w:t>
      </w:r>
      <w:r>
        <w:t xml:space="preserve">; </w:t>
      </w:r>
      <w:r w:rsidRPr="00FD27CA">
        <w:t>W.J.M. van</w:t>
      </w:r>
      <w:r>
        <w:t xml:space="preserve"> Veen </w:t>
      </w:r>
      <w:r w:rsidRPr="00FD27CA">
        <w:t xml:space="preserve">e.a., </w:t>
      </w:r>
      <w:r w:rsidRPr="00FD27CA">
        <w:rPr>
          <w:i/>
          <w:iCs/>
        </w:rPr>
        <w:t>Grensoverschrijdende juridische fusies : de verschillende grondslagen, mogelijkheden en beperkingen</w:t>
      </w:r>
      <w:r w:rsidRPr="00FD27CA">
        <w:t>, Deventer</w:t>
      </w:r>
      <w:r>
        <w:t>:</w:t>
      </w:r>
      <w:r w:rsidRPr="00FD27CA">
        <w:t xml:space="preserve"> Kluwer 2015</w:t>
      </w:r>
      <w:r>
        <w:t>, paragraaf 2.6.2.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9A3F1" w14:textId="50582EB0"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EC4874">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D5664"/>
    <w:multiLevelType w:val="hybridMultilevel"/>
    <w:tmpl w:val="F0465C94"/>
    <w:lvl w:ilvl="0" w:tplc="65E80CD6">
      <w:start w:val="1"/>
      <w:numFmt w:val="decimal"/>
      <w:lvlText w:val="%1."/>
      <w:lvlJc w:val="left"/>
      <w:pPr>
        <w:ind w:left="1065" w:hanging="705"/>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1F6725B"/>
    <w:multiLevelType w:val="hybridMultilevel"/>
    <w:tmpl w:val="CFAA2C2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 w15:restartNumberingAfterBreak="0">
    <w:nsid w:val="399F40F6"/>
    <w:multiLevelType w:val="hybridMultilevel"/>
    <w:tmpl w:val="3DD476E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24150F8"/>
    <w:multiLevelType w:val="hybridMultilevel"/>
    <w:tmpl w:val="5B927E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58E18C3"/>
    <w:multiLevelType w:val="hybridMultilevel"/>
    <w:tmpl w:val="B32AFE2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9598F"/>
    <w:rsid w:val="003A1FC7"/>
    <w:rsid w:val="004421C1"/>
    <w:rsid w:val="004C120D"/>
    <w:rsid w:val="00503044"/>
    <w:rsid w:val="006260B7"/>
    <w:rsid w:val="006D3E6B"/>
    <w:rsid w:val="0071031E"/>
    <w:rsid w:val="00724C4B"/>
    <w:rsid w:val="00743D19"/>
    <w:rsid w:val="007D04C7"/>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EC4874"/>
    <w:rsid w:val="00EF6B75"/>
    <w:rsid w:val="00FF679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D2A6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semiHidden/>
    <w:unhideWhenUsed/>
    <w:rsid w:val="00FD27CA"/>
    <w:rPr>
      <w:vertAlign w:val="superscript"/>
    </w:rPr>
  </w:style>
  <w:style w:type="character" w:styleId="Verwijzingopmerking">
    <w:name w:val="annotation reference"/>
    <w:basedOn w:val="Standaardalinea-lettertype"/>
    <w:semiHidden/>
    <w:unhideWhenUsed/>
    <w:rsid w:val="00AB186C"/>
    <w:rPr>
      <w:sz w:val="16"/>
      <w:szCs w:val="16"/>
    </w:rPr>
  </w:style>
  <w:style w:type="paragraph" w:styleId="Tekstopmerking">
    <w:name w:val="annotation text"/>
    <w:basedOn w:val="Standaard"/>
    <w:link w:val="TekstopmerkingChar"/>
    <w:semiHidden/>
    <w:unhideWhenUsed/>
    <w:rsid w:val="00AB186C"/>
    <w:rPr>
      <w:sz w:val="20"/>
      <w:szCs w:val="20"/>
    </w:rPr>
  </w:style>
  <w:style w:type="character" w:customStyle="1" w:styleId="TekstopmerkingChar">
    <w:name w:val="Tekst opmerking Char"/>
    <w:basedOn w:val="Standaardalinea-lettertype"/>
    <w:link w:val="Tekstopmerking"/>
    <w:semiHidden/>
    <w:rsid w:val="00AB186C"/>
    <w:rPr>
      <w:rFonts w:ascii="Univers" w:hAnsi="Univers"/>
    </w:rPr>
  </w:style>
  <w:style w:type="paragraph" w:styleId="Onderwerpvanopmerking">
    <w:name w:val="annotation subject"/>
    <w:basedOn w:val="Tekstopmerking"/>
    <w:next w:val="Tekstopmerking"/>
    <w:link w:val="OnderwerpvanopmerkingChar"/>
    <w:semiHidden/>
    <w:unhideWhenUsed/>
    <w:rsid w:val="00AB186C"/>
    <w:rPr>
      <w:b/>
      <w:bCs/>
    </w:rPr>
  </w:style>
  <w:style w:type="character" w:customStyle="1" w:styleId="OnderwerpvanopmerkingChar">
    <w:name w:val="Onderwerp van opmerking Char"/>
    <w:basedOn w:val="TekstopmerkingChar"/>
    <w:link w:val="Onderwerpvanopmerking"/>
    <w:semiHidden/>
    <w:rsid w:val="00AB186C"/>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2908</ap:Words>
  <ap:Characters>16000</ap:Characters>
  <ap:DocSecurity>0</ap:DocSecurity>
  <ap:Lines>133</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18871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2022-12-07T10:15:00.0000000Z</dcterms:created>
  <dcterms:modified xsi:type="dcterms:W3CDTF">2022-12-07T10:15:00.0000000Z</dcterms:modified>
  <dc:description>------------------------</dc:description>
  <dc:subject/>
  <dc:title/>
  <keywords/>
  <version/>
  <category/>
</coreProperties>
</file>