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0258F" w:rsidR="00CB3578" w:rsidP="00E0258F" w:rsidRDefault="00E0258F">
            <w:pPr>
              <w:pStyle w:val="Amendement"/>
              <w:rPr>
                <w:rFonts w:ascii="Times New Roman" w:hAnsi="Times New Roman" w:cs="Times New Roman"/>
                <w:b w:val="0"/>
              </w:rPr>
            </w:pPr>
            <w:r w:rsidRPr="00E0258F">
              <w:rPr>
                <w:rFonts w:ascii="Times New Roman" w:hAnsi="Times New Roman" w:cs="Times New Roman"/>
                <w:b w:val="0"/>
              </w:rPr>
              <w:t>Bijgewerkt t/m nr. 7 (NvW d.d. 1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13355">
            <w:pPr>
              <w:rPr>
                <w:rFonts w:ascii="Times New Roman" w:hAnsi="Times New Roman"/>
                <w:b/>
                <w:sz w:val="24"/>
              </w:rPr>
            </w:pPr>
            <w:r>
              <w:rPr>
                <w:rFonts w:ascii="Times New Roman" w:hAnsi="Times New Roman"/>
                <w:b/>
                <w:sz w:val="24"/>
              </w:rPr>
              <w:t>35 482</w:t>
            </w:r>
          </w:p>
        </w:tc>
        <w:tc>
          <w:tcPr>
            <w:tcW w:w="6590" w:type="dxa"/>
            <w:tcBorders>
              <w:top w:val="nil"/>
              <w:left w:val="nil"/>
              <w:bottom w:val="nil"/>
              <w:right w:val="nil"/>
            </w:tcBorders>
          </w:tcPr>
          <w:p w:rsidRPr="00113355" w:rsidR="002A727C" w:rsidP="00113355" w:rsidRDefault="00113355">
            <w:pPr>
              <w:rPr>
                <w:rFonts w:ascii="Times New Roman" w:hAnsi="Times New Roman"/>
                <w:b/>
                <w:sz w:val="24"/>
              </w:rPr>
            </w:pPr>
            <w:r w:rsidRPr="00113355">
              <w:rPr>
                <w:rFonts w:ascii="Times New Roman" w:hAnsi="Times New Roman"/>
                <w:b/>
                <w:sz w:val="24"/>
              </w:rPr>
              <w:t>Wijziging van Boek 3 van het Burgerlijk Wetboek in verband met het opheffen van bedingen in het handelsverkeer die ertoe strekken vervreemding dan wel verpanding van geldvorderingen op naam tegen te gaan (Wet opheffing verpandingsverboden)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E48F6" w:rsidR="00113355" w:rsidP="00113355" w:rsidRDefault="001133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E48F6">
        <w:rPr>
          <w:rFonts w:ascii="Times New Roman" w:hAnsi="Times New Roman"/>
          <w:sz w:val="24"/>
          <w:szCs w:val="20"/>
        </w:rPr>
        <w:t>Wij Willem-Alexander, bij de gratie Gods, Koning der Nederlanden, Prins van Oranje-Nassau, enz. enz. enz.</w:t>
      </w:r>
    </w:p>
    <w:p w:rsidRPr="00113355" w:rsidR="00CB3578" w:rsidP="00113355" w:rsidRDefault="00CB3578">
      <w:pPr>
        <w:rPr>
          <w:rFonts w:ascii="Times New Roman" w:hAnsi="Times New Roman"/>
          <w:sz w:val="24"/>
        </w:rPr>
      </w:pP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Allen, die deze zullen zien of horen lezen, saluut! doen te weten:</w:t>
      </w: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Alzo Wij in overweging genomen hebben, dat het onwenselijk is dat partijen in het handelsverkeer overeenkomen dat geldvorderingen op naam voortvloeiend uit de uitoefening van een beroep of bedrijf niet kunnen worden overgedragen of verpand omdat dit de kredietverlening aan het bedrijfsleven belemmert;</w:t>
      </w: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Zo is het, dat Wij, de Afdeling advisering van de Raad van State gehoord, en met gemeen overleg der Staten-Generaal, hebben goedgevonden en verstaan, gelijk Wij goedvinden en verstaan bij deze:</w:t>
      </w:r>
    </w:p>
    <w:p w:rsidRPr="00113355"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b/>
          <w:bCs/>
          <w:sz w:val="24"/>
          <w:lang w:eastAsia="en-US"/>
        </w:rPr>
      </w:pPr>
    </w:p>
    <w:p w:rsidRPr="00113355" w:rsidR="00113355" w:rsidP="00113355" w:rsidRDefault="00113355">
      <w:pPr>
        <w:rPr>
          <w:rFonts w:ascii="Times New Roman" w:hAnsi="Times New Roman" w:eastAsiaTheme="minorHAnsi"/>
          <w:b/>
          <w:bCs/>
          <w:sz w:val="24"/>
          <w:lang w:eastAsia="en-US"/>
        </w:rPr>
      </w:pPr>
      <w:r w:rsidRPr="00113355">
        <w:rPr>
          <w:rFonts w:ascii="Times New Roman" w:hAnsi="Times New Roman" w:eastAsiaTheme="minorHAnsi"/>
          <w:b/>
          <w:bCs/>
          <w:sz w:val="24"/>
          <w:lang w:eastAsia="en-US"/>
        </w:rPr>
        <w:t>ARTIKEL I</w:t>
      </w:r>
    </w:p>
    <w:p w:rsidRPr="00113355" w:rsidR="00113355" w:rsidP="00113355" w:rsidRDefault="00113355">
      <w:pPr>
        <w:rPr>
          <w:rFonts w:ascii="Times New Roman" w:hAnsi="Times New Roman" w:eastAsiaTheme="minorHAnsi"/>
          <w:b/>
          <w:bCs/>
          <w:sz w:val="24"/>
          <w:lang w:eastAsia="en-US"/>
        </w:rPr>
      </w:pP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Boek 3 van het Burgerlijk Wetboek wordt als volgt gewijzigd:</w:t>
      </w:r>
    </w:p>
    <w:p w:rsidRPr="00113355" w:rsidR="00113355" w:rsidP="00113355" w:rsidRDefault="00113355">
      <w:pPr>
        <w:rPr>
          <w:rFonts w:ascii="Times New Roman" w:hAnsi="Times New Roman" w:eastAsiaTheme="minorHAnsi"/>
          <w:sz w:val="24"/>
          <w:lang w:eastAsia="en-US"/>
        </w:rPr>
      </w:pPr>
    </w:p>
    <w:p w:rsidRPr="00113355" w:rsidR="00113355" w:rsidP="00113355" w:rsidRDefault="00113355">
      <w:pPr>
        <w:rPr>
          <w:rFonts w:ascii="Times New Roman" w:hAnsi="Times New Roman" w:eastAsiaTheme="minorHAnsi"/>
          <w:sz w:val="24"/>
          <w:lang w:eastAsia="en-US"/>
        </w:rPr>
      </w:pPr>
      <w:r w:rsidRPr="00113355">
        <w:rPr>
          <w:rFonts w:ascii="Times New Roman" w:hAnsi="Times New Roman" w:eastAsiaTheme="minorHAnsi"/>
          <w:sz w:val="24"/>
          <w:lang w:eastAsia="en-US"/>
        </w:rPr>
        <w:t>A</w:t>
      </w:r>
    </w:p>
    <w:p w:rsidRPr="00113355" w:rsidR="00113355" w:rsidP="00113355" w:rsidRDefault="00113355">
      <w:pPr>
        <w:rPr>
          <w:rFonts w:ascii="Times New Roman" w:hAnsi="Times New Roman" w:eastAsiaTheme="minorHAnsi"/>
          <w:sz w:val="24"/>
          <w:lang w:eastAsia="en-US"/>
        </w:rPr>
      </w:pP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 xml:space="preserve">In artikel 83 wordt het derde lid vernummerd tot vijfde lid. Er worden een nieuw derde en vierde lid ingevoegd, luidende: </w:t>
      </w: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 xml:space="preserve">3. Uitsluiting van de overdraagbaarheid of verpandbaarheid is niet mogelijk als het een geldvordering op naam betreft die voortkomt uit de uitoefening van een beroep of bedrijf. Een beding tussen schuldeiser en schuldenaar dat ertoe strekt de overdraagbaarheid of verpandbaarheid van een dergelijke geldvordering geheel of gedeeltelijk uit te sluiten dan wel vervreemding of verpanding ervan tegen te gaan, is nietig. </w:t>
      </w: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 xml:space="preserve">4. Het voorgaande lid is niet van toepassing op geldvorderingen: </w:t>
      </w:r>
    </w:p>
    <w:p w:rsidRPr="00113355" w:rsidR="00113355" w:rsidP="00113355" w:rsidRDefault="00113355">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a. </w:t>
      </w:r>
      <w:r w:rsidRPr="00113355">
        <w:rPr>
          <w:rFonts w:ascii="Times New Roman" w:hAnsi="Times New Roman" w:eastAsiaTheme="minorHAnsi"/>
          <w:sz w:val="24"/>
          <w:lang w:eastAsia="en-US"/>
        </w:rPr>
        <w:t>uit hoofde van een betaal- of spaarrekening;</w:t>
      </w:r>
    </w:p>
    <w:p w:rsidRPr="00113355" w:rsidR="00113355" w:rsidP="00113355" w:rsidRDefault="00113355">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113355">
        <w:rPr>
          <w:rFonts w:ascii="Times New Roman" w:hAnsi="Times New Roman" w:eastAsiaTheme="minorHAnsi"/>
          <w:sz w:val="24"/>
          <w:lang w:eastAsia="en-US"/>
        </w:rPr>
        <w:t>uit hoofde van een krediet- of geldleningsovereenkomst waarbij aan de kant van de kredietgever meerdere partijen betrokken zijn of zullen zijn;</w:t>
      </w:r>
    </w:p>
    <w:p w:rsidRPr="00113355" w:rsidR="00113355" w:rsidP="00113355" w:rsidRDefault="00113355">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c. </w:t>
      </w:r>
      <w:r w:rsidRPr="00113355">
        <w:rPr>
          <w:rFonts w:ascii="Times New Roman" w:hAnsi="Times New Roman" w:eastAsiaTheme="minorHAnsi"/>
          <w:sz w:val="24"/>
          <w:lang w:eastAsia="en-US"/>
        </w:rPr>
        <w:t>van of op een clearinginstelling, als bedoeld in artikel 1:1 van de Wet op het financieel toezicht, dan wel een centrale tegenpartij, een afwikkelende instantie, een verrekeningsinstituut of een centrale bank, als bedoeld in artikel 212a, onderdelen c, d, e en g van de Faillissementswet;</w:t>
      </w:r>
    </w:p>
    <w:p w:rsidRPr="00113355" w:rsidR="00113355" w:rsidP="00113355" w:rsidRDefault="00113355">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r w:rsidRPr="00113355">
        <w:rPr>
          <w:rFonts w:ascii="Times New Roman" w:hAnsi="Times New Roman" w:eastAsiaTheme="minorHAnsi"/>
          <w:sz w:val="24"/>
          <w:lang w:eastAsia="en-US"/>
        </w:rPr>
        <w:t>die op grond van een overeenkomst als bedoeld in de artikelen 34, derde lid, 35, vijfde lid, of 35a, vierde lid, Invorderingswet 1990 zullen worden betaald op een bankrekening die wordt gehouden ten behoeve van de betaling van loonbelasting, omzetbelasting en sociale verzekeringspremies.</w:t>
      </w:r>
    </w:p>
    <w:p w:rsidRPr="00113355" w:rsidR="00113355" w:rsidP="00113355" w:rsidRDefault="00113355">
      <w:pPr>
        <w:rPr>
          <w:rFonts w:ascii="Times New Roman" w:hAnsi="Times New Roman" w:eastAsiaTheme="minorHAnsi"/>
          <w:sz w:val="24"/>
          <w:u w:val="single"/>
          <w:lang w:eastAsia="en-US"/>
        </w:rPr>
      </w:pPr>
    </w:p>
    <w:p w:rsidRPr="00113355" w:rsidR="00113355" w:rsidP="00113355" w:rsidRDefault="00113355">
      <w:pPr>
        <w:rPr>
          <w:rFonts w:ascii="Times New Roman" w:hAnsi="Times New Roman" w:eastAsiaTheme="minorHAnsi"/>
          <w:sz w:val="24"/>
          <w:lang w:eastAsia="en-US"/>
        </w:rPr>
      </w:pPr>
      <w:r w:rsidRPr="00113355">
        <w:rPr>
          <w:rFonts w:ascii="Times New Roman" w:hAnsi="Times New Roman" w:eastAsiaTheme="minorHAnsi"/>
          <w:sz w:val="24"/>
          <w:lang w:eastAsia="en-US"/>
        </w:rPr>
        <w:t>B</w:t>
      </w:r>
    </w:p>
    <w:p w:rsidRPr="00113355" w:rsidR="00113355" w:rsidP="00113355" w:rsidRDefault="00113355">
      <w:pPr>
        <w:rPr>
          <w:rFonts w:ascii="Times New Roman" w:hAnsi="Times New Roman" w:eastAsiaTheme="minorHAnsi"/>
          <w:sz w:val="24"/>
          <w:lang w:eastAsia="en-US"/>
        </w:rPr>
      </w:pPr>
    </w:p>
    <w:p w:rsidRPr="00113355" w:rsidR="00113355" w:rsidP="008D52E3"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Aan artikel 94 wordt een lid toegevoegd, luidende:</w:t>
      </w:r>
    </w:p>
    <w:p w:rsidR="00113355" w:rsidP="00E0258F" w:rsidRDefault="00E0258F">
      <w:pPr>
        <w:ind w:firstLine="284"/>
        <w:rPr>
          <w:rFonts w:ascii="Times New Roman" w:hAnsi="Times New Roman" w:eastAsiaTheme="minorHAnsi"/>
          <w:sz w:val="24"/>
          <w:lang w:eastAsia="en-US"/>
        </w:rPr>
      </w:pPr>
      <w:r w:rsidRPr="00E0258F">
        <w:rPr>
          <w:rFonts w:ascii="Times New Roman" w:hAnsi="Times New Roman" w:eastAsiaTheme="minorHAnsi"/>
          <w:sz w:val="24"/>
          <w:lang w:eastAsia="en-US"/>
        </w:rPr>
        <w:t>5. Indien een geldvordering als bedoeld in artikel 83 lid 3, eerste zin, wordt overgedragen, wordt de mededeling, bedoeld in lid 1 dan wel lid 3, schriftelijk gedaan. De voorgaande zin is niet van toepassing indien een geldvordering als bedoeld in artikel 83 lid 4 wordt overgedragen.</w:t>
      </w:r>
    </w:p>
    <w:p w:rsidRPr="00113355" w:rsidR="00E0258F" w:rsidP="00113355" w:rsidRDefault="00E0258F">
      <w:pPr>
        <w:rPr>
          <w:rFonts w:ascii="Times New Roman" w:hAnsi="Times New Roman" w:eastAsiaTheme="minorHAnsi"/>
          <w:sz w:val="24"/>
          <w:lang w:eastAsia="en-US"/>
        </w:rPr>
      </w:pPr>
    </w:p>
    <w:p w:rsidRPr="00113355" w:rsidR="00113355" w:rsidP="00113355" w:rsidRDefault="00113355">
      <w:pPr>
        <w:rPr>
          <w:rFonts w:ascii="Times New Roman" w:hAnsi="Times New Roman" w:eastAsiaTheme="minorHAnsi"/>
          <w:sz w:val="24"/>
          <w:lang w:eastAsia="en-US"/>
        </w:rPr>
      </w:pPr>
      <w:r w:rsidRPr="00113355">
        <w:rPr>
          <w:rFonts w:ascii="Times New Roman" w:hAnsi="Times New Roman" w:eastAsiaTheme="minorHAnsi"/>
          <w:sz w:val="24"/>
          <w:lang w:eastAsia="en-US"/>
        </w:rPr>
        <w:t>C</w:t>
      </w:r>
    </w:p>
    <w:p w:rsidRPr="00113355" w:rsidR="00113355" w:rsidP="00113355" w:rsidRDefault="00113355">
      <w:pPr>
        <w:rPr>
          <w:rFonts w:ascii="Times New Roman" w:hAnsi="Times New Roman" w:eastAsiaTheme="minorHAnsi"/>
          <w:sz w:val="24"/>
          <w:lang w:eastAsia="en-US"/>
        </w:rPr>
      </w:pP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Aan artikel 239 wordt een lid toegevoegd, luidende:</w:t>
      </w:r>
    </w:p>
    <w:p w:rsidR="00113355" w:rsidP="00113355" w:rsidRDefault="00E0258F">
      <w:pPr>
        <w:rPr>
          <w:rFonts w:ascii="Times New Roman" w:hAnsi="Times New Roman" w:eastAsiaTheme="minorHAnsi"/>
          <w:sz w:val="24"/>
          <w:lang w:eastAsia="en-US"/>
        </w:rPr>
      </w:pPr>
      <w:r w:rsidRPr="00E0258F">
        <w:rPr>
          <w:rFonts w:ascii="Times New Roman" w:hAnsi="Times New Roman" w:eastAsiaTheme="minorHAnsi"/>
          <w:sz w:val="24"/>
          <w:lang w:eastAsia="en-US"/>
        </w:rPr>
        <w:tab/>
        <w:t>5. Indien het pandrecht is gevestigd op een geldvordering als bedoeld in artikel 83 lid 3, eerste zin, wordt de mededeling, bedoeld in lid 3, schriftelijk gedaan. De voorgaande zin is niet van toepassing indien het pandrecht is gevestigd op een geldvordering als bedoeld in artikel 83 lid 4.</w:t>
      </w:r>
    </w:p>
    <w:p w:rsidRPr="00113355" w:rsidR="00E0258F" w:rsidP="00113355" w:rsidRDefault="00E0258F">
      <w:pPr>
        <w:rPr>
          <w:rFonts w:ascii="Times New Roman" w:hAnsi="Times New Roman" w:eastAsiaTheme="minorHAnsi"/>
          <w:sz w:val="24"/>
          <w:lang w:eastAsia="en-US"/>
        </w:rPr>
      </w:pPr>
      <w:bookmarkStart w:name="_GoBack" w:id="0"/>
      <w:bookmarkEnd w:id="0"/>
    </w:p>
    <w:p w:rsidR="00113355" w:rsidP="00113355" w:rsidRDefault="00113355">
      <w:pPr>
        <w:rPr>
          <w:rFonts w:ascii="Times New Roman" w:hAnsi="Times New Roman" w:eastAsiaTheme="minorHAnsi"/>
          <w:b/>
          <w:bCs/>
          <w:sz w:val="24"/>
          <w:lang w:eastAsia="en-US"/>
        </w:rPr>
      </w:pPr>
    </w:p>
    <w:p w:rsidRPr="00113355" w:rsidR="00113355" w:rsidP="00113355" w:rsidRDefault="00113355">
      <w:pPr>
        <w:rPr>
          <w:rFonts w:ascii="Times New Roman" w:hAnsi="Times New Roman" w:eastAsiaTheme="minorHAnsi"/>
          <w:b/>
          <w:bCs/>
          <w:sz w:val="24"/>
          <w:lang w:eastAsia="en-US"/>
        </w:rPr>
      </w:pPr>
      <w:r w:rsidRPr="00113355">
        <w:rPr>
          <w:rFonts w:ascii="Times New Roman" w:hAnsi="Times New Roman" w:eastAsiaTheme="minorHAnsi"/>
          <w:b/>
          <w:bCs/>
          <w:sz w:val="24"/>
          <w:lang w:eastAsia="en-US"/>
        </w:rPr>
        <w:t>ARTIKEL II</w:t>
      </w:r>
    </w:p>
    <w:p w:rsidRPr="00113355" w:rsidR="00113355" w:rsidP="00113355" w:rsidRDefault="00113355">
      <w:pPr>
        <w:rPr>
          <w:rFonts w:ascii="Times New Roman" w:hAnsi="Times New Roman" w:eastAsiaTheme="minorHAnsi"/>
          <w:b/>
          <w:bCs/>
          <w:sz w:val="24"/>
          <w:lang w:eastAsia="en-US"/>
        </w:rPr>
      </w:pPr>
    </w:p>
    <w:p w:rsidRPr="00113355" w:rsidR="00113355" w:rsidP="00113355" w:rsidRDefault="00113355">
      <w:pPr>
        <w:ind w:firstLine="284"/>
        <w:rPr>
          <w:rFonts w:ascii="Times New Roman" w:hAnsi="Times New Roman" w:eastAsia="Calibri"/>
          <w:sz w:val="24"/>
          <w:lang w:eastAsia="en-US"/>
        </w:rPr>
      </w:pPr>
      <w:r w:rsidRPr="00113355">
        <w:rPr>
          <w:rFonts w:ascii="Times New Roman" w:hAnsi="Times New Roman" w:eastAsia="Calibri"/>
          <w:sz w:val="24"/>
          <w:lang w:eastAsia="en-US"/>
        </w:rPr>
        <w:t>In de Overgangswet nieuw Burgerlijk Wetboek wordt na artikel 85 een artikel ingevoegd, luidende:</w:t>
      </w:r>
    </w:p>
    <w:p w:rsidRPr="00113355" w:rsidR="00113355" w:rsidP="00113355" w:rsidRDefault="00113355">
      <w:pPr>
        <w:rPr>
          <w:rFonts w:ascii="Times New Roman" w:hAnsi="Times New Roman" w:eastAsia="Calibri"/>
          <w:sz w:val="24"/>
          <w:lang w:eastAsia="en-US"/>
        </w:rPr>
      </w:pPr>
    </w:p>
    <w:p w:rsidRPr="009B58BE" w:rsidR="00113355" w:rsidP="00113355" w:rsidRDefault="00113355">
      <w:pPr>
        <w:rPr>
          <w:rFonts w:ascii="Times New Roman" w:hAnsi="Times New Roman" w:eastAsia="Calibri"/>
          <w:b/>
          <w:sz w:val="24"/>
          <w:lang w:eastAsia="en-US"/>
        </w:rPr>
      </w:pPr>
      <w:r w:rsidRPr="009B58BE">
        <w:rPr>
          <w:rFonts w:ascii="Times New Roman" w:hAnsi="Times New Roman" w:eastAsia="Calibri"/>
          <w:b/>
          <w:sz w:val="24"/>
          <w:lang w:eastAsia="en-US"/>
        </w:rPr>
        <w:t>Artikel 85a</w:t>
      </w:r>
    </w:p>
    <w:p w:rsidRPr="00113355" w:rsidR="00113355" w:rsidP="00113355" w:rsidRDefault="00113355">
      <w:pPr>
        <w:rPr>
          <w:rFonts w:ascii="Times New Roman" w:hAnsi="Times New Roman" w:eastAsia="Calibri"/>
          <w:sz w:val="24"/>
          <w:lang w:eastAsia="en-US"/>
        </w:rPr>
      </w:pPr>
    </w:p>
    <w:p w:rsidRPr="00113355" w:rsidR="00113355" w:rsidP="00113355" w:rsidRDefault="00113355">
      <w:pPr>
        <w:ind w:firstLine="284"/>
        <w:rPr>
          <w:rFonts w:ascii="Times New Roman" w:hAnsi="Times New Roman" w:eastAsia="Calibri"/>
          <w:sz w:val="24"/>
          <w:lang w:eastAsia="en-US"/>
        </w:rPr>
      </w:pPr>
      <w:r w:rsidRPr="00113355">
        <w:rPr>
          <w:rFonts w:ascii="Times New Roman" w:hAnsi="Times New Roman" w:eastAsia="Calibri"/>
          <w:sz w:val="24"/>
          <w:lang w:eastAsia="en-US"/>
        </w:rPr>
        <w:t xml:space="preserve">De nietigheid, bedoeld in artikel 83, derde lid, tweede zin, van Boek 3 van het Burgerlijk Wetboek geldt, in afwijking van artikel 79, voor bestaande bedingen vanaf </w:t>
      </w:r>
      <w:r w:rsidRPr="00113355">
        <w:rPr>
          <w:rFonts w:ascii="Times New Roman" w:hAnsi="Times New Roman" w:eastAsiaTheme="minorHAnsi"/>
          <w:sz w:val="24"/>
          <w:lang w:eastAsia="en-US"/>
        </w:rPr>
        <w:t xml:space="preserve">drie maanden na </w:t>
      </w:r>
      <w:r w:rsidRPr="00113355">
        <w:rPr>
          <w:rFonts w:ascii="Times New Roman" w:hAnsi="Times New Roman" w:eastAsiaTheme="minorHAnsi"/>
          <w:color w:val="000000"/>
          <w:sz w:val="24"/>
          <w:lang w:eastAsia="en-US"/>
        </w:rPr>
        <w:t xml:space="preserve">het tijdstip van </w:t>
      </w:r>
      <w:r w:rsidRPr="00113355">
        <w:rPr>
          <w:rFonts w:ascii="Times New Roman" w:hAnsi="Times New Roman" w:eastAsia="Calibri"/>
          <w:sz w:val="24"/>
          <w:lang w:eastAsia="en-US"/>
        </w:rPr>
        <w:t xml:space="preserve">inwerkingtreding van de Wet opheffing verpandingsverboden. </w:t>
      </w:r>
    </w:p>
    <w:p w:rsidRPr="00113355"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b/>
          <w:bCs/>
          <w:sz w:val="24"/>
          <w:lang w:eastAsia="en-US"/>
        </w:rPr>
      </w:pPr>
    </w:p>
    <w:p w:rsidRPr="00113355" w:rsidR="00113355" w:rsidP="00113355" w:rsidRDefault="00113355">
      <w:pPr>
        <w:rPr>
          <w:rFonts w:ascii="Times New Roman" w:hAnsi="Times New Roman" w:eastAsiaTheme="minorHAnsi"/>
          <w:b/>
          <w:bCs/>
          <w:sz w:val="24"/>
          <w:lang w:eastAsia="en-US"/>
        </w:rPr>
      </w:pPr>
      <w:r w:rsidRPr="00113355">
        <w:rPr>
          <w:rFonts w:ascii="Times New Roman" w:hAnsi="Times New Roman" w:eastAsiaTheme="minorHAnsi"/>
          <w:b/>
          <w:bCs/>
          <w:sz w:val="24"/>
          <w:lang w:eastAsia="en-US"/>
        </w:rPr>
        <w:t>ARTIKEL III</w:t>
      </w:r>
    </w:p>
    <w:p w:rsidRPr="00113355" w:rsidR="00113355" w:rsidP="00113355" w:rsidRDefault="00113355">
      <w:pPr>
        <w:rPr>
          <w:rFonts w:ascii="Times New Roman" w:hAnsi="Times New Roman" w:eastAsiaTheme="minorHAnsi"/>
          <w:b/>
          <w:bCs/>
          <w:sz w:val="24"/>
          <w:lang w:eastAsia="en-US"/>
        </w:rPr>
      </w:pP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 xml:space="preserve">Deze wet treedt in werking op een bij koninklijk besluit te bepalen tijdstip, dat voor de verschillende artikelen of onderdelen daarvan verschillend kan worden vastgesteld. </w:t>
      </w:r>
    </w:p>
    <w:p w:rsidRPr="00113355"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b/>
          <w:bCs/>
          <w:sz w:val="24"/>
          <w:lang w:eastAsia="en-US"/>
        </w:rPr>
      </w:pPr>
    </w:p>
    <w:p w:rsidRPr="00113355" w:rsidR="00113355" w:rsidP="00113355" w:rsidRDefault="00113355">
      <w:pPr>
        <w:rPr>
          <w:rFonts w:ascii="Times New Roman" w:hAnsi="Times New Roman" w:eastAsiaTheme="minorHAnsi"/>
          <w:b/>
          <w:bCs/>
          <w:sz w:val="24"/>
          <w:lang w:eastAsia="en-US"/>
        </w:rPr>
      </w:pPr>
      <w:r w:rsidRPr="00113355">
        <w:rPr>
          <w:rFonts w:ascii="Times New Roman" w:hAnsi="Times New Roman" w:eastAsiaTheme="minorHAnsi"/>
          <w:b/>
          <w:bCs/>
          <w:sz w:val="24"/>
          <w:lang w:eastAsia="en-US"/>
        </w:rPr>
        <w:t>ARTIKEL IV</w:t>
      </w:r>
    </w:p>
    <w:p w:rsidRPr="00113355" w:rsidR="00113355" w:rsidP="00113355" w:rsidRDefault="00113355">
      <w:pPr>
        <w:rPr>
          <w:rFonts w:ascii="Times New Roman" w:hAnsi="Times New Roman" w:eastAsiaTheme="minorHAnsi"/>
          <w:b/>
          <w:bCs/>
          <w:sz w:val="24"/>
          <w:lang w:eastAsia="en-US"/>
        </w:rPr>
      </w:pP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Deze wet wordt aangehaald als: Wet opheffing verpandingsverboden.</w:t>
      </w:r>
    </w:p>
    <w:p w:rsidRPr="00113355"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sz w:val="24"/>
          <w:lang w:eastAsia="en-US"/>
        </w:rPr>
      </w:pPr>
    </w:p>
    <w:p w:rsidRPr="00113355" w:rsidR="00113355" w:rsidP="00113355" w:rsidRDefault="00113355">
      <w:pPr>
        <w:ind w:firstLine="284"/>
        <w:rPr>
          <w:rFonts w:ascii="Times New Roman" w:hAnsi="Times New Roman" w:eastAsiaTheme="minorHAnsi"/>
          <w:sz w:val="24"/>
          <w:lang w:eastAsia="en-US"/>
        </w:rPr>
      </w:pPr>
      <w:r w:rsidRPr="00113355">
        <w:rPr>
          <w:rFonts w:ascii="Times New Roman" w:hAnsi="Times New Roman" w:eastAsiaTheme="minorHAnsi"/>
          <w:sz w:val="24"/>
          <w:lang w:eastAsia="en-US"/>
        </w:rPr>
        <w:t>Lasten en bevelen dat deze in het Staatsblad zal worden geplaatst en dat alle ministeries, autoriteiten, colleges en ambtenaren die zulks aangaat, aan de nauwkeurige uitvoering de hand zullen houden.</w:t>
      </w:r>
    </w:p>
    <w:p w:rsidRPr="00113355" w:rsidR="00113355" w:rsidP="00113355" w:rsidRDefault="00113355">
      <w:pPr>
        <w:rPr>
          <w:rFonts w:ascii="Times New Roman" w:hAnsi="Times New Roman" w:eastAsiaTheme="minorHAnsi"/>
          <w:sz w:val="24"/>
          <w:lang w:eastAsia="en-US"/>
        </w:rPr>
      </w:pPr>
    </w:p>
    <w:p w:rsidRPr="00113355" w:rsidR="00113355" w:rsidP="00113355" w:rsidRDefault="00113355">
      <w:pPr>
        <w:rPr>
          <w:rFonts w:ascii="Times New Roman" w:hAnsi="Times New Roman" w:eastAsiaTheme="minorHAnsi"/>
          <w:sz w:val="24"/>
          <w:lang w:eastAsia="en-US"/>
        </w:rPr>
      </w:pPr>
      <w:r>
        <w:rPr>
          <w:rFonts w:ascii="Times New Roman" w:hAnsi="Times New Roman" w:eastAsiaTheme="minorHAnsi"/>
          <w:sz w:val="24"/>
          <w:lang w:eastAsia="en-US"/>
        </w:rPr>
        <w:t>Gegeven</w:t>
      </w:r>
    </w:p>
    <w:p w:rsidRPr="00113355" w:rsidR="00113355" w:rsidP="00113355" w:rsidRDefault="00113355">
      <w:pPr>
        <w:rPr>
          <w:rFonts w:ascii="Times New Roman" w:hAnsi="Times New Roman" w:eastAsiaTheme="minorHAnsi"/>
          <w:sz w:val="24"/>
          <w:lang w:eastAsia="en-US"/>
        </w:rPr>
      </w:pPr>
    </w:p>
    <w:p w:rsidRPr="00113355"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sz w:val="24"/>
          <w:lang w:eastAsia="en-US"/>
        </w:rPr>
      </w:pPr>
    </w:p>
    <w:p w:rsidR="00113355" w:rsidP="00113355" w:rsidRDefault="00113355">
      <w:pPr>
        <w:rPr>
          <w:rFonts w:ascii="Times New Roman" w:hAnsi="Times New Roman" w:eastAsiaTheme="minorHAnsi"/>
          <w:sz w:val="24"/>
          <w:lang w:eastAsia="en-US"/>
        </w:rPr>
      </w:pPr>
    </w:p>
    <w:p w:rsidRPr="00113355" w:rsidR="00113355" w:rsidP="00113355" w:rsidRDefault="00113355">
      <w:pPr>
        <w:rPr>
          <w:rFonts w:ascii="Times New Roman" w:hAnsi="Times New Roman" w:eastAsiaTheme="minorHAnsi"/>
          <w:sz w:val="24"/>
          <w:lang w:eastAsia="en-US"/>
        </w:rPr>
      </w:pPr>
      <w:r w:rsidRPr="00113355">
        <w:rPr>
          <w:rFonts w:ascii="Times New Roman" w:hAnsi="Times New Roman" w:eastAsiaTheme="minorHAnsi"/>
          <w:sz w:val="24"/>
          <w:lang w:eastAsia="en-US"/>
        </w:rPr>
        <w:t>De Minister voor Rechtsbescherming,</w:t>
      </w:r>
    </w:p>
    <w:sectPr w:rsidRPr="00113355" w:rsidR="0011335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355" w:rsidRDefault="00113355">
      <w:pPr>
        <w:spacing w:line="20" w:lineRule="exact"/>
      </w:pPr>
    </w:p>
  </w:endnote>
  <w:endnote w:type="continuationSeparator" w:id="0">
    <w:p w:rsidR="00113355" w:rsidRDefault="00113355">
      <w:pPr>
        <w:pStyle w:val="Amendement"/>
      </w:pPr>
      <w:r>
        <w:rPr>
          <w:b w:val="0"/>
          <w:bCs w:val="0"/>
        </w:rPr>
        <w:t xml:space="preserve"> </w:t>
      </w:r>
    </w:p>
  </w:endnote>
  <w:endnote w:type="continuationNotice" w:id="1">
    <w:p w:rsidR="00113355" w:rsidRDefault="001133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0258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355" w:rsidRDefault="00113355">
      <w:pPr>
        <w:pStyle w:val="Amendement"/>
      </w:pPr>
      <w:r>
        <w:rPr>
          <w:b w:val="0"/>
          <w:bCs w:val="0"/>
        </w:rPr>
        <w:separator/>
      </w:r>
    </w:p>
  </w:footnote>
  <w:footnote w:type="continuationSeparator" w:id="0">
    <w:p w:rsidR="00113355" w:rsidRDefault="0011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075B3"/>
    <w:multiLevelType w:val="hybridMultilevel"/>
    <w:tmpl w:val="9ABEF6D6"/>
    <w:lvl w:ilvl="0" w:tplc="A6405404">
      <w:start w:val="1"/>
      <w:numFmt w:val="lowerLetter"/>
      <w:lvlText w:val="%1."/>
      <w:lvlJc w:val="left"/>
      <w:pPr>
        <w:ind w:left="600" w:hanging="60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55"/>
    <w:rsid w:val="00012DBE"/>
    <w:rsid w:val="000A1D81"/>
    <w:rsid w:val="00111ED3"/>
    <w:rsid w:val="00113355"/>
    <w:rsid w:val="001C190E"/>
    <w:rsid w:val="002168F4"/>
    <w:rsid w:val="002A727C"/>
    <w:rsid w:val="005B2E98"/>
    <w:rsid w:val="005D2707"/>
    <w:rsid w:val="00606255"/>
    <w:rsid w:val="006B607A"/>
    <w:rsid w:val="007D451C"/>
    <w:rsid w:val="00826224"/>
    <w:rsid w:val="008D52E3"/>
    <w:rsid w:val="00930A23"/>
    <w:rsid w:val="009B58BE"/>
    <w:rsid w:val="009C7354"/>
    <w:rsid w:val="009E6D7F"/>
    <w:rsid w:val="00A11E73"/>
    <w:rsid w:val="00A2521E"/>
    <w:rsid w:val="00AE436A"/>
    <w:rsid w:val="00C135B1"/>
    <w:rsid w:val="00C92DF8"/>
    <w:rsid w:val="00CB3578"/>
    <w:rsid w:val="00D20AFA"/>
    <w:rsid w:val="00D55648"/>
    <w:rsid w:val="00E0258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C9AC3"/>
  <w15:docId w15:val="{903295D9-20C1-40C3-8AA0-FBF4B8F8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8D52E3"/>
    <w:rPr>
      <w:rFonts w:ascii="Segoe UI" w:hAnsi="Segoe UI" w:cs="Segoe UI"/>
      <w:sz w:val="18"/>
      <w:szCs w:val="18"/>
    </w:rPr>
  </w:style>
  <w:style w:type="character" w:customStyle="1" w:styleId="BallontekstChar">
    <w:name w:val="Ballontekst Char"/>
    <w:basedOn w:val="Standaardalinea-lettertype"/>
    <w:link w:val="Ballontekst"/>
    <w:semiHidden/>
    <w:rsid w:val="008D5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620</ap:Words>
  <ap:Characters>3447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2020-06-03T08:34:00.0000000Z</lastPrinted>
  <dcterms:created xsi:type="dcterms:W3CDTF">2022-12-01T14:21:00.0000000Z</dcterms:created>
  <dcterms:modified xsi:type="dcterms:W3CDTF">2022-12-01T14:21:00.0000000Z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