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6B" w:rsidRDefault="00256693">
      <w:pPr>
        <w:pStyle w:val="Notitiekopongenummerd"/>
      </w:pPr>
      <w:r>
        <w:t>Aanleiding</w:t>
      </w:r>
    </w:p>
    <w:p w:rsidR="00070C5D" w:rsidP="00456970" w:rsidRDefault="006061E4">
      <w:r>
        <w:t>Eind 2019</w:t>
      </w:r>
      <w:r w:rsidR="00136BE5">
        <w:t xml:space="preserve"> </w:t>
      </w:r>
      <w:r w:rsidR="00DE5EDA">
        <w:t xml:space="preserve">presenteerde het vorige kabinet de Groeistrategie. </w:t>
      </w:r>
      <w:r w:rsidR="00A116A3">
        <w:t>De strategie gaat in de kern</w:t>
      </w:r>
      <w:r w:rsidR="0096585C">
        <w:t xml:space="preserve"> om het aanjagen van productiviteitsgroei, met oog voor “</w:t>
      </w:r>
      <w:r w:rsidRPr="0096585C" w:rsidR="0096585C">
        <w:t>een economische, sociale en milieuvriendelijke duurzame toekomst voor de aarde en voor de huidige en toekomstige generaties in heel Nederland</w:t>
      </w:r>
      <w:r w:rsidR="0096585C">
        <w:t xml:space="preserve">”. </w:t>
      </w:r>
      <w:r w:rsidR="00456970">
        <w:t xml:space="preserve">De </w:t>
      </w:r>
      <w:r w:rsidR="00A116A3">
        <w:t xml:space="preserve">analyse van de </w:t>
      </w:r>
      <w:r w:rsidR="00456970">
        <w:t xml:space="preserve">Groeistrategie </w:t>
      </w:r>
      <w:r w:rsidR="00A116A3">
        <w:t>ligt ten</w:t>
      </w:r>
      <w:r w:rsidR="00136BE5">
        <w:t xml:space="preserve"> grondslag aan de oprichting van het </w:t>
      </w:r>
      <w:r w:rsidR="00456970">
        <w:t xml:space="preserve">Nationaal </w:t>
      </w:r>
      <w:r w:rsidR="00136BE5">
        <w:t>G</w:t>
      </w:r>
      <w:r w:rsidR="00456970">
        <w:t xml:space="preserve">roeifonds (NGF). </w:t>
      </w:r>
      <w:r w:rsidR="00070C5D">
        <w:t xml:space="preserve">Daarmee </w:t>
      </w:r>
      <w:r w:rsidR="0096585C">
        <w:t>wordt</w:t>
      </w:r>
      <w:r w:rsidR="00070C5D">
        <w:t xml:space="preserve"> een investering van in totaal 20 miljard euro </w:t>
      </w:r>
      <w:r w:rsidR="00A116A3">
        <w:t>beoogd</w:t>
      </w:r>
      <w:r w:rsidR="0096585C">
        <w:t xml:space="preserve"> in de periode 2021</w:t>
      </w:r>
      <w:r w:rsidR="00070C5D">
        <w:t xml:space="preserve">-2025. </w:t>
      </w:r>
    </w:p>
    <w:p w:rsidR="00070C5D" w:rsidP="00456970" w:rsidRDefault="00070C5D"/>
    <w:p w:rsidR="00456970" w:rsidP="00456970" w:rsidRDefault="00136BE5">
      <w:r>
        <w:t xml:space="preserve">Ten tijde van de begrotingsbehandeling van het ministerie van EZK </w:t>
      </w:r>
      <w:r w:rsidR="00456970">
        <w:t xml:space="preserve">op </w:t>
      </w:r>
      <w:r w:rsidR="0096585C">
        <w:t>22 november 2022</w:t>
      </w:r>
      <w:r w:rsidR="00456970">
        <w:t xml:space="preserve"> </w:t>
      </w:r>
      <w:r w:rsidR="00A116A3">
        <w:t>is</w:t>
      </w:r>
      <w:r>
        <w:t xml:space="preserve"> </w:t>
      </w:r>
      <w:r w:rsidR="00A116A3">
        <w:t xml:space="preserve">er </w:t>
      </w:r>
      <w:r w:rsidR="0096585C">
        <w:t>ruim anderhalf jaar verstreken sinds de eerste projecten zijn geselecteerd</w:t>
      </w:r>
      <w:r w:rsidR="00456970">
        <w:t xml:space="preserve">. Het lid </w:t>
      </w:r>
      <w:proofErr w:type="spellStart"/>
      <w:r w:rsidR="00456970">
        <w:t>Grevink</w:t>
      </w:r>
      <w:proofErr w:type="spellEnd"/>
      <w:r w:rsidR="00456970">
        <w:t xml:space="preserve"> richt zich als rapporteur op </w:t>
      </w:r>
      <w:r w:rsidR="0096585C">
        <w:t xml:space="preserve">wat er </w:t>
      </w:r>
      <w:r w:rsidR="007F1F8A">
        <w:t>tot op heden gebeurd</w:t>
      </w:r>
      <w:r w:rsidR="0096585C">
        <w:t xml:space="preserve"> is, wat </w:t>
      </w:r>
      <w:r w:rsidR="007F1F8A">
        <w:t>de plannen voor 2023 zijn</w:t>
      </w:r>
      <w:r w:rsidR="0096585C">
        <w:t xml:space="preserve"> </w:t>
      </w:r>
      <w:r w:rsidR="007F1F8A">
        <w:t xml:space="preserve">en wat aandachtspunten voor de commissie zijn. </w:t>
      </w:r>
    </w:p>
    <w:p w:rsidR="007F1F8A" w:rsidP="00456970" w:rsidRDefault="007F1F8A"/>
    <w:p w:rsidR="007F1F8A" w:rsidP="00456970" w:rsidRDefault="007F1F8A">
      <w:r>
        <w:t xml:space="preserve">Dit rapporteursverslag kunt u gebruiken </w:t>
      </w:r>
      <w:r w:rsidR="009B3E62">
        <w:t>ter</w:t>
      </w:r>
      <w:r>
        <w:t xml:space="preserve"> voorbereiding op het debat over de begroting van het ministerie van Economische Zaken en Klimaat en de begroting van het Nationaal Groeifonds op dinsdag 22 en woensdag 23 november. </w:t>
      </w:r>
    </w:p>
    <w:p w:rsidR="00A116A3" w:rsidRDefault="00A116A3">
      <w:pPr>
        <w:spacing w:line="240" w:lineRule="auto"/>
      </w:pPr>
    </w:p>
    <w:p w:rsidR="0047016B" w:rsidP="007F1F8A" w:rsidRDefault="00256693">
      <w:pPr>
        <w:spacing w:line="240" w:lineRule="auto"/>
        <w:rPr>
          <w:b/>
        </w:rPr>
      </w:pPr>
      <w:r w:rsidRPr="007F1F8A">
        <w:rPr>
          <w:b/>
        </w:rPr>
        <w:t>Kernpunten</w:t>
      </w:r>
    </w:p>
    <w:p w:rsidR="007F1F8A" w:rsidP="007F1F8A" w:rsidRDefault="007F1F8A">
      <w:pPr>
        <w:spacing w:line="240" w:lineRule="auto"/>
        <w:rPr>
          <w:b/>
        </w:rPr>
      </w:pPr>
    </w:p>
    <w:p w:rsidR="007F1F8A" w:rsidP="007F1F8A" w:rsidRDefault="007F1F8A">
      <w:pPr>
        <w:pStyle w:val="Lijstalinea"/>
        <w:numPr>
          <w:ilvl w:val="0"/>
          <w:numId w:val="14"/>
        </w:numPr>
        <w:ind w:left="357" w:hanging="357"/>
      </w:pPr>
      <w:r>
        <w:t xml:space="preserve">Het is </w:t>
      </w:r>
      <w:r w:rsidR="00803230">
        <w:t>onduidelijk</w:t>
      </w:r>
      <w:r>
        <w:t xml:space="preserve"> hoe</w:t>
      </w:r>
      <w:r w:rsidR="00803230">
        <w:t xml:space="preserve"> in de praktijk</w:t>
      </w:r>
      <w:r>
        <w:t xml:space="preserve"> </w:t>
      </w:r>
      <w:r w:rsidR="00803230">
        <w:t xml:space="preserve">precies </w:t>
      </w:r>
      <w:r>
        <w:t xml:space="preserve">gestuurd wordt op </w:t>
      </w:r>
      <w:r w:rsidR="00803230">
        <w:t xml:space="preserve">maximaal doelbereik en randvoorwaarden, zoals geformuleerd in de Groeistrategie en </w:t>
      </w:r>
      <w:r w:rsidR="00FA561E">
        <w:t xml:space="preserve">in </w:t>
      </w:r>
      <w:r w:rsidR="00803230">
        <w:t xml:space="preserve">navolgende moties van de Kamer. </w:t>
      </w:r>
    </w:p>
    <w:p w:rsidR="007F1F8A" w:rsidP="007F1F8A" w:rsidRDefault="007F1F8A">
      <w:pPr>
        <w:pStyle w:val="Lijstalinea"/>
        <w:numPr>
          <w:ilvl w:val="0"/>
          <w:numId w:val="14"/>
        </w:numPr>
        <w:ind w:left="357" w:hanging="357"/>
      </w:pPr>
      <w:r>
        <w:t xml:space="preserve">In 2022 is naar verwachting pas 3% van de fondsmiddelen uitgekeerd aan projecten. </w:t>
      </w:r>
      <w:r w:rsidR="00803230">
        <w:t>Lange</w:t>
      </w:r>
      <w:r>
        <w:t xml:space="preserve"> aanlooptijden kunnen </w:t>
      </w:r>
      <w:r w:rsidR="009B3E62">
        <w:t>mogelijk</w:t>
      </w:r>
      <w:r>
        <w:t xml:space="preserve"> ten koste gaan van de impact van de fondsmiddelen.</w:t>
      </w:r>
    </w:p>
    <w:p w:rsidRPr="007F1F8A" w:rsidR="00803230" w:rsidP="007F1F8A" w:rsidRDefault="00803230">
      <w:pPr>
        <w:pStyle w:val="Lijstalinea"/>
        <w:numPr>
          <w:ilvl w:val="0"/>
          <w:numId w:val="14"/>
        </w:numPr>
        <w:ind w:left="357" w:hanging="357"/>
      </w:pPr>
      <w:r>
        <w:t>Parlementaire controle is nog niet voldoende vormgegeven. Tussentijdse evaluaties</w:t>
      </w:r>
      <w:r w:rsidR="00FA561E">
        <w:t xml:space="preserve"> en onderzoek</w:t>
      </w:r>
      <w:r>
        <w:t xml:space="preserve"> zijn belangrijk</w:t>
      </w:r>
      <w:r w:rsidR="009B3E62">
        <w:t xml:space="preserve"> voor bijsturing</w:t>
      </w:r>
      <w:r>
        <w:t>, maar deze komen op een moment dat het merendeel van de fondsmiddelen zijn toegekend.</w:t>
      </w:r>
    </w:p>
    <w:p w:rsidR="0047016B" w:rsidRDefault="0047016B"/>
    <w:p w:rsidR="0047016B" w:rsidRDefault="0047016B"/>
    <w:p w:rsidR="00456970" w:rsidRDefault="00456970">
      <w:pPr>
        <w:spacing w:line="240" w:lineRule="auto"/>
      </w:pPr>
      <w:r>
        <w:br w:type="page"/>
      </w:r>
    </w:p>
    <w:p w:rsidR="00456970" w:rsidP="004322DB" w:rsidRDefault="00A116A3">
      <w:pPr>
        <w:pStyle w:val="RapportKop1"/>
      </w:pPr>
      <w:r>
        <w:lastRenderedPageBreak/>
        <w:t>Wat er tot nu toe gebeurde</w:t>
      </w:r>
    </w:p>
    <w:p w:rsidR="00803230" w:rsidP="00284DF0" w:rsidRDefault="00177136">
      <w:r>
        <w:t xml:space="preserve">Het Nationaal Groeifonds is gerelateerd aan de </w:t>
      </w:r>
      <w:r w:rsidR="00A116A3">
        <w:t xml:space="preserve">doelen van de </w:t>
      </w:r>
      <w:r>
        <w:t xml:space="preserve">Groeistrategie. </w:t>
      </w:r>
      <w:r w:rsidR="00284DF0">
        <w:t xml:space="preserve">De kerngedachte is dat er een zogenaamde ‘groeisprong’ nodig is om </w:t>
      </w:r>
      <w:r w:rsidR="00A116A3">
        <w:t>tot extra, structurele groei van de economie te komen</w:t>
      </w:r>
      <w:r w:rsidR="00284DF0">
        <w:t xml:space="preserve">. Die </w:t>
      </w:r>
      <w:r w:rsidR="00D5560B">
        <w:t>extra</w:t>
      </w:r>
      <w:r w:rsidR="00284DF0">
        <w:t xml:space="preserve"> groei is nodig om zowel de investeringen in de publieke sector (zoals de zorg) te </w:t>
      </w:r>
      <w:r w:rsidR="00803230">
        <w:t xml:space="preserve">kunnen </w:t>
      </w:r>
      <w:r w:rsidR="00284DF0">
        <w:t>betalen als o</w:t>
      </w:r>
      <w:r w:rsidR="00AB4FB3">
        <w:t>ok o</w:t>
      </w:r>
      <w:r w:rsidR="00284DF0">
        <w:t>m</w:t>
      </w:r>
      <w:r w:rsidR="004322DB">
        <w:t xml:space="preserve"> bestedingsruimte voor </w:t>
      </w:r>
      <w:r w:rsidR="00284DF0">
        <w:t>burgers te creëren.</w:t>
      </w:r>
      <w:r w:rsidR="00803230">
        <w:t xml:space="preserve"> Lukt het niet die extra groei te verwezenlijken dan is hiervoor geen ruimte en gaat de </w:t>
      </w:r>
      <w:r w:rsidR="009B3E62">
        <w:t xml:space="preserve">reguliere </w:t>
      </w:r>
      <w:r w:rsidR="00803230">
        <w:t>groei meer dan volledig op aan stijgende publieke kosten (in het bijzonder de zorg).</w:t>
      </w:r>
      <w:r w:rsidR="00284DF0">
        <w:t xml:space="preserve"> </w:t>
      </w:r>
    </w:p>
    <w:p w:rsidR="00803230" w:rsidP="00747C5B" w:rsidRDefault="00803230"/>
    <w:p w:rsidR="00747C5B" w:rsidP="00747C5B" w:rsidRDefault="00747C5B">
      <w:pPr>
        <w:pStyle w:val="NotitieKop2"/>
      </w:pPr>
      <w:r>
        <w:t xml:space="preserve">Groeisprong: wat is er nodig </w:t>
      </w:r>
    </w:p>
    <w:p w:rsidR="00284DF0" w:rsidP="00284DF0" w:rsidRDefault="00284DF0"/>
    <w:p w:rsidR="00747C5B" w:rsidP="00747C5B" w:rsidRDefault="00747C5B">
      <w:r>
        <w:t xml:space="preserve">De Groeistrategie is het resultaat van een analyse van </w:t>
      </w:r>
      <w:r w:rsidR="009D2A2B">
        <w:t xml:space="preserve">(recente) </w:t>
      </w:r>
      <w:r>
        <w:t>economische inzichten en studies, waaronder van organisaties zoals de OESO en het IMF. Daarnaast is gesproken met toonaangevende economen en andere experts die autoriteit zijn op de determinanten van welvaartsgroei.</w:t>
      </w:r>
      <w:r w:rsidR="00A116A3">
        <w:t xml:space="preserve"> Wetenschappers die in opdracht van de Kamer de onderbouwing van het NGF toetsten bevestigen de inzet op </w:t>
      </w:r>
      <w:r w:rsidR="00803230">
        <w:t>de</w:t>
      </w:r>
      <w:r w:rsidR="00A116A3">
        <w:t xml:space="preserve"> </w:t>
      </w:r>
      <w:r w:rsidR="009D2A2B">
        <w:t xml:space="preserve">in de brief </w:t>
      </w:r>
      <w:r w:rsidR="00A116A3">
        <w:t>genoemde determinanten</w:t>
      </w:r>
      <w:r w:rsidR="00803230">
        <w:t xml:space="preserve"> (zie </w:t>
      </w:r>
      <w:hyperlink w:history="1" r:id="rId8">
        <w:r w:rsidRPr="00803230" w:rsidR="00803230">
          <w:rPr>
            <w:rStyle w:val="Hyperlink"/>
          </w:rPr>
          <w:t>hier voor de wetenschapstoets</w:t>
        </w:r>
      </w:hyperlink>
      <w:r w:rsidR="00803230">
        <w:t>)</w:t>
      </w:r>
      <w:r w:rsidR="00A116A3">
        <w:t xml:space="preserve">. </w:t>
      </w:r>
    </w:p>
    <w:p w:rsidR="00747C5B" w:rsidP="00747C5B" w:rsidRDefault="00747C5B"/>
    <w:p w:rsidR="00A116A3" w:rsidP="00284DF0" w:rsidRDefault="00747C5B">
      <w:r>
        <w:t xml:space="preserve">Een </w:t>
      </w:r>
      <w:r w:rsidR="00A116A3">
        <w:t xml:space="preserve">belangrijke kerngedachte die de brief expliciet </w:t>
      </w:r>
      <w:r w:rsidR="00803230">
        <w:t>noemt</w:t>
      </w:r>
      <w:r w:rsidR="00A116A3">
        <w:t xml:space="preserve"> is</w:t>
      </w:r>
      <w:r>
        <w:t xml:space="preserve"> dat de nieuwe</w:t>
      </w:r>
      <w:r w:rsidR="00A116A3">
        <w:t>, extra</w:t>
      </w:r>
      <w:r>
        <w:t xml:space="preserve"> groei er niet komt met </w:t>
      </w:r>
      <w:r w:rsidR="003B4C25">
        <w:t>kleine, incrementele stappen.</w:t>
      </w:r>
      <w:r w:rsidR="00284DF0">
        <w:t xml:space="preserve"> </w:t>
      </w:r>
      <w:r w:rsidR="00A116A3">
        <w:t>De brief stelt dat</w:t>
      </w:r>
      <w:r>
        <w:t xml:space="preserve"> e</w:t>
      </w:r>
      <w:r w:rsidR="00284DF0">
        <w:t xml:space="preserve">en groeisprong alleen </w:t>
      </w:r>
      <w:r w:rsidR="00A116A3">
        <w:t xml:space="preserve">kan </w:t>
      </w:r>
      <w:r w:rsidR="00284DF0">
        <w:t>worden gemaakt door ‘</w:t>
      </w:r>
      <w:r w:rsidRPr="00284DF0" w:rsidR="00284DF0">
        <w:rPr>
          <w:i/>
        </w:rPr>
        <w:t>opnieuw en integraal naar domeinen te kijken die voor groei bepalend zijn</w:t>
      </w:r>
      <w:r w:rsidR="00284DF0">
        <w:t xml:space="preserve">’. </w:t>
      </w:r>
      <w:r w:rsidR="003B4C25">
        <w:t xml:space="preserve">Ook wordt erkent dat de analyse ongemakkelijk is omdat in grote lijnen reeds bekend is wat domeinen voor hervormingen en investeringen zijn. In dat kader stelt de brief dat een groeisprong ook </w:t>
      </w:r>
      <w:r w:rsidRPr="003B4C25" w:rsidR="003B4C25">
        <w:t>durf</w:t>
      </w:r>
      <w:r w:rsidR="003B4C25">
        <w:t xml:space="preserve"> zal vergen en dat e</w:t>
      </w:r>
      <w:r w:rsidRPr="003B4C25" w:rsidR="003B4C25">
        <w:t>r knopen moeten worden doorgehakt in al langer lopende discussies.</w:t>
      </w:r>
    </w:p>
    <w:p w:rsidR="00A116A3" w:rsidP="00284DF0" w:rsidRDefault="00A116A3"/>
    <w:p w:rsidR="004322DB" w:rsidP="00284DF0" w:rsidRDefault="003B4C25">
      <w:r>
        <w:t>Hoewel de Groeistrategie meeromvattend is, komt de opgave v</w:t>
      </w:r>
      <w:r w:rsidR="00747C5B">
        <w:t xml:space="preserve">oor een belangrijk deel </w:t>
      </w:r>
      <w:r w:rsidR="007568E2">
        <w:t xml:space="preserve">neer op het mogelijk maken en aanjagen van </w:t>
      </w:r>
      <w:r w:rsidR="00177136">
        <w:t xml:space="preserve">extra </w:t>
      </w:r>
      <w:r w:rsidR="007568E2">
        <w:t xml:space="preserve">investeringen. </w:t>
      </w:r>
      <w:r>
        <w:t>En t</w:t>
      </w:r>
      <w:r w:rsidR="00177136">
        <w:t>egen die achtergrond is het</w:t>
      </w:r>
      <w:r w:rsidR="007568E2">
        <w:t xml:space="preserve"> Nationaal Groeifonds </w:t>
      </w:r>
      <w:r w:rsidR="00177136">
        <w:t>ingesteld</w:t>
      </w:r>
      <w:r w:rsidR="007568E2">
        <w:t xml:space="preserve">. </w:t>
      </w:r>
      <w:r w:rsidR="00A116A3">
        <w:t xml:space="preserve"> </w:t>
      </w:r>
    </w:p>
    <w:p w:rsidR="00FF4FF4" w:rsidP="00456970" w:rsidRDefault="00FF4FF4"/>
    <w:p w:rsidR="00070C5D" w:rsidP="00070C5D" w:rsidRDefault="00860E35">
      <w:pPr>
        <w:pStyle w:val="NotitieKop2"/>
      </w:pPr>
      <w:r>
        <w:t>Beeld voorafgaand aan begroting</w:t>
      </w:r>
      <w:r w:rsidR="00625825">
        <w:t xml:space="preserve"> 2023</w:t>
      </w:r>
      <w:r w:rsidR="00130E02">
        <w:t xml:space="preserve"> </w:t>
      </w:r>
    </w:p>
    <w:p w:rsidR="00070C5D" w:rsidP="00070C5D" w:rsidRDefault="00070C5D"/>
    <w:p w:rsidR="003B4C25" w:rsidP="00070C5D" w:rsidRDefault="00177136">
      <w:r>
        <w:t xml:space="preserve">Bij de presentatie van het fonds werd duidelijk dat </w:t>
      </w:r>
      <w:r w:rsidR="003B4C25">
        <w:t>de totale fondsomvang</w:t>
      </w:r>
      <w:r>
        <w:t xml:space="preserve"> 20 miljard euro</w:t>
      </w:r>
      <w:r w:rsidR="003B4C25">
        <w:t xml:space="preserve"> zou bedragen</w:t>
      </w:r>
      <w:r>
        <w:t xml:space="preserve">. De middelen </w:t>
      </w:r>
      <w:r w:rsidR="003B4C25">
        <w:t>zouden</w:t>
      </w:r>
      <w:r>
        <w:t xml:space="preserve"> gelijkmatig </w:t>
      </w:r>
      <w:r w:rsidR="003B4C25">
        <w:t xml:space="preserve">worden </w:t>
      </w:r>
      <w:r w:rsidR="00781C78">
        <w:t xml:space="preserve">verdeeld over de </w:t>
      </w:r>
      <w:r>
        <w:t xml:space="preserve">drie </w:t>
      </w:r>
      <w:r w:rsidR="00781C78">
        <w:t>pijlers</w:t>
      </w:r>
      <w:r>
        <w:t xml:space="preserve"> van het fonds:</w:t>
      </w:r>
      <w:r w:rsidR="00781C78">
        <w:t xml:space="preserve"> Kennisontwikkeling, Onderzoek &amp; Innovatie</w:t>
      </w:r>
      <w:r>
        <w:t>,</w:t>
      </w:r>
      <w:r w:rsidR="009B3E62">
        <w:t xml:space="preserve"> en I</w:t>
      </w:r>
      <w:r w:rsidR="00781C78">
        <w:t xml:space="preserve">nfrastructuur. </w:t>
      </w:r>
      <w:r w:rsidR="003B4C25">
        <w:t>In de periode</w:t>
      </w:r>
      <w:r w:rsidR="00781C78">
        <w:t xml:space="preserve"> 2021-2025 </w:t>
      </w:r>
      <w:r w:rsidR="003B4C25">
        <w:t xml:space="preserve">zou er </w:t>
      </w:r>
      <w:r w:rsidR="00781C78">
        <w:t xml:space="preserve">jaarlijks vier miljard </w:t>
      </w:r>
      <w:r w:rsidR="009B3E62">
        <w:t>worden verplicht</w:t>
      </w:r>
      <w:r w:rsidR="003B4C25">
        <w:t xml:space="preserve"> aan projecten die vervolgens nog jaren door kunnen lopen.</w:t>
      </w:r>
    </w:p>
    <w:p w:rsidR="00FF4FF4" w:rsidP="00070C5D" w:rsidRDefault="00FF4FF4"/>
    <w:p w:rsidR="005078D5" w:rsidP="00070C5D" w:rsidRDefault="009D2A2B">
      <w:r>
        <w:t>Het jaar 2021 was</w:t>
      </w:r>
      <w:r w:rsidR="00FF4FF4">
        <w:t xml:space="preserve"> het eerste </w:t>
      </w:r>
      <w:r w:rsidR="003B4C25">
        <w:t>jaar met toekenning</w:t>
      </w:r>
      <w:r w:rsidR="009B3E62">
        <w:t>en</w:t>
      </w:r>
      <w:r w:rsidR="003B4C25">
        <w:t xml:space="preserve"> vanuit</w:t>
      </w:r>
      <w:r w:rsidR="00FF4FF4">
        <w:t xml:space="preserve"> het fonds. </w:t>
      </w:r>
      <w:r w:rsidR="009B3E62">
        <w:t>Voorafgaand aan de begroting 2023</w:t>
      </w:r>
      <w:r w:rsidR="00FF4FF4">
        <w:t xml:space="preserve"> zijn er twee</w:t>
      </w:r>
      <w:r w:rsidR="00781C78">
        <w:t xml:space="preserve"> beoordelingsrondes geweest</w:t>
      </w:r>
      <w:r w:rsidR="00130E02">
        <w:t xml:space="preserve"> </w:t>
      </w:r>
      <w:r w:rsidR="00781C78">
        <w:t xml:space="preserve">en staat de portefeuille aan projecten op </w:t>
      </w:r>
      <w:r w:rsidR="009B3E62">
        <w:t>circa</w:t>
      </w:r>
      <w:r w:rsidR="00781C78">
        <w:t xml:space="preserve"> 7,8 miljard euro. </w:t>
      </w:r>
      <w:r w:rsidR="00FF4FF4">
        <w:t>Dat is</w:t>
      </w:r>
      <w:r w:rsidR="00781C78">
        <w:t xml:space="preserve"> </w:t>
      </w:r>
      <w:r w:rsidR="00FF4FF4">
        <w:t>op het eerste gezicht in lijn</w:t>
      </w:r>
      <w:r w:rsidR="00781C78">
        <w:t xml:space="preserve"> met het beoogde </w:t>
      </w:r>
      <w:r w:rsidR="00781C78">
        <w:lastRenderedPageBreak/>
        <w:t xml:space="preserve">ritme van vier miljard </w:t>
      </w:r>
      <w:r w:rsidR="009B3E62">
        <w:t xml:space="preserve">euro </w:t>
      </w:r>
      <w:r w:rsidR="00781C78">
        <w:t xml:space="preserve">aan jaarlijkse </w:t>
      </w:r>
      <w:r w:rsidR="00895B85">
        <w:t>verplichtingen.</w:t>
      </w:r>
      <w:r w:rsidR="00AF38A4">
        <w:t xml:space="preserve"> Dat verhult echter dat er tussentijds enkele grote </w:t>
      </w:r>
      <w:r w:rsidR="002B4FA7">
        <w:t>financiële</w:t>
      </w:r>
      <w:r w:rsidR="00AF38A4">
        <w:t xml:space="preserve"> mutaties hebben plaatsgevonden. </w:t>
      </w:r>
      <w:r w:rsidR="00895B85">
        <w:t xml:space="preserve"> </w:t>
      </w:r>
    </w:p>
    <w:p w:rsidR="00FF4FF4" w:rsidP="00070C5D" w:rsidRDefault="00FF4FF4"/>
    <w:p w:rsidRPr="00A2340A" w:rsidR="00A2340A" w:rsidP="00070C5D" w:rsidRDefault="00926996">
      <w:pPr>
        <w:rPr>
          <w:i/>
          <w:u w:val="single"/>
        </w:rPr>
      </w:pPr>
      <w:r>
        <w:rPr>
          <w:noProof/>
        </w:rPr>
        <w:drawing>
          <wp:anchor distT="0" distB="0" distL="114300" distR="114300" simplePos="0" relativeHeight="251662336" behindDoc="0" locked="0" layoutInCell="1" allowOverlap="1">
            <wp:simplePos x="0" y="0"/>
            <wp:positionH relativeFrom="column">
              <wp:posOffset>-442745</wp:posOffset>
            </wp:positionH>
            <wp:positionV relativeFrom="paragraph">
              <wp:posOffset>232821</wp:posOffset>
            </wp:positionV>
            <wp:extent cx="6096000" cy="3429000"/>
            <wp:effectExtent l="0" t="0" r="0" b="0"/>
            <wp:wrapTopAndBottom/>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pic:spPr>
                </pic:pic>
              </a:graphicData>
            </a:graphic>
          </wp:anchor>
        </w:drawing>
      </w:r>
      <w:r w:rsidRPr="00FF4FF4" w:rsidR="00FF4FF4">
        <w:rPr>
          <w:i/>
          <w:u w:val="single"/>
        </w:rPr>
        <w:t>Figuur 1: Grootste financiële mutaties voorafgaand aan begroting 2023</w:t>
      </w:r>
    </w:p>
    <w:p w:rsidR="00926996" w:rsidP="00926996" w:rsidRDefault="00781C78">
      <w:r>
        <w:t xml:space="preserve"> </w:t>
      </w:r>
      <w:r w:rsidR="00A2340A">
        <w:rPr>
          <w:i/>
          <w:sz w:val="16"/>
          <w:szCs w:val="16"/>
        </w:rPr>
        <w:t xml:space="preserve">*Op basis van p7 begroting nationaal groeifonds 2023 </w:t>
      </w:r>
      <w:r>
        <w:t xml:space="preserve"> </w:t>
      </w:r>
    </w:p>
    <w:p w:rsidR="00926996" w:rsidP="00926996" w:rsidRDefault="00926996"/>
    <w:p w:rsidR="00FF4FF4" w:rsidP="00926996" w:rsidRDefault="00FF4FF4">
      <w:pPr>
        <w:pStyle w:val="NotitieKop3"/>
      </w:pPr>
      <w:r>
        <w:t>Grote tussentijdse mutaties</w:t>
      </w:r>
    </w:p>
    <w:p w:rsidR="00AF38A4" w:rsidP="00070C5D" w:rsidRDefault="00AF38A4">
      <w:r>
        <w:t xml:space="preserve">Figuur 1 laat zien hoe – sinds de start van het fonds – het resterend budget aan fondsmiddelen, voorafgaand aan de begroting 2023, tot stand kwam. De meest </w:t>
      </w:r>
      <w:r w:rsidR="005519EB">
        <w:t>substantiële</w:t>
      </w:r>
      <w:r>
        <w:t xml:space="preserve"> </w:t>
      </w:r>
      <w:r w:rsidR="005519EB">
        <w:t>mutaties</w:t>
      </w:r>
      <w:r>
        <w:t xml:space="preserve"> hangen samen met het coalitieakkoord dat </w:t>
      </w:r>
      <w:r w:rsidR="005519EB">
        <w:t>eind 2021 is gepresenteerd.</w:t>
      </w:r>
      <w:r>
        <w:t xml:space="preserve"> </w:t>
      </w:r>
      <w:r w:rsidR="00926996">
        <w:t>D</w:t>
      </w:r>
      <w:r w:rsidR="005519EB">
        <w:t xml:space="preserve">e pijler </w:t>
      </w:r>
      <w:r w:rsidR="005000C4">
        <w:t xml:space="preserve">‘infrastructuur’ </w:t>
      </w:r>
      <w:r w:rsidR="00926996">
        <w:t xml:space="preserve">is </w:t>
      </w:r>
      <w:r>
        <w:t xml:space="preserve">uit het fonds </w:t>
      </w:r>
      <w:r w:rsidR="005519EB">
        <w:t>geschrapt</w:t>
      </w:r>
      <w:r>
        <w:t xml:space="preserve">. </w:t>
      </w:r>
      <w:r w:rsidR="005519EB">
        <w:t xml:space="preserve">De </w:t>
      </w:r>
      <w:r w:rsidR="00926996">
        <w:t xml:space="preserve">hiervoor bedoelde </w:t>
      </w:r>
      <w:r w:rsidR="005519EB">
        <w:t xml:space="preserve">fondsmiddelen </w:t>
      </w:r>
      <w:r w:rsidR="00926996">
        <w:t>(6,7</w:t>
      </w:r>
      <w:r>
        <w:t xml:space="preserve"> miljard </w:t>
      </w:r>
      <w:r w:rsidR="005519EB">
        <w:t>euro</w:t>
      </w:r>
      <w:r w:rsidR="00926996">
        <w:t>)</w:t>
      </w:r>
      <w:r w:rsidR="005519EB">
        <w:t xml:space="preserve"> zijn verdeeld over de twee overgebleven pijlers. </w:t>
      </w:r>
      <w:r w:rsidR="00926996">
        <w:t>D</w:t>
      </w:r>
      <w:r w:rsidR="005519EB">
        <w:t xml:space="preserve">rie </w:t>
      </w:r>
      <w:r w:rsidR="009B3E62">
        <w:t xml:space="preserve">infrastructuur </w:t>
      </w:r>
      <w:r w:rsidR="005519EB">
        <w:t xml:space="preserve">projecten </w:t>
      </w:r>
      <w:r w:rsidR="00926996">
        <w:t>uit</w:t>
      </w:r>
      <w:r w:rsidR="005519EB">
        <w:t xml:space="preserve"> </w:t>
      </w:r>
      <w:r w:rsidR="00926996">
        <w:t>de eerste ronde waarvoor een</w:t>
      </w:r>
      <w:r w:rsidR="005519EB">
        <w:t xml:space="preserve"> reservering was gedaan, inclusief de </w:t>
      </w:r>
      <w:r w:rsidR="00926996">
        <w:t>daarmee</w:t>
      </w:r>
      <w:r w:rsidR="005519EB">
        <w:t xml:space="preserve"> samenhangende middelen (</w:t>
      </w:r>
      <w:r w:rsidR="00926996">
        <w:t xml:space="preserve">2,5 miljard euro), </w:t>
      </w:r>
      <w:r w:rsidR="009B3E62">
        <w:t xml:space="preserve">zijn </w:t>
      </w:r>
      <w:r w:rsidR="00926996">
        <w:t>overgeheveld naar het mobiliteitsfonds.</w:t>
      </w:r>
      <w:r w:rsidR="005519EB">
        <w:t xml:space="preserve">  </w:t>
      </w:r>
    </w:p>
    <w:p w:rsidR="005519EB" w:rsidP="00070C5D" w:rsidRDefault="005519EB"/>
    <w:p w:rsidR="00203677" w:rsidP="00070C5D" w:rsidRDefault="00203677">
      <w:r>
        <w:t>Bij de voorjaarsnota 2022 zijn</w:t>
      </w:r>
      <w:r w:rsidR="00926996">
        <w:t xml:space="preserve"> vervolgens</w:t>
      </w:r>
      <w:r>
        <w:t xml:space="preserve"> besluiten genomen over extra</w:t>
      </w:r>
      <w:r w:rsidR="009D2A2B">
        <w:t xml:space="preserve"> uitgaven elders op de Rijksbegroting (o.a. voor defensie en box 3)</w:t>
      </w:r>
      <w:r>
        <w:t xml:space="preserve"> die leiden tot een grote </w:t>
      </w:r>
      <w:proofErr w:type="spellStart"/>
      <w:r w:rsidR="009B3E62">
        <w:t>Rijksbrede</w:t>
      </w:r>
      <w:proofErr w:type="spellEnd"/>
      <w:r w:rsidR="009B3E62">
        <w:t xml:space="preserve"> </w:t>
      </w:r>
      <w:r>
        <w:t xml:space="preserve">dekkingsopgave. Gekozen is om die dekking voor een belangrijk deel uit het Klimaatfonds, het Transitiefonds en het Nationaal Groeifonds te halen. Voor het Groeifonds ging het om een bedrag van 660 miljoen. </w:t>
      </w:r>
    </w:p>
    <w:p w:rsidR="002B4FA7" w:rsidP="00070C5D" w:rsidRDefault="002B4FA7"/>
    <w:p w:rsidR="00203677" w:rsidP="00070C5D" w:rsidRDefault="00203677">
      <w:r>
        <w:lastRenderedPageBreak/>
        <w:t xml:space="preserve">Dat het totaal aan fondsmiddelen grotendeels gelijk is gebleven komt doordat het </w:t>
      </w:r>
      <w:r w:rsidR="002B4FA7">
        <w:t>fonds</w:t>
      </w:r>
      <w:r>
        <w:t xml:space="preserve"> een jaarlijkse</w:t>
      </w:r>
      <w:r w:rsidR="00926996">
        <w:t xml:space="preserve"> loon- en prijsbijstelling kent</w:t>
      </w:r>
      <w:r w:rsidR="009D2A2B">
        <w:t>.</w:t>
      </w:r>
    </w:p>
    <w:p w:rsidR="009D2A2B" w:rsidP="00070C5D" w:rsidRDefault="009D2A2B"/>
    <w:p w:rsidR="00CA28E9" w:rsidP="00CA28E9" w:rsidRDefault="00B52AD7">
      <w:pPr>
        <w:pStyle w:val="NotitieKop3"/>
      </w:pPr>
      <w:r>
        <w:t>I</w:t>
      </w:r>
      <w:r w:rsidR="00CA28E9">
        <w:t>nvesteringsportfolio</w:t>
      </w:r>
    </w:p>
    <w:p w:rsidR="00CA28E9" w:rsidP="00CA28E9" w:rsidRDefault="00CA28E9">
      <w:r>
        <w:t>De begroting bevat tabellen met detailinformatie</w:t>
      </w:r>
      <w:r w:rsidR="00F73888">
        <w:t xml:space="preserve"> over de investerings</w:t>
      </w:r>
      <w:r w:rsidR="00F73888">
        <w:softHyphen/>
        <w:t>portfolio</w:t>
      </w:r>
      <w:r w:rsidR="00926996">
        <w:t xml:space="preserve"> na </w:t>
      </w:r>
      <w:r w:rsidR="009B3E62">
        <w:t>de eerste twee beoordelingsrondes.</w:t>
      </w:r>
      <w:r>
        <w:t xml:space="preserve"> Een eerste </w:t>
      </w:r>
      <w:r w:rsidR="009B3E62">
        <w:t>overzicht</w:t>
      </w:r>
      <w:r>
        <w:t xml:space="preserve"> betreft een indeling </w:t>
      </w:r>
      <w:r w:rsidR="00926996">
        <w:t>naar</w:t>
      </w:r>
      <w:r w:rsidR="002B4FA7">
        <w:t xml:space="preserve"> drie </w:t>
      </w:r>
      <w:r w:rsidR="00926996">
        <w:t>beoordelings-</w:t>
      </w:r>
      <w:r>
        <w:t>categorieën: toekenning, voorwaardelijke toekenning en reservering. Voor d</w:t>
      </w:r>
      <w:r w:rsidR="009D2A2B">
        <w:t>i</w:t>
      </w:r>
      <w:r>
        <w:t xml:space="preserve">e laatste twee categorieën geldt dat eerst aan aanvullende voorwaarden dient te worden </w:t>
      </w:r>
      <w:r w:rsidR="00926996">
        <w:t xml:space="preserve">voldaan </w:t>
      </w:r>
      <w:r>
        <w:t xml:space="preserve">alvorens de middelen beschikbaar worden gesteld. In het geval van een reservering dient een geheel </w:t>
      </w:r>
      <w:r w:rsidR="009B3E62">
        <w:t>aangepast</w:t>
      </w:r>
      <w:r>
        <w:t xml:space="preserve"> plan te worden opgesteld en ingediend. Voor iets meer dan 60% van de middelen geldt dat de </w:t>
      </w:r>
      <w:r w:rsidR="009B3E62">
        <w:t>advies</w:t>
      </w:r>
      <w:r>
        <w:t xml:space="preserve">commissie in afwachting is van </w:t>
      </w:r>
      <w:r w:rsidR="00926996">
        <w:t xml:space="preserve">dergelijke </w:t>
      </w:r>
      <w:r>
        <w:t>aanvullende informatie vanuit de projectindieners.</w:t>
      </w:r>
      <w:r w:rsidR="002B4FA7">
        <w:t xml:space="preserve"> </w:t>
      </w:r>
    </w:p>
    <w:p w:rsidR="00926996" w:rsidP="00CA28E9" w:rsidRDefault="00926996"/>
    <w:p w:rsidR="00F73888" w:rsidP="00CA28E9" w:rsidRDefault="00CA28E9">
      <w:r>
        <w:t xml:space="preserve">Het tweede dat opvalt is dat verreweg de meeste middelen gerelateerd zijn aan het beleid van </w:t>
      </w:r>
      <w:r w:rsidR="00F73888">
        <w:t>– en</w:t>
      </w:r>
      <w:r w:rsidR="009D2A2B">
        <w:t xml:space="preserve"> daarmee</w:t>
      </w:r>
      <w:r w:rsidR="00F73888">
        <w:t xml:space="preserve"> ook ingediend door – </w:t>
      </w:r>
      <w:r>
        <w:t>de mini</w:t>
      </w:r>
      <w:r w:rsidR="002B4FA7">
        <w:t>steries van EZK en OCW (samen 84</w:t>
      </w:r>
      <w:r>
        <w:t>%). Op afstand volgt het ministerie van I&amp;W</w:t>
      </w:r>
      <w:r w:rsidRPr="00F73888" w:rsidR="00F73888">
        <w:t xml:space="preserve"> </w:t>
      </w:r>
      <w:r w:rsidR="00F73888">
        <w:t>met 11%</w:t>
      </w:r>
      <w:r>
        <w:t xml:space="preserve">. Alle andere departementen samen zijn goed voor 5%. </w:t>
      </w:r>
    </w:p>
    <w:p w:rsidR="00F73888" w:rsidP="00CA28E9" w:rsidRDefault="00F73888"/>
    <w:p w:rsidRPr="00AA2B4B" w:rsidR="00AA2B4B" w:rsidP="00CA28E9" w:rsidRDefault="00AA2B4B">
      <w:pPr>
        <w:rPr>
          <w:i/>
          <w:u w:val="single"/>
        </w:rPr>
      </w:pPr>
      <w:r w:rsidRPr="00AA2B4B">
        <w:rPr>
          <w:i/>
          <w:noProof/>
          <w:u w:val="single"/>
        </w:rPr>
        <w:drawing>
          <wp:anchor distT="0" distB="0" distL="114300" distR="114300" simplePos="0" relativeHeight="251663360" behindDoc="0" locked="0" layoutInCell="1" allowOverlap="1">
            <wp:simplePos x="0" y="0"/>
            <wp:positionH relativeFrom="margin">
              <wp:posOffset>-219075</wp:posOffset>
            </wp:positionH>
            <wp:positionV relativeFrom="paragraph">
              <wp:posOffset>307975</wp:posOffset>
            </wp:positionV>
            <wp:extent cx="5086985" cy="2861310"/>
            <wp:effectExtent l="0" t="0" r="0" b="0"/>
            <wp:wrapTopAndBottom/>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985" cy="2861310"/>
                    </a:xfrm>
                    <a:prstGeom prst="rect">
                      <a:avLst/>
                    </a:prstGeom>
                    <a:noFill/>
                  </pic:spPr>
                </pic:pic>
              </a:graphicData>
            </a:graphic>
            <wp14:sizeRelH relativeFrom="margin">
              <wp14:pctWidth>0</wp14:pctWidth>
            </wp14:sizeRelH>
            <wp14:sizeRelV relativeFrom="margin">
              <wp14:pctHeight>0</wp14:pctHeight>
            </wp14:sizeRelV>
          </wp:anchor>
        </w:drawing>
      </w:r>
      <w:r w:rsidRPr="00AA2B4B">
        <w:rPr>
          <w:i/>
          <w:u w:val="single"/>
        </w:rPr>
        <w:t xml:space="preserve">Figuur 2: </w:t>
      </w:r>
      <w:r>
        <w:rPr>
          <w:i/>
          <w:u w:val="single"/>
        </w:rPr>
        <w:t xml:space="preserve">Toekenningen naar ministerie en </w:t>
      </w:r>
      <w:r w:rsidR="008C5FF9">
        <w:rPr>
          <w:i/>
          <w:u w:val="single"/>
        </w:rPr>
        <w:t>beoordelings</w:t>
      </w:r>
      <w:r>
        <w:rPr>
          <w:i/>
          <w:u w:val="single"/>
        </w:rPr>
        <w:t>categorie</w:t>
      </w:r>
    </w:p>
    <w:p w:rsidR="005A6FC2" w:rsidP="001B352F" w:rsidRDefault="005A6FC2">
      <w:pPr>
        <w:rPr>
          <w:i/>
          <w:u w:val="single"/>
        </w:rPr>
      </w:pPr>
    </w:p>
    <w:p w:rsidR="001B352F" w:rsidP="001B352F" w:rsidRDefault="00CA28E9">
      <w:r>
        <w:t xml:space="preserve">Een vergelijkbare verdeling kan ook worden gedaan ten aanzien van de spreiding over de begrotingsartikelen ‘Kennisontwikkeling’ en ‘Onderzoek en Innovatie’. Dit </w:t>
      </w:r>
      <w:r w:rsidR="00926996">
        <w:t>kan worden gedaan aan de hand van de</w:t>
      </w:r>
      <w:r>
        <w:t xml:space="preserve"> projectinformatie</w:t>
      </w:r>
      <w:r w:rsidR="00926996">
        <w:t xml:space="preserve"> in bijlage 3 (p 34). Op basis van deze informatie</w:t>
      </w:r>
      <w:r>
        <w:t xml:space="preserve"> blijkt circa driekwart naar onderzoek en innovatie te gaan en het resterende kwart naar kennisontwikkeling. </w:t>
      </w:r>
    </w:p>
    <w:p w:rsidR="001B352F" w:rsidP="001B352F" w:rsidRDefault="001B352F"/>
    <w:p w:rsidRPr="001B352F" w:rsidR="00CA28E9" w:rsidP="00CA28E9" w:rsidRDefault="001B352F">
      <w:pPr>
        <w:rPr>
          <w:i/>
          <w:noProof/>
          <w:u w:val="single"/>
        </w:rPr>
      </w:pPr>
      <w:r w:rsidRPr="001B352F">
        <w:rPr>
          <w:i/>
          <w:noProof/>
          <w:u w:val="single"/>
        </w:rPr>
        <w:drawing>
          <wp:anchor distT="0" distB="0" distL="114300" distR="114300" simplePos="0" relativeHeight="251664384" behindDoc="0" locked="0" layoutInCell="1" allowOverlap="1">
            <wp:simplePos x="0" y="0"/>
            <wp:positionH relativeFrom="page">
              <wp:posOffset>437910</wp:posOffset>
            </wp:positionH>
            <wp:positionV relativeFrom="paragraph">
              <wp:posOffset>248614</wp:posOffset>
            </wp:positionV>
            <wp:extent cx="5584190" cy="3140710"/>
            <wp:effectExtent l="0" t="0" r="0" b="2540"/>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4190" cy="3140710"/>
                    </a:xfrm>
                    <a:prstGeom prst="rect">
                      <a:avLst/>
                    </a:prstGeom>
                    <a:noFill/>
                  </pic:spPr>
                </pic:pic>
              </a:graphicData>
            </a:graphic>
            <wp14:sizeRelH relativeFrom="margin">
              <wp14:pctWidth>0</wp14:pctWidth>
            </wp14:sizeRelH>
            <wp14:sizeRelV relativeFrom="margin">
              <wp14:pctHeight>0</wp14:pctHeight>
            </wp14:sizeRelV>
          </wp:anchor>
        </w:drawing>
      </w:r>
      <w:r w:rsidRPr="001B352F">
        <w:rPr>
          <w:i/>
          <w:noProof/>
          <w:u w:val="single"/>
        </w:rPr>
        <w:t xml:space="preserve">Figuur 3: </w:t>
      </w:r>
      <w:r>
        <w:rPr>
          <w:i/>
          <w:noProof/>
          <w:u w:val="single"/>
        </w:rPr>
        <w:t>Toekenningen ronde 1 en 2 naar begrotingsartikel en categorie</w:t>
      </w:r>
    </w:p>
    <w:p w:rsidR="005A6FC2" w:rsidP="00CA28E9" w:rsidRDefault="005A6FC2"/>
    <w:p w:rsidR="00926996" w:rsidP="00926996" w:rsidRDefault="00926996">
      <w:r>
        <w:t>Uit diezelfde projectinformatie valt tot slot op te maken dat aan het eind van 2022</w:t>
      </w:r>
      <w:r w:rsidR="009B3E62">
        <w:t xml:space="preserve"> </w:t>
      </w:r>
      <w:r>
        <w:t xml:space="preserve">naar verwachting </w:t>
      </w:r>
      <w:r w:rsidR="00446394">
        <w:t xml:space="preserve">in totaal </w:t>
      </w:r>
      <w:r>
        <w:t xml:space="preserve">3% van de 7,8 miljard euro aan fondsmiddelen aan </w:t>
      </w:r>
      <w:r w:rsidR="00446394">
        <w:t xml:space="preserve">goedgekeurde </w:t>
      </w:r>
      <w:r>
        <w:t xml:space="preserve">projecten is uitgekeerd. </w:t>
      </w:r>
    </w:p>
    <w:p w:rsidR="00CA28E9" w:rsidP="00070C5D" w:rsidRDefault="00CA28E9"/>
    <w:p w:rsidR="00203677" w:rsidP="00203677" w:rsidRDefault="002B4FA7">
      <w:pPr>
        <w:pStyle w:val="NotitieKop3"/>
      </w:pPr>
      <w:r>
        <w:t>Beoordelingssystematiek</w:t>
      </w:r>
      <w:r w:rsidR="00641E84">
        <w:t xml:space="preserve"> en rol Kamer</w:t>
      </w:r>
    </w:p>
    <w:p w:rsidR="002B4D69" w:rsidP="00070C5D" w:rsidRDefault="00203677">
      <w:r>
        <w:t xml:space="preserve">Op basis van de lessen van het verleden, en het aandringen van de Algemene Rekenkamer, is de besluitvorming over de toekenning van fondsmiddelen </w:t>
      </w:r>
      <w:r w:rsidR="002B7141">
        <w:t xml:space="preserve">belegd bij een onafhankelijke commissie van experts. </w:t>
      </w:r>
      <w:r w:rsidR="002B4FA7">
        <w:t xml:space="preserve">Het achterliggende idee is om op betere manier te borgen </w:t>
      </w:r>
      <w:r w:rsidR="001003DC">
        <w:t xml:space="preserve">dat de </w:t>
      </w:r>
      <w:r w:rsidR="002B4FA7">
        <w:t>fonds</w:t>
      </w:r>
      <w:r w:rsidR="001003DC">
        <w:t xml:space="preserve">middelen zo goed als mogelijk worden ingezet voor de beoogde </w:t>
      </w:r>
      <w:r w:rsidR="002B4FA7">
        <w:t xml:space="preserve">(lange termijn) </w:t>
      </w:r>
      <w:r w:rsidR="001003DC">
        <w:t>doelstellingen van het fonds</w:t>
      </w:r>
      <w:r w:rsidR="00CA28E9">
        <w:t xml:space="preserve"> en voorkomen dat deze worden aangewend voor andere </w:t>
      </w:r>
      <w:r w:rsidR="002B4FA7">
        <w:t xml:space="preserve">(korte termijn) </w:t>
      </w:r>
      <w:r w:rsidR="00CA28E9">
        <w:t xml:space="preserve">politieke wensen. </w:t>
      </w:r>
    </w:p>
    <w:p w:rsidR="002B4D69" w:rsidP="00070C5D" w:rsidRDefault="002B4D69"/>
    <w:p w:rsidR="0060259A" w:rsidP="00070C5D" w:rsidRDefault="002B7141">
      <w:r>
        <w:t xml:space="preserve">Tegelijkertijd is de inspraak van de Kamer onverminderd van toepassing. </w:t>
      </w:r>
      <w:r w:rsidR="002B4D69">
        <w:t>Dat geldt bijvoorbeeld</w:t>
      </w:r>
      <w:r w:rsidR="00641E84">
        <w:t xml:space="preserve"> ten aanzien van de </w:t>
      </w:r>
      <w:r>
        <w:t>kaders waarbinnen de besluitvormi</w:t>
      </w:r>
      <w:r w:rsidR="002B4D69">
        <w:t xml:space="preserve">ng van de commissie plaatsvindt en wat </w:t>
      </w:r>
      <w:r w:rsidR="00446394">
        <w:t xml:space="preserve">in de besluitvorming </w:t>
      </w:r>
      <w:r w:rsidR="002B4D69">
        <w:t xml:space="preserve">meegewogen wordt. Hierover heeft de Kamer </w:t>
      </w:r>
      <w:r w:rsidR="001003DC">
        <w:t>aandachts</w:t>
      </w:r>
      <w:r w:rsidR="00446394">
        <w:t xml:space="preserve">punten meegegeven. Deze punten staan tevens opgenomen in bijlage 2 van de begroting </w:t>
      </w:r>
      <w:r w:rsidR="00A9499B">
        <w:t xml:space="preserve">van het Groeifonds </w:t>
      </w:r>
      <w:r w:rsidR="00446394">
        <w:t>(p 32)</w:t>
      </w:r>
      <w:r w:rsidR="002B5531">
        <w:t xml:space="preserve">. In navolgende Kamerbrieven is aangegeven hoe hier invulling aan is gegeven. </w:t>
      </w:r>
    </w:p>
    <w:p w:rsidR="0060259A" w:rsidP="00070C5D" w:rsidRDefault="0060259A"/>
    <w:p w:rsidR="00A9499B" w:rsidP="00070C5D" w:rsidRDefault="0060259A">
      <w:r>
        <w:lastRenderedPageBreak/>
        <w:t xml:space="preserve">De reeds genoemde doelen en kaders van </w:t>
      </w:r>
      <w:r w:rsidR="00A9499B">
        <w:t>het Nationaal Groeifonds</w:t>
      </w:r>
      <w:r>
        <w:t xml:space="preserve"> zijn middels deze moties aangevuld en geconcretiseerd wat betekent dat </w:t>
      </w:r>
      <w:r w:rsidR="00A9499B">
        <w:t xml:space="preserve">bij de toekenningen en in de verantwoording </w:t>
      </w:r>
      <w:r>
        <w:t xml:space="preserve">rekening gehouden dient te worden met: </w:t>
      </w:r>
    </w:p>
    <w:p w:rsidR="00A9499B" w:rsidP="00A9499B" w:rsidRDefault="0060259A">
      <w:pPr>
        <w:pStyle w:val="Lijstalinea"/>
        <w:numPr>
          <w:ilvl w:val="0"/>
          <w:numId w:val="15"/>
        </w:numPr>
        <w:ind w:left="709"/>
      </w:pPr>
      <w:r>
        <w:t xml:space="preserve">de toegankelijkheid en ondersteuning van het </w:t>
      </w:r>
      <w:proofErr w:type="spellStart"/>
      <w:r>
        <w:t>mkb</w:t>
      </w:r>
      <w:proofErr w:type="spellEnd"/>
      <w:r>
        <w:t xml:space="preserve">, </w:t>
      </w:r>
    </w:p>
    <w:p w:rsidR="00A9499B" w:rsidP="00A9499B" w:rsidRDefault="0060259A">
      <w:pPr>
        <w:pStyle w:val="Lijstalinea"/>
        <w:numPr>
          <w:ilvl w:val="0"/>
          <w:numId w:val="15"/>
        </w:numPr>
        <w:ind w:left="709"/>
      </w:pPr>
      <w:r>
        <w:t xml:space="preserve">ondersteuning van projecten met wet- en regelgeving, </w:t>
      </w:r>
    </w:p>
    <w:p w:rsidR="00A9499B" w:rsidP="006B709D" w:rsidRDefault="006B709D">
      <w:pPr>
        <w:pStyle w:val="Lijstalinea"/>
        <w:numPr>
          <w:ilvl w:val="0"/>
          <w:numId w:val="15"/>
        </w:numPr>
        <w:ind w:left="709"/>
      </w:pPr>
      <w:r>
        <w:t xml:space="preserve">het benutten van internationale kansen, waaronder aandacht voor </w:t>
      </w:r>
      <w:r w:rsidR="0060259A">
        <w:t xml:space="preserve">de bijdrage van een project aan strategische autonomie, </w:t>
      </w:r>
    </w:p>
    <w:p w:rsidR="00A9499B" w:rsidP="00A9499B" w:rsidRDefault="0060259A">
      <w:pPr>
        <w:pStyle w:val="Lijstalinea"/>
        <w:numPr>
          <w:ilvl w:val="0"/>
          <w:numId w:val="15"/>
        </w:numPr>
        <w:ind w:left="709"/>
      </w:pPr>
      <w:r>
        <w:t xml:space="preserve">het expliciteren van de bijdrage </w:t>
      </w:r>
      <w:r w:rsidR="00A9499B">
        <w:t>aan de groeistrategie,</w:t>
      </w:r>
    </w:p>
    <w:p w:rsidR="00A9499B" w:rsidP="00A9499B" w:rsidRDefault="0060259A">
      <w:pPr>
        <w:pStyle w:val="Lijstalinea"/>
        <w:numPr>
          <w:ilvl w:val="0"/>
          <w:numId w:val="15"/>
        </w:numPr>
        <w:ind w:left="709"/>
      </w:pPr>
      <w:r>
        <w:t xml:space="preserve">het werken met een </w:t>
      </w:r>
      <w:r w:rsidR="00A9499B">
        <w:t>efficiënte</w:t>
      </w:r>
      <w:r>
        <w:t xml:space="preserve"> CO2 prijs en </w:t>
      </w:r>
    </w:p>
    <w:p w:rsidR="0060259A" w:rsidP="00A9499B" w:rsidRDefault="0060259A">
      <w:pPr>
        <w:pStyle w:val="Lijstalinea"/>
        <w:numPr>
          <w:ilvl w:val="0"/>
          <w:numId w:val="15"/>
        </w:numPr>
        <w:ind w:left="709"/>
      </w:pPr>
      <w:r>
        <w:t xml:space="preserve">een </w:t>
      </w:r>
      <w:r w:rsidR="005E77A5">
        <w:t xml:space="preserve">(versimpelde) </w:t>
      </w:r>
      <w:r>
        <w:t>generatietoets.</w:t>
      </w:r>
    </w:p>
    <w:p w:rsidR="0060259A" w:rsidP="00070C5D" w:rsidRDefault="0060259A"/>
    <w:p w:rsidR="00A9499B" w:rsidP="00070C5D" w:rsidRDefault="002B5531">
      <w:r>
        <w:t>Ten tijde van het verschijnen van de begroting</w:t>
      </w:r>
      <w:r w:rsidR="0060259A">
        <w:t xml:space="preserve"> zijn er ook nog punten die </w:t>
      </w:r>
      <w:r w:rsidR="00A9499B">
        <w:t>in de begroting</w:t>
      </w:r>
      <w:r w:rsidR="0060259A">
        <w:t xml:space="preserve"> worden </w:t>
      </w:r>
      <w:r w:rsidR="00A9499B">
        <w:t xml:space="preserve">geclassificeerd </w:t>
      </w:r>
      <w:r w:rsidR="0060259A">
        <w:t xml:space="preserve">als </w:t>
      </w:r>
      <w:r w:rsidR="00A9499B">
        <w:t>‘</w:t>
      </w:r>
      <w:r w:rsidR="0060259A">
        <w:t>onderhanden</w:t>
      </w:r>
      <w:r w:rsidR="00A9499B">
        <w:t>’</w:t>
      </w:r>
      <w:r w:rsidR="0060259A">
        <w:t>, of die te maken hebben met de werkwijze. Het gaat om het maken van</w:t>
      </w:r>
      <w:r w:rsidR="00A9499B">
        <w:t>:</w:t>
      </w:r>
    </w:p>
    <w:p w:rsidR="00A9499B" w:rsidP="00A9499B" w:rsidRDefault="0060259A">
      <w:pPr>
        <w:pStyle w:val="Lijstalinea"/>
        <w:numPr>
          <w:ilvl w:val="0"/>
          <w:numId w:val="16"/>
        </w:numPr>
        <w:ind w:left="709"/>
      </w:pPr>
      <w:r>
        <w:t xml:space="preserve">een analyse van </w:t>
      </w:r>
      <w:r w:rsidR="00A9499B">
        <w:t>de doelmatigheid van het</w:t>
      </w:r>
      <w:r>
        <w:t xml:space="preserve"> </w:t>
      </w:r>
      <w:r w:rsidR="00A9499B">
        <w:t>totale fondsenlandschap;</w:t>
      </w:r>
    </w:p>
    <w:p w:rsidR="00A9499B" w:rsidP="00A9499B" w:rsidRDefault="0060259A">
      <w:pPr>
        <w:pStyle w:val="Lijstalinea"/>
        <w:numPr>
          <w:ilvl w:val="0"/>
          <w:numId w:val="16"/>
        </w:numPr>
        <w:ind w:left="709"/>
      </w:pPr>
      <w:r>
        <w:t>het instellen van een Raad van de Toekomst</w:t>
      </w:r>
      <w:r w:rsidR="00A9499B">
        <w:t>;</w:t>
      </w:r>
    </w:p>
    <w:p w:rsidR="00A9499B" w:rsidP="00A9499B" w:rsidRDefault="0060259A">
      <w:pPr>
        <w:pStyle w:val="Lijstalinea"/>
        <w:numPr>
          <w:ilvl w:val="0"/>
          <w:numId w:val="16"/>
        </w:numPr>
        <w:ind w:left="709"/>
      </w:pPr>
      <w:r>
        <w:t>het borgen van voldoende betrokkenheid van regio’</w:t>
      </w:r>
      <w:r w:rsidR="00A9499B">
        <w:t xml:space="preserve">s; </w:t>
      </w:r>
    </w:p>
    <w:p w:rsidR="00A9499B" w:rsidP="00A9499B" w:rsidRDefault="0060259A">
      <w:pPr>
        <w:pStyle w:val="Lijstalinea"/>
        <w:numPr>
          <w:ilvl w:val="0"/>
          <w:numId w:val="16"/>
        </w:numPr>
        <w:ind w:left="709"/>
      </w:pPr>
      <w:r>
        <w:t>deelname van het K</w:t>
      </w:r>
      <w:r w:rsidR="00A9499B">
        <w:t>oninkrijk;</w:t>
      </w:r>
    </w:p>
    <w:p w:rsidR="00446394" w:rsidP="00A9499B" w:rsidRDefault="0060259A">
      <w:pPr>
        <w:pStyle w:val="Lijstalinea"/>
        <w:numPr>
          <w:ilvl w:val="0"/>
          <w:numId w:val="16"/>
        </w:numPr>
        <w:ind w:left="709"/>
      </w:pPr>
      <w:r>
        <w:t>het uitvoeren van een tussenevaluatie na de tweede ronde</w:t>
      </w:r>
      <w:r w:rsidR="00A9499B">
        <w:t>;</w:t>
      </w:r>
    </w:p>
    <w:p w:rsidR="009471A0" w:rsidP="00130E02" w:rsidRDefault="009471A0"/>
    <w:p w:rsidR="006B709D" w:rsidP="00130E02" w:rsidRDefault="006B709D">
      <w:r>
        <w:t xml:space="preserve">In de Kamerbrief </w:t>
      </w:r>
      <w:hyperlink w:history="1" r:id="rId12">
        <w:r w:rsidRPr="006B709D">
          <w:rPr>
            <w:rStyle w:val="Hyperlink"/>
          </w:rPr>
          <w:t>Doelstelling Nationaal Groeifonds</w:t>
        </w:r>
      </w:hyperlink>
      <w:r>
        <w:t xml:space="preserve"> wordt nader ingegaan op de beoordelingssystematiek. Hierin wordt ook ingegaan op de motie van het lid Kroger (</w:t>
      </w:r>
      <w:r w:rsidRPr="006B709D">
        <w:t>Kamerstuk 35 976, nr. 20</w:t>
      </w:r>
      <w:r>
        <w:t xml:space="preserve">) tot het werken met een efficiënte, actuele CO2 prijs. </w:t>
      </w:r>
    </w:p>
    <w:p w:rsidRPr="00130E02" w:rsidR="00BC6041" w:rsidP="00527FCF" w:rsidRDefault="00527FCF">
      <w:pPr>
        <w:pStyle w:val="RapportKop1"/>
      </w:pPr>
      <w:r>
        <w:lastRenderedPageBreak/>
        <w:t>Analyse b</w:t>
      </w:r>
      <w:r w:rsidR="00BC6041">
        <w:t>egroting 2023</w:t>
      </w:r>
    </w:p>
    <w:p w:rsidR="005000C4" w:rsidP="00070C5D" w:rsidRDefault="005000C4"/>
    <w:p w:rsidR="006B709D" w:rsidP="00070C5D" w:rsidRDefault="00BC6041">
      <w:r>
        <w:t xml:space="preserve">De begroting 2023 is in meerdere opzichten </w:t>
      </w:r>
      <w:r w:rsidR="009E5CD0">
        <w:t>bijzonder</w:t>
      </w:r>
      <w:r>
        <w:t xml:space="preserve">. In de eerste plaats omdat dit het eerste </w:t>
      </w:r>
      <w:r w:rsidR="0042704A">
        <w:t>begrotingsjaar zal worden</w:t>
      </w:r>
      <w:r>
        <w:t xml:space="preserve"> dat de tijdelijke instellingswet </w:t>
      </w:r>
      <w:r w:rsidR="0042704A">
        <w:t xml:space="preserve">van </w:t>
      </w:r>
      <w:r>
        <w:t>kracht is.</w:t>
      </w:r>
      <w:r w:rsidR="003723AE">
        <w:t xml:space="preserve"> </w:t>
      </w:r>
      <w:r w:rsidR="0038179D">
        <w:t>Een</w:t>
      </w:r>
      <w:r w:rsidR="003723AE">
        <w:t xml:space="preserve"> belangrijk</w:t>
      </w:r>
      <w:r w:rsidR="00B94254">
        <w:t xml:space="preserve">e consequentie </w:t>
      </w:r>
      <w:r w:rsidR="0038179D">
        <w:t xml:space="preserve">met betrekking tot het </w:t>
      </w:r>
      <w:r w:rsidR="0060259A">
        <w:t>doelgroep</w:t>
      </w:r>
      <w:r w:rsidR="006B709D">
        <w:t xml:space="preserve"> </w:t>
      </w:r>
      <w:r w:rsidR="0038179D">
        <w:t xml:space="preserve">bereik </w:t>
      </w:r>
      <w:r w:rsidR="00B94254">
        <w:t>is dat er ook een subsidieregeling start</w:t>
      </w:r>
      <w:r w:rsidR="0038179D">
        <w:t>. Voor die subsidieregeling geldt dat</w:t>
      </w:r>
      <w:r w:rsidR="00B94254">
        <w:t xml:space="preserve"> partijen rechtstreeks subsidie vanuit het fonds kunnen aanvragen. Voorheen kon </w:t>
      </w:r>
      <w:r w:rsidR="0038179D">
        <w:t>het indienen van projecten</w:t>
      </w:r>
      <w:r w:rsidR="00B94254">
        <w:t xml:space="preserve"> alleen via ministeries. </w:t>
      </w:r>
      <w:r w:rsidR="006B709D">
        <w:t xml:space="preserve">De subsidieregeling kan er toe leiden dat nu een grotere, deels andere doelgroep kan worden bereikt. </w:t>
      </w:r>
    </w:p>
    <w:p w:rsidR="006B709D" w:rsidP="00070C5D" w:rsidRDefault="006B709D"/>
    <w:p w:rsidR="003723AE" w:rsidP="00070C5D" w:rsidRDefault="00B94254">
      <w:r>
        <w:t xml:space="preserve">In de tweede plaats is het </w:t>
      </w:r>
      <w:r w:rsidR="006B709D">
        <w:t>aankomend begrotingsjaar</w:t>
      </w:r>
      <w:r>
        <w:t xml:space="preserve"> bijzonder omdat het voornemen is om 8,5 miljard euro aan fondsmiddelen (ruim 40% van het totale fonds) vast te leggen in verplichtingen. In de derde plaats is 2023 een bijzonder jaar omdat dan ook de eerste tussentijdse evaluatie zal plaatsvinden.</w:t>
      </w:r>
    </w:p>
    <w:p w:rsidR="003723AE" w:rsidP="00070C5D" w:rsidRDefault="003723AE"/>
    <w:p w:rsidR="00B94254" w:rsidP="00B94254" w:rsidRDefault="00B94254">
      <w:pPr>
        <w:pStyle w:val="RapportKop2"/>
      </w:pPr>
      <w:r>
        <w:t>Instellingswet van kracht</w:t>
      </w:r>
    </w:p>
    <w:p w:rsidR="00C66FE3" w:rsidP="00C66FE3" w:rsidRDefault="00987DC7">
      <w:r>
        <w:t>In juni 2022 is het wetsvoorstel m.b.t. de instelling van het Nationaal Groeifonds door de Eerste Kamer aangenomen.</w:t>
      </w:r>
      <w:r w:rsidR="005C7C67">
        <w:t xml:space="preserve"> </w:t>
      </w:r>
      <w:r w:rsidR="00C66FE3">
        <w:t xml:space="preserve">In de </w:t>
      </w:r>
      <w:hyperlink w:history="1" r:id="rId13">
        <w:r w:rsidRPr="00C66FE3" w:rsidR="00C66FE3">
          <w:rPr>
            <w:rStyle w:val="Hyperlink"/>
          </w:rPr>
          <w:t>bijbehorende brief</w:t>
        </w:r>
      </w:hyperlink>
      <w:r w:rsidR="00C66FE3">
        <w:t xml:space="preserve"> legt de minister uit hoe invulling wordt gegeven aan moties en toezeggingen van het parlement. Zo is er ten aanzien van het vergroten van de betrokkenheid van het </w:t>
      </w:r>
      <w:proofErr w:type="spellStart"/>
      <w:r w:rsidR="00C66FE3">
        <w:t>mkb</w:t>
      </w:r>
      <w:proofErr w:type="spellEnd"/>
      <w:r w:rsidR="00C66FE3">
        <w:t xml:space="preserve"> gewerkt met een </w:t>
      </w:r>
      <w:proofErr w:type="spellStart"/>
      <w:r w:rsidR="00C66FE3">
        <w:t>quick</w:t>
      </w:r>
      <w:proofErr w:type="spellEnd"/>
      <w:r w:rsidR="00C66FE3">
        <w:t xml:space="preserve">-scan procedure en kunnen ook de </w:t>
      </w:r>
      <w:proofErr w:type="spellStart"/>
      <w:r w:rsidR="00C66FE3">
        <w:t>ROMs</w:t>
      </w:r>
      <w:proofErr w:type="spellEnd"/>
      <w:r w:rsidR="00C66FE3">
        <w:t xml:space="preserve"> ondersteuning bij aanvragen aanbieden. Ten aanzien van het meewegen van strategische autonomie is aangegeven dat bij de beoordeling de adviescommissie hier naar kijkt als dit relevant is voor hoe een voorstel zich verhoudt tot de Europese en/of mondiale context. Ten aanzien van het openstellen van het fonds voor het Koninkrijk wordt aangegeven dat dit nog niet mogelijk is en nog nader wordt onderzocht. Een mogelijkheid is via een Rijkswet.</w:t>
      </w:r>
    </w:p>
    <w:p w:rsidR="00C66FE3" w:rsidP="00070C5D" w:rsidRDefault="00C66FE3"/>
    <w:p w:rsidR="00B94254" w:rsidP="00070C5D" w:rsidRDefault="00462699">
      <w:r>
        <w:t>M</w:t>
      </w:r>
      <w:r w:rsidR="00987DC7">
        <w:t>et betrekking tot het doelgroep bereik is</w:t>
      </w:r>
      <w:r w:rsidR="005C7C67">
        <w:t xml:space="preserve"> </w:t>
      </w:r>
      <w:r>
        <w:t xml:space="preserve">de verwachting </w:t>
      </w:r>
      <w:r w:rsidR="005C7C67">
        <w:t xml:space="preserve">dat </w:t>
      </w:r>
      <w:r w:rsidR="00822571">
        <w:t>met de subsidieregeling</w:t>
      </w:r>
      <w:r w:rsidR="005C7C67">
        <w:t xml:space="preserve"> </w:t>
      </w:r>
      <w:r>
        <w:t>een grotere, deels andere doelgroep kan worden bereikt. I</w:t>
      </w:r>
      <w:r w:rsidR="0060259A">
        <w:t xml:space="preserve">n de </w:t>
      </w:r>
      <w:r>
        <w:t>derde beoordelings</w:t>
      </w:r>
      <w:r w:rsidR="0060259A">
        <w:t>ronde</w:t>
      </w:r>
      <w:r w:rsidR="005C7C67">
        <w:t xml:space="preserve"> </w:t>
      </w:r>
      <w:r>
        <w:t xml:space="preserve">(met sluitingsdatum februari 2023) kunnen </w:t>
      </w:r>
      <w:r w:rsidR="00822571">
        <w:t xml:space="preserve">voor het eerst </w:t>
      </w:r>
      <w:r w:rsidR="005C7C67">
        <w:t xml:space="preserve">rechtstreeks projecten vanuit het </w:t>
      </w:r>
      <w:r>
        <w:t>Groei</w:t>
      </w:r>
      <w:r w:rsidR="005C7C67">
        <w:t xml:space="preserve">fonds worden gefinancierd. Tot nu toe </w:t>
      </w:r>
      <w:r w:rsidR="00987DC7">
        <w:t>kon dat niet en werden</w:t>
      </w:r>
      <w:r w:rsidR="005C7C67">
        <w:t xml:space="preserve"> </w:t>
      </w:r>
      <w:r w:rsidR="00987DC7">
        <w:t>projecten for</w:t>
      </w:r>
      <w:r>
        <w:t>meel ingediend door ministeries</w:t>
      </w:r>
      <w:r w:rsidR="00822571">
        <w:t xml:space="preserve"> (departementale route)</w:t>
      </w:r>
      <w:r>
        <w:t>.</w:t>
      </w:r>
      <w:r w:rsidR="00987DC7">
        <w:t xml:space="preserve"> </w:t>
      </w:r>
      <w:r w:rsidR="005C7C67">
        <w:t xml:space="preserve">Voor de rechtstreekse gunning is er een aparte subsidieregeling </w:t>
      </w:r>
      <w:r w:rsidR="00987DC7">
        <w:t>gemaakt met een maximum budget van 1 miljard euro voor elk van de twee pijlers van het Nationaal Groeifonds.</w:t>
      </w:r>
      <w:r>
        <w:t xml:space="preserve"> Voor de reeds bestaande departementale route is een vergelijkbaar bedrag per pijler/begrotingsartikel beschikbaar.</w:t>
      </w:r>
    </w:p>
    <w:p w:rsidR="005C7C67" w:rsidP="00070C5D" w:rsidRDefault="005C7C67"/>
    <w:p w:rsidR="00822571" w:rsidP="00070C5D" w:rsidRDefault="00822571"/>
    <w:p w:rsidR="00822571" w:rsidP="00070C5D" w:rsidRDefault="00822571"/>
    <w:p w:rsidR="00822571" w:rsidP="00070C5D" w:rsidRDefault="00822571"/>
    <w:p w:rsidR="005C7C67" w:rsidP="005C7C67" w:rsidRDefault="005C7C67">
      <w:pPr>
        <w:pStyle w:val="RapportKop2"/>
      </w:pPr>
      <w:r>
        <w:lastRenderedPageBreak/>
        <w:t>Financiële verplichtingen</w:t>
      </w:r>
    </w:p>
    <w:p w:rsidR="005C5AC7" w:rsidP="005C7C67" w:rsidRDefault="005C5AC7">
      <w:r>
        <w:t xml:space="preserve">De </w:t>
      </w:r>
      <w:r w:rsidR="005C7C67">
        <w:t xml:space="preserve">begroting </w:t>
      </w:r>
      <w:r>
        <w:t xml:space="preserve">over 2023 geeft aan 8,5 miljard aan nieuwe verplichtingen </w:t>
      </w:r>
      <w:r w:rsidR="0060259A">
        <w:t xml:space="preserve">in </w:t>
      </w:r>
      <w:r w:rsidR="00462699">
        <w:t>het aankomende</w:t>
      </w:r>
      <w:r w:rsidR="0060259A">
        <w:t xml:space="preserve"> jaar </w:t>
      </w:r>
      <w:r>
        <w:t xml:space="preserve">te willen vastleggen, hetgeen overeen komt met 40% van de fondsmiddelen. Dat bedrag bestaat voor een deel uit nieuwe projecten uit de derde ronde, maar ook projecten uit de eerste twee ronden die nu nog de status ‘voorwaardelijk’ of ‘reservering’ hebben. De precieze verdeling wordt niet gespecificeerd. Maar uitgaande van een reguliere ronde </w:t>
      </w:r>
      <w:r w:rsidR="00462699">
        <w:t xml:space="preserve">in 2023 </w:t>
      </w:r>
      <w:r>
        <w:t>van in totaal 4 miljard euro,</w:t>
      </w:r>
      <w:r w:rsidR="00462699">
        <w:t xml:space="preserve"> zoals </w:t>
      </w:r>
      <w:hyperlink w:history="1" r:id="rId14">
        <w:r w:rsidRPr="00462699" w:rsidR="00462699">
          <w:rPr>
            <w:rStyle w:val="Hyperlink"/>
          </w:rPr>
          <w:t>deze Kamerbrief</w:t>
        </w:r>
      </w:hyperlink>
      <w:r w:rsidR="00462699">
        <w:t xml:space="preserve"> meldt,</w:t>
      </w:r>
      <w:r>
        <w:t xml:space="preserve"> zou h</w:t>
      </w:r>
      <w:r w:rsidR="0060259A">
        <w:t xml:space="preserve">et om </w:t>
      </w:r>
      <w:r w:rsidR="00462699">
        <w:t xml:space="preserve">nog eens </w:t>
      </w:r>
      <w:r w:rsidR="0060259A">
        <w:t xml:space="preserve">4 miljard euro gaan aan het omzetten </w:t>
      </w:r>
      <w:r w:rsidR="00462699">
        <w:t>van voorwaardelijke toekenningen en reserveringen uit</w:t>
      </w:r>
      <w:r w:rsidR="0060259A">
        <w:t xml:space="preserve"> vorige rondes.</w:t>
      </w:r>
    </w:p>
    <w:p w:rsidR="005C5AC7" w:rsidP="005C7C67" w:rsidRDefault="005C5AC7"/>
    <w:p w:rsidRPr="0060259A" w:rsidR="005C5AC7" w:rsidP="005C7C67" w:rsidRDefault="0060259A">
      <w:pPr>
        <w:rPr>
          <w:i/>
          <w:u w:val="single"/>
        </w:rPr>
      </w:pPr>
      <w:r w:rsidRPr="0060259A">
        <w:rPr>
          <w:i/>
          <w:noProof/>
          <w:u w:val="single"/>
        </w:rPr>
        <w:drawing>
          <wp:anchor distT="0" distB="0" distL="114300" distR="114300" simplePos="0" relativeHeight="251665408" behindDoc="0" locked="0" layoutInCell="1" allowOverlap="1">
            <wp:simplePos x="0" y="0"/>
            <wp:positionH relativeFrom="column">
              <wp:posOffset>-1371451</wp:posOffset>
            </wp:positionH>
            <wp:positionV relativeFrom="paragraph">
              <wp:posOffset>271145</wp:posOffset>
            </wp:positionV>
            <wp:extent cx="6096000" cy="3429000"/>
            <wp:effectExtent l="0" t="0" r="0" b="0"/>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pic:spPr>
                </pic:pic>
              </a:graphicData>
            </a:graphic>
          </wp:anchor>
        </w:drawing>
      </w:r>
      <w:r w:rsidRPr="0060259A">
        <w:rPr>
          <w:i/>
          <w:u w:val="single"/>
        </w:rPr>
        <w:t xml:space="preserve">Figuur 4: </w:t>
      </w:r>
      <w:r w:rsidR="00462699">
        <w:rPr>
          <w:i/>
          <w:u w:val="single"/>
        </w:rPr>
        <w:t>V</w:t>
      </w:r>
      <w:r w:rsidRPr="0060259A">
        <w:rPr>
          <w:i/>
          <w:u w:val="single"/>
        </w:rPr>
        <w:t>oorgenomen verplichtingen per begrotingsartikel, per jaar</w:t>
      </w:r>
    </w:p>
    <w:p w:rsidR="005C7C67" w:rsidP="005C7C67" w:rsidRDefault="005C7C67"/>
    <w:p w:rsidR="005C5AC7" w:rsidP="005C7C67" w:rsidRDefault="005C5AC7">
      <w:r>
        <w:t xml:space="preserve">Ten aanzien van die verplichtingen valt op dat gerekend wordt met een </w:t>
      </w:r>
      <w:r w:rsidR="0060259A">
        <w:t>gelijke</w:t>
      </w:r>
      <w:r>
        <w:t xml:space="preserve"> </w:t>
      </w:r>
      <w:r w:rsidR="0060259A">
        <w:t xml:space="preserve">verdeling over de twee pijlers. Dit </w:t>
      </w:r>
      <w:r>
        <w:t xml:space="preserve">terwijl de tussenstand na twee rondes heeft geresulteerd in een verdeling in de orde van grote van een kwart Kennisontwikkeling en drie kwart Onderzoek en innovatie. </w:t>
      </w:r>
      <w:r w:rsidR="0060259A">
        <w:t xml:space="preserve">De vraag is </w:t>
      </w:r>
      <w:r w:rsidR="00822571">
        <w:t xml:space="preserve">daarmee </w:t>
      </w:r>
      <w:r w:rsidR="0060259A">
        <w:t xml:space="preserve">of een </w:t>
      </w:r>
      <w:r w:rsidR="00822571">
        <w:t xml:space="preserve">gelijke verdeling op dit moment een </w:t>
      </w:r>
      <w:r w:rsidR="0060259A">
        <w:t>realistische inschatting is en wat daarachter de aanname is.</w:t>
      </w:r>
      <w:r w:rsidR="00462699">
        <w:t xml:space="preserve"> De Kamerbrief van 12 juli geeft </w:t>
      </w:r>
      <w:r w:rsidR="00822571">
        <w:t xml:space="preserve">daarover in elk geval </w:t>
      </w:r>
      <w:r w:rsidR="00462699">
        <w:t xml:space="preserve">aan dat voor het indienen van de begroting nog gekeken zou worden of er signalen zijn (uit contacten met het veld of </w:t>
      </w:r>
      <w:proofErr w:type="spellStart"/>
      <w:r w:rsidR="00462699">
        <w:t>quick</w:t>
      </w:r>
      <w:proofErr w:type="spellEnd"/>
      <w:r w:rsidR="00462699">
        <w:t>-scans) dat aanpassing noodzakelijk is.</w:t>
      </w:r>
      <w:r w:rsidR="00822571">
        <w:t xml:space="preserve"> </w:t>
      </w:r>
    </w:p>
    <w:p w:rsidR="005C5AC7" w:rsidP="005C7C67" w:rsidRDefault="005C5AC7"/>
    <w:p w:rsidR="005C7C67" w:rsidP="005C7C67" w:rsidRDefault="0060259A">
      <w:r>
        <w:lastRenderedPageBreak/>
        <w:t>Met betrekking tot het financieel beeld voor 2023 is verder van belang dat er</w:t>
      </w:r>
      <w:r w:rsidR="005C7C67">
        <w:t xml:space="preserve"> twee moties </w:t>
      </w:r>
      <w:r>
        <w:t xml:space="preserve">zijn </w:t>
      </w:r>
      <w:r w:rsidR="005C7C67">
        <w:t xml:space="preserve">aangenomen </w:t>
      </w:r>
      <w:r>
        <w:t xml:space="preserve">(n.a.v. de APB) </w:t>
      </w:r>
      <w:r w:rsidR="005C7C67">
        <w:t>waarbij de dekking dient te komen</w:t>
      </w:r>
      <w:r w:rsidRPr="005C7C67" w:rsidR="005C7C67">
        <w:t xml:space="preserve"> </w:t>
      </w:r>
      <w:r>
        <w:t xml:space="preserve">uit het NGF. </w:t>
      </w:r>
      <w:r w:rsidR="005C7C67">
        <w:t xml:space="preserve">Het gaat om het </w:t>
      </w:r>
      <w:hyperlink w:history="1" r:id="rId16">
        <w:r w:rsidRPr="00462699" w:rsidR="005C7C67">
          <w:rPr>
            <w:rStyle w:val="Hyperlink"/>
          </w:rPr>
          <w:t>tolvrij maken van de Westerscheldetunnel</w:t>
        </w:r>
      </w:hyperlink>
      <w:r w:rsidR="005C7C67">
        <w:t xml:space="preserve"> en een </w:t>
      </w:r>
      <w:hyperlink w:history="1" r:id="rId17">
        <w:r w:rsidRPr="00822571" w:rsidR="005C7C67">
          <w:rPr>
            <w:rStyle w:val="Hyperlink"/>
          </w:rPr>
          <w:t xml:space="preserve">compensatieregeling voor de vaste energielasten van het energie-intensief </w:t>
        </w:r>
        <w:proofErr w:type="spellStart"/>
        <w:r w:rsidRPr="00822571" w:rsidR="005C7C67">
          <w:rPr>
            <w:rStyle w:val="Hyperlink"/>
          </w:rPr>
          <w:t>mkb</w:t>
        </w:r>
        <w:proofErr w:type="spellEnd"/>
      </w:hyperlink>
      <w:r w:rsidR="005C7C67">
        <w:t xml:space="preserve">. </w:t>
      </w:r>
      <w:r w:rsidR="000D09B0">
        <w:t>Deze zijn nog niet budgettair verwerkt</w:t>
      </w:r>
      <w:r>
        <w:t xml:space="preserve"> in de begroting</w:t>
      </w:r>
      <w:r w:rsidR="000D09B0">
        <w:t>.</w:t>
      </w:r>
    </w:p>
    <w:p w:rsidR="005C7C67" w:rsidP="005C7C67" w:rsidRDefault="005C7C67"/>
    <w:p w:rsidRPr="005C7C67" w:rsidR="005C7C67" w:rsidP="005C7C67" w:rsidRDefault="005C7C67">
      <w:pPr>
        <w:pStyle w:val="RapportKop2"/>
      </w:pPr>
      <w:r>
        <w:t>Tussentijdse evalu</w:t>
      </w:r>
      <w:r w:rsidR="000D09B0">
        <w:t>atie</w:t>
      </w:r>
    </w:p>
    <w:p w:rsidR="0060259A" w:rsidP="00070C5D" w:rsidRDefault="000D09B0">
      <w:r>
        <w:t xml:space="preserve">De begroting van het Nationaal Groeifonds heeft voor het eerst een </w:t>
      </w:r>
      <w:r w:rsidRPr="00204AC7">
        <w:rPr>
          <w:b/>
        </w:rPr>
        <w:t>Strat</w:t>
      </w:r>
      <w:r w:rsidRPr="00204AC7" w:rsidR="00822571">
        <w:rPr>
          <w:b/>
        </w:rPr>
        <w:t>egische Evaluatie Agenda</w:t>
      </w:r>
      <w:r w:rsidR="00822571">
        <w:t>. Daar</w:t>
      </w:r>
      <w:r>
        <w:t xml:space="preserve"> staan drie evaluatiemomenten </w:t>
      </w:r>
      <w:r w:rsidR="0060259A">
        <w:t>op</w:t>
      </w:r>
      <w:r>
        <w:t>. Voor het aankomende jaar is een ex-</w:t>
      </w:r>
      <w:proofErr w:type="spellStart"/>
      <w:r>
        <w:t>durante</w:t>
      </w:r>
      <w:proofErr w:type="spellEnd"/>
      <w:r>
        <w:t xml:space="preserve"> </w:t>
      </w:r>
      <w:r w:rsidR="0060259A">
        <w:t xml:space="preserve">(tussentijdse) </w:t>
      </w:r>
      <w:r>
        <w:t xml:space="preserve">evaluatie gepland die zich richt op het functioneren van de </w:t>
      </w:r>
      <w:proofErr w:type="spellStart"/>
      <w:r>
        <w:t>governance</w:t>
      </w:r>
      <w:proofErr w:type="spellEnd"/>
      <w:r>
        <w:t xml:space="preserve"> van het Groeifonds. Opmerkelijk is dat het jaar erop een aparte evaluatie staat gepland van de werkzaamheden van de adviescommissie. </w:t>
      </w:r>
    </w:p>
    <w:p w:rsidR="00BC6041" w:rsidP="00070C5D" w:rsidRDefault="000D09B0">
      <w:r>
        <w:t xml:space="preserve">Tot slot is er een eindevaluatie in 2026 gepland. Die eindevaluatie zal het moeten doen met reguliere voortgangsinformatie omdat geen enkel van de projecten voor die tijd </w:t>
      </w:r>
      <w:r w:rsidR="0060259A">
        <w:t>al afgelopen en geëvalueerd is, zo vermeld</w:t>
      </w:r>
      <w:r w:rsidR="00822571">
        <w:t>t</w:t>
      </w:r>
      <w:r w:rsidR="0060259A">
        <w:t xml:space="preserve"> de begroting.</w:t>
      </w:r>
    </w:p>
    <w:p w:rsidR="000D09B0" w:rsidP="00070C5D" w:rsidRDefault="000D09B0"/>
    <w:p w:rsidR="000D09B0" w:rsidP="00070C5D" w:rsidRDefault="0060259A">
      <w:r>
        <w:t>I</w:t>
      </w:r>
      <w:r w:rsidR="000D09B0">
        <w:t xml:space="preserve">nitieel </w:t>
      </w:r>
      <w:r>
        <w:t>bestond een andere planning ten aanzien van de evaluaties en was het doel om de eerste tussentijdse evaluatie eind 2022 gereed te hebben</w:t>
      </w:r>
      <w:r w:rsidR="000D09B0">
        <w:t xml:space="preserve">. </w:t>
      </w:r>
      <w:r w:rsidR="001F1B20">
        <w:t>De</w:t>
      </w:r>
      <w:r w:rsidR="00822571">
        <w:t>ze</w:t>
      </w:r>
      <w:r w:rsidR="001F1B20">
        <w:t xml:space="preserve"> </w:t>
      </w:r>
      <w:r w:rsidR="008C5FF9">
        <w:t>initiële</w:t>
      </w:r>
      <w:r w:rsidR="001F1B20">
        <w:t xml:space="preserve"> planning zou ook meer</w:t>
      </w:r>
      <w:r w:rsidR="000D09B0">
        <w:t xml:space="preserve"> ruimte laten om iets met de bevindingen</w:t>
      </w:r>
      <w:r w:rsidR="001F1B20">
        <w:t xml:space="preserve"> uit de evaluatie</w:t>
      </w:r>
      <w:r w:rsidR="000D09B0">
        <w:t xml:space="preserve"> te doen. Zoals het er nu naar uitziet </w:t>
      </w:r>
      <w:r w:rsidR="001F1B20">
        <w:t>wordt</w:t>
      </w:r>
      <w:r w:rsidR="000D09B0">
        <w:t xml:space="preserve"> de evaluatie over de </w:t>
      </w:r>
      <w:proofErr w:type="spellStart"/>
      <w:r w:rsidR="000D09B0">
        <w:t>Governance</w:t>
      </w:r>
      <w:proofErr w:type="spellEnd"/>
      <w:r w:rsidR="000D09B0">
        <w:t xml:space="preserve"> </w:t>
      </w:r>
      <w:r w:rsidR="001F1B20">
        <w:t>pas na afloop van</w:t>
      </w:r>
      <w:r w:rsidR="000D09B0">
        <w:t xml:space="preserve"> ronde 3 </w:t>
      </w:r>
      <w:r w:rsidR="001F1B20">
        <w:t>afgerond. D</w:t>
      </w:r>
      <w:r w:rsidR="000D09B0">
        <w:t xml:space="preserve">ie van de Adviescommissie </w:t>
      </w:r>
      <w:r w:rsidR="001F1B20">
        <w:t xml:space="preserve">waarschijnlijk pas </w:t>
      </w:r>
      <w:r w:rsidR="000D09B0">
        <w:t xml:space="preserve">na </w:t>
      </w:r>
      <w:r w:rsidR="001F1B20">
        <w:t xml:space="preserve">afloop van </w:t>
      </w:r>
      <w:r w:rsidR="000D09B0">
        <w:t xml:space="preserve">ronde 4. Volgens de huidige planning zou dan respectievelijk </w:t>
      </w:r>
      <w:r w:rsidR="00A45AEA">
        <w:t xml:space="preserve">60% en 80% van het budget al zijn vastgelegd in verplichtingen. </w:t>
      </w:r>
    </w:p>
    <w:p w:rsidR="00A45AEA" w:rsidP="00070C5D" w:rsidRDefault="00A45AEA"/>
    <w:p w:rsidR="00BC6041" w:rsidP="00070C5D" w:rsidRDefault="00BC6041"/>
    <w:p w:rsidR="008D77D4" w:rsidP="00070C5D" w:rsidRDefault="008D77D4"/>
    <w:p w:rsidR="00944FEC" w:rsidP="00944FEC" w:rsidRDefault="00944FEC"/>
    <w:p w:rsidRPr="00CB24EA" w:rsidR="00CB24EA" w:rsidP="00CB24EA" w:rsidRDefault="00CB24EA"/>
    <w:p w:rsidR="0047016B" w:rsidP="00944FEC" w:rsidRDefault="00944FEC">
      <w:pPr>
        <w:pStyle w:val="RapportKop1"/>
      </w:pPr>
      <w:r>
        <w:lastRenderedPageBreak/>
        <w:t>Aandachtspunten</w:t>
      </w:r>
    </w:p>
    <w:p w:rsidR="0038179D" w:rsidP="00AA116C" w:rsidRDefault="00AA116C">
      <w:r>
        <w:t xml:space="preserve">In het kader van het rapporteurschap heeft het lid </w:t>
      </w:r>
      <w:proofErr w:type="spellStart"/>
      <w:r>
        <w:t>Grevink</w:t>
      </w:r>
      <w:proofErr w:type="spellEnd"/>
      <w:r>
        <w:t>, naast bestudering van de begroting en aanverwante stukken, verdiepende gesprekken gevoerd. Deze gesprekken zijn benut om verduidelijking te krijgen op observaties en op basis daarvan aandachts</w:t>
      </w:r>
      <w:r w:rsidR="008B3A0D">
        <w:softHyphen/>
      </w:r>
      <w:r>
        <w:t xml:space="preserve">punten te benoemen. </w:t>
      </w:r>
      <w:r w:rsidR="007E0AAE">
        <w:t xml:space="preserve">Op basis </w:t>
      </w:r>
      <w:r w:rsidR="008B3A0D">
        <w:t>hiervan</w:t>
      </w:r>
      <w:r w:rsidR="007E0AAE">
        <w:t xml:space="preserve"> komt het lid </w:t>
      </w:r>
      <w:proofErr w:type="spellStart"/>
      <w:r w:rsidR="007E0AAE">
        <w:t>Grevink</w:t>
      </w:r>
      <w:proofErr w:type="spellEnd"/>
      <w:r w:rsidR="007E0AAE">
        <w:t xml:space="preserve"> tot drie</w:t>
      </w:r>
      <w:r w:rsidR="006B33F2">
        <w:t xml:space="preserve"> overkoepelende aandachtspunten die hij met de commissie wenst te delen.</w:t>
      </w:r>
    </w:p>
    <w:p w:rsidR="006B33F2" w:rsidP="00AA116C" w:rsidRDefault="006B33F2"/>
    <w:p w:rsidRPr="006B33F2" w:rsidR="0038179D" w:rsidP="006B33F2" w:rsidRDefault="00CB3E68">
      <w:pPr>
        <w:pStyle w:val="Lijstalinea"/>
        <w:numPr>
          <w:ilvl w:val="0"/>
          <w:numId w:val="12"/>
        </w:numPr>
        <w:ind w:left="284" w:hanging="284"/>
        <w:rPr>
          <w:i/>
        </w:rPr>
      </w:pPr>
      <w:r w:rsidRPr="006B33F2">
        <w:rPr>
          <w:i/>
        </w:rPr>
        <w:t xml:space="preserve">Meer duidelijkheid over </w:t>
      </w:r>
      <w:r w:rsidR="004934AF">
        <w:rPr>
          <w:i/>
        </w:rPr>
        <w:t>sturen op doelbereik</w:t>
      </w:r>
      <w:r w:rsidR="008B3A0D">
        <w:rPr>
          <w:i/>
        </w:rPr>
        <w:t xml:space="preserve"> gewenst</w:t>
      </w:r>
    </w:p>
    <w:p w:rsidRPr="006B33F2" w:rsidR="00D5560B" w:rsidP="006B33F2" w:rsidRDefault="00CB3E68">
      <w:pPr>
        <w:pStyle w:val="Lijstalinea"/>
        <w:numPr>
          <w:ilvl w:val="0"/>
          <w:numId w:val="12"/>
        </w:numPr>
        <w:ind w:left="284" w:hanging="284"/>
        <w:rPr>
          <w:i/>
        </w:rPr>
      </w:pPr>
      <w:r w:rsidRPr="006B33F2">
        <w:rPr>
          <w:i/>
        </w:rPr>
        <w:t xml:space="preserve">Sneller tot uitvoering komen kan impact middelen vergroten </w:t>
      </w:r>
    </w:p>
    <w:p w:rsidRPr="006B33F2" w:rsidR="00D01516" w:rsidP="006B33F2" w:rsidRDefault="00CB3E68">
      <w:pPr>
        <w:pStyle w:val="Lijstalinea"/>
        <w:numPr>
          <w:ilvl w:val="0"/>
          <w:numId w:val="12"/>
        </w:numPr>
        <w:ind w:left="284" w:hanging="284"/>
        <w:rPr>
          <w:i/>
        </w:rPr>
      </w:pPr>
      <w:r w:rsidRPr="006B33F2">
        <w:rPr>
          <w:i/>
        </w:rPr>
        <w:t xml:space="preserve">Evaluaties beter timen en aangrijpen voor debat </w:t>
      </w:r>
    </w:p>
    <w:p w:rsidR="00843E5E" w:rsidP="00843E5E" w:rsidRDefault="00843E5E"/>
    <w:p w:rsidR="00D01516" w:rsidP="00843E5E" w:rsidRDefault="00CB3E68">
      <w:pPr>
        <w:pStyle w:val="RapportKop2"/>
      </w:pPr>
      <w:r>
        <w:t>Meer duidelijkheid over doelsturing gewenst</w:t>
      </w:r>
    </w:p>
    <w:p w:rsidR="00CB3E68" w:rsidP="003E6AD9" w:rsidRDefault="00CB3E68">
      <w:r>
        <w:t xml:space="preserve">Het selectieproces dient zo ingericht te zijn dat het uiteindelijk resulteert in een portfolio aan projecten die maximaal bijdraagt aan de doelen zoals die geformuleerd zijn in de groeistrategie en </w:t>
      </w:r>
      <w:r w:rsidR="004934AF">
        <w:t xml:space="preserve">die voldoen aan </w:t>
      </w:r>
      <w:r>
        <w:t xml:space="preserve">de aanvullende voorwaarden die vervolgens door de Tweede Kamer aan de besteding van </w:t>
      </w:r>
      <w:r w:rsidR="00DE3CE4">
        <w:t>fonds</w:t>
      </w:r>
      <w:r>
        <w:t xml:space="preserve">middelen zijn gesteld. </w:t>
      </w:r>
    </w:p>
    <w:p w:rsidR="00CB3E68" w:rsidP="003E6AD9" w:rsidRDefault="00CB3E68"/>
    <w:p w:rsidR="007E0AAE" w:rsidP="003E6AD9" w:rsidRDefault="001F373D">
      <w:r>
        <w:t>Dat is om meerdere reden een gecompliceerde exercitie. In de eerste plaats omdat er twijfels zijn over de praktische mogelijkheden om de investeringen te koppelen aan hun invloed op bbp- en productiviteitsgroei.</w:t>
      </w:r>
      <w:r w:rsidR="004934AF">
        <w:t xml:space="preserve"> </w:t>
      </w:r>
      <w:r w:rsidR="008B3A0D">
        <w:t>En d</w:t>
      </w:r>
      <w:r w:rsidR="004934AF">
        <w:t xml:space="preserve">at is </w:t>
      </w:r>
      <w:r w:rsidR="008B3A0D">
        <w:t xml:space="preserve">precies </w:t>
      </w:r>
      <w:r w:rsidR="004934AF">
        <w:t>het centrale doel van de Groeistrategie en het Nationaal Groeifonds.</w:t>
      </w:r>
      <w:r>
        <w:t xml:space="preserve"> </w:t>
      </w:r>
      <w:r w:rsidR="006166FF">
        <w:t xml:space="preserve">In de tweede plaats omdat het vorige hoofdstuk laat zien dat er een grote lijst met subdoelen en/of randvoorwaarden zijn. Het is onaannemelijk dat die altijd volledig met elkaar verenigbaar zijn, waardoor het noodzakelijk is om soms harde keuzes te maken. </w:t>
      </w:r>
    </w:p>
    <w:p w:rsidR="001F373D" w:rsidP="003E6AD9" w:rsidRDefault="001F373D"/>
    <w:p w:rsidR="004934AF" w:rsidP="003E6AD9" w:rsidRDefault="00DE3CE4">
      <w:r>
        <w:t xml:space="preserve">Het is wenselijk dat hier </w:t>
      </w:r>
      <w:r w:rsidRPr="004934AF">
        <w:t>voorafgaand aan de derde ronde</w:t>
      </w:r>
      <w:r>
        <w:t xml:space="preserve"> meer duidelijkheid over </w:t>
      </w:r>
      <w:r w:rsidR="004934AF">
        <w:t>komt</w:t>
      </w:r>
      <w:r>
        <w:t>.</w:t>
      </w:r>
      <w:r w:rsidR="001079E9">
        <w:t xml:space="preserve"> Is het </w:t>
      </w:r>
      <w:r w:rsidR="004934AF">
        <w:t xml:space="preserve">t.a.v. de impact op bbp-groei </w:t>
      </w:r>
      <w:r w:rsidR="001079E9">
        <w:t xml:space="preserve">bijvoorbeeld mogelijk om een </w:t>
      </w:r>
      <w:r w:rsidR="004934AF">
        <w:t>conceptueel kader uit te werken dat schetst via welke wegen of mechanismes</w:t>
      </w:r>
      <w:r w:rsidR="001079E9">
        <w:t xml:space="preserve"> ‘duurzame groei’ </w:t>
      </w:r>
      <w:r w:rsidR="004934AF">
        <w:t>tot stand kan komen</w:t>
      </w:r>
      <w:r w:rsidR="001079E9">
        <w:t xml:space="preserve"> en welke indicatoren – bij benadering – </w:t>
      </w:r>
      <w:r w:rsidR="004934AF">
        <w:t>daar</w:t>
      </w:r>
      <w:r w:rsidR="001079E9">
        <w:t xml:space="preserve"> iets hierover kunnen zeggen?</w:t>
      </w:r>
      <w:r>
        <w:t xml:space="preserve"> </w:t>
      </w:r>
      <w:r w:rsidR="004934AF">
        <w:t>Denk aan nieuwe werkgelegenheid rondom ondersteunde projecten/</w:t>
      </w:r>
      <w:proofErr w:type="spellStart"/>
      <w:r w:rsidR="004934AF">
        <w:t>eco-systemen</w:t>
      </w:r>
      <w:proofErr w:type="spellEnd"/>
      <w:r w:rsidR="004934AF">
        <w:t xml:space="preserve">, patenten of </w:t>
      </w:r>
      <w:proofErr w:type="spellStart"/>
      <w:r w:rsidR="004934AF">
        <w:t>start-ups</w:t>
      </w:r>
      <w:proofErr w:type="spellEnd"/>
      <w:r w:rsidR="004934AF">
        <w:t>. Hier valt mogelijk ook te leren van hoe elders of in het verleden over investeringen wordt/werd verantwoord.</w:t>
      </w:r>
    </w:p>
    <w:p w:rsidR="004934AF" w:rsidP="003E6AD9" w:rsidRDefault="004934AF"/>
    <w:p w:rsidR="00E9050F" w:rsidP="003E6AD9" w:rsidRDefault="004934AF">
      <w:r>
        <w:t xml:space="preserve">Ten aanzien van de concrete toepassing van allerlei randvoorwaarden die de Kamer heeft meegegeven t.a.v. de toekenning van fondsmiddelen resteren veel vragen hoe dit nu precies in de praktijk zal lopen. </w:t>
      </w:r>
      <w:r w:rsidR="001079E9">
        <w:t xml:space="preserve">Hoe zwaarwegend zijn bepaalde aanvullende voorwaarden en/of subdoelen? </w:t>
      </w:r>
      <w:r w:rsidR="00DE3CE4">
        <w:t xml:space="preserve">Hoe zwaar gaat de commissie bijvoorbeeld de bijdrage aan strategische autonomie meewegen? Welke rol speelt de (regionale) herkomst van een project nu precies in de beoordeling?   </w:t>
      </w:r>
    </w:p>
    <w:p w:rsidR="005D4BA4" w:rsidP="003E6AD9" w:rsidRDefault="005D4BA4"/>
    <w:p w:rsidR="00806DF8" w:rsidP="00806DF8" w:rsidRDefault="00806DF8">
      <w:pPr>
        <w:pStyle w:val="RapportKop2"/>
      </w:pPr>
      <w:r>
        <w:lastRenderedPageBreak/>
        <w:t>Sneller tot uitvoering komen kan de impact verder vergroten</w:t>
      </w:r>
    </w:p>
    <w:p w:rsidR="00806DF8" w:rsidP="00806DF8" w:rsidRDefault="00806DF8">
      <w:r>
        <w:t xml:space="preserve">Een snelle, efficiënte uitvoering </w:t>
      </w:r>
      <w:r w:rsidR="004B0E3B">
        <w:t>kan</w:t>
      </w:r>
      <w:r>
        <w:t xml:space="preserve"> net zo zeer een succesfactor </w:t>
      </w:r>
      <w:r w:rsidR="004B0E3B">
        <w:t xml:space="preserve">voor een project zijn </w:t>
      </w:r>
      <w:r>
        <w:t>als een goed uitgewerkt plan (</w:t>
      </w:r>
      <w:r w:rsidR="004B0E3B">
        <w:t xml:space="preserve">enkel </w:t>
      </w:r>
      <w:r>
        <w:t xml:space="preserve">op papier). Op basis van de begrotingsstukken constateert het lid </w:t>
      </w:r>
      <w:proofErr w:type="spellStart"/>
      <w:r>
        <w:t>Grevink</w:t>
      </w:r>
      <w:proofErr w:type="spellEnd"/>
      <w:r>
        <w:t xml:space="preserve"> dat eind 2022 naar verwachting 3% van de fondsmiddelen ‘aan het werk zijn gezet in projecten’. </w:t>
      </w:r>
      <w:r w:rsidR="00F37461">
        <w:t>Dit schetst het beeld dat het lang duurt voordat middelen beschikbaar komen, terwijl op veel projecten stevige internationale concurrentie plaatsvindt. Het zou wenselijk zijn om mogelijkheden te onderzoeken of er mogelijkheden voor versnelling zijn in het toekenningsproces.</w:t>
      </w:r>
    </w:p>
    <w:p w:rsidR="004B0E3B" w:rsidP="00F37461" w:rsidRDefault="004B0E3B"/>
    <w:p w:rsidR="004B0E3B" w:rsidP="00F37461" w:rsidRDefault="004B0E3B">
      <w:r>
        <w:t xml:space="preserve">De uitvoering dient ook een goed oog te hebben voor de mate waarin ze slaagt alle relevante doelgroepen te bereiken. </w:t>
      </w:r>
      <w:r w:rsidR="00F37461">
        <w:t xml:space="preserve">Met betrekking tot het doelgroep bereik </w:t>
      </w:r>
      <w:r>
        <w:t xml:space="preserve">tot op heden </w:t>
      </w:r>
      <w:r w:rsidR="00F37461">
        <w:t xml:space="preserve">zet de scheve verdeling van middelen over de pijlers </w:t>
      </w:r>
      <w:r>
        <w:t xml:space="preserve">Kennisontwikkeling en Onderzoek &amp; Innovatie </w:t>
      </w:r>
      <w:r w:rsidR="00F37461">
        <w:t xml:space="preserve">aan tot denken. Er kunnen allerlei legitieme redenen zijn, maar het </w:t>
      </w:r>
      <w:r>
        <w:t xml:space="preserve">is van belang om uit te kunnen sluiten of in de praktijk nog altijd </w:t>
      </w:r>
      <w:r w:rsidR="00F37461">
        <w:t xml:space="preserve">drempels </w:t>
      </w:r>
      <w:r>
        <w:t xml:space="preserve">worden </w:t>
      </w:r>
      <w:r w:rsidR="00F37461">
        <w:t>ervaren</w:t>
      </w:r>
      <w:r>
        <w:t xml:space="preserve"> door specifieke doelgroepen</w:t>
      </w:r>
      <w:r w:rsidR="00F37461">
        <w:t>. Als dat zo is</w:t>
      </w:r>
      <w:r>
        <w:t xml:space="preserve"> – en er potentiele doelgroepen buiten de boot dreigen te vallen – wordt het potentieel van het fonds niet ten volle benut. Het zou daarom wenselijk zijn dit structureel – en in elk geval na de derde beoordelingsronde – systematisch te inventariseren. </w:t>
      </w:r>
      <w:r w:rsidR="00F37461">
        <w:t xml:space="preserve"> </w:t>
      </w:r>
    </w:p>
    <w:p w:rsidR="00806DF8" w:rsidP="00806DF8" w:rsidRDefault="00806DF8"/>
    <w:p w:rsidR="00F37461" w:rsidP="00F37461" w:rsidRDefault="00F37461">
      <w:pPr>
        <w:pStyle w:val="RapportKop2"/>
      </w:pPr>
      <w:r>
        <w:t>Evaluaties</w:t>
      </w:r>
      <w:r w:rsidR="004B0E3B">
        <w:t xml:space="preserve"> en onderzoek</w:t>
      </w:r>
      <w:r>
        <w:t xml:space="preserve"> beter timen </w:t>
      </w:r>
    </w:p>
    <w:p w:rsidR="008B3A0D" w:rsidP="00F37461" w:rsidRDefault="004B0E3B">
      <w:r>
        <w:t>D</w:t>
      </w:r>
      <w:r w:rsidR="009D2BFA">
        <w:t xml:space="preserve">e Tweede Kamer </w:t>
      </w:r>
      <w:r>
        <w:t xml:space="preserve">bevindt zich </w:t>
      </w:r>
      <w:r w:rsidR="009D2BFA">
        <w:t xml:space="preserve">momenteel in een situatie die de parlementaire controle bemoeilijkt. Enerzijds is het </w:t>
      </w:r>
      <w:r>
        <w:t xml:space="preserve">begrijpelijk dat het </w:t>
      </w:r>
      <w:r w:rsidR="009D2BFA">
        <w:t>moeilijk</w:t>
      </w:r>
      <w:r>
        <w:t xml:space="preserve"> is</w:t>
      </w:r>
      <w:r w:rsidR="009D2BFA">
        <w:t xml:space="preserve"> om iets te zeggen over impact en doelbereik omdat de projecten nog niet op streek zijn; anderzijds zal aan het eind van 2023 naar planning 60% van de fondsmiddelen zijn vastgelegd in verplichtingen en wordt bijsturen steeds moeilijker. </w:t>
      </w:r>
    </w:p>
    <w:p w:rsidR="008B3A0D" w:rsidP="00F37461" w:rsidRDefault="008B3A0D"/>
    <w:p w:rsidR="006B33F2" w:rsidP="00F37461" w:rsidRDefault="009D2BFA">
      <w:r>
        <w:t>Om die reden is het van belang om in 2023 toch substantieel in te zetten op het vergaren van relevante inzichten en deze tijd</w:t>
      </w:r>
      <w:r w:rsidR="002872F3">
        <w:t xml:space="preserve">ig te agenderen voor een debat. </w:t>
      </w:r>
      <w:r w:rsidR="004B0E3B">
        <w:t xml:space="preserve">Dit is ook in de geest van eerdere moties. </w:t>
      </w:r>
      <w:r>
        <w:t xml:space="preserve">De motie </w:t>
      </w:r>
      <w:r w:rsidR="006B33F2">
        <w:t xml:space="preserve">Grinwis roept </w:t>
      </w:r>
      <w:r w:rsidR="002872F3">
        <w:t xml:space="preserve">bijvoorbeeld </w:t>
      </w:r>
      <w:r w:rsidR="006B33F2">
        <w:t xml:space="preserve">op om een </w:t>
      </w:r>
      <w:proofErr w:type="spellStart"/>
      <w:r w:rsidR="006B33F2">
        <w:t>tussen</w:t>
      </w:r>
      <w:r w:rsidR="004B0E3B">
        <w:t>-</w:t>
      </w:r>
      <w:r w:rsidR="006B33F2">
        <w:t>evaluatie</w:t>
      </w:r>
      <w:proofErr w:type="spellEnd"/>
      <w:r>
        <w:t xml:space="preserve"> </w:t>
      </w:r>
      <w:r w:rsidR="006B33F2">
        <w:t xml:space="preserve">te starten na de tweede ronde. </w:t>
      </w:r>
      <w:r>
        <w:t xml:space="preserve">Hoewel de motie niet expliciet stelt </w:t>
      </w:r>
      <w:r w:rsidR="006B33F2">
        <w:t xml:space="preserve">dat deze voor de derde ronde zou worden afgerond, was dat indertijd wel de verwachting. Zo spreekt de motie Heinen </w:t>
      </w:r>
      <w:r w:rsidR="002872F3">
        <w:t xml:space="preserve">namelijk </w:t>
      </w:r>
      <w:r w:rsidR="006B33F2">
        <w:t>over de t</w:t>
      </w:r>
      <w:r w:rsidRPr="006B33F2" w:rsidR="006B33F2">
        <w:t xml:space="preserve">ussentijdse evaluatie van het Nationaal Groeifonds </w:t>
      </w:r>
      <w:r w:rsidR="006B33F2">
        <w:t>“</w:t>
      </w:r>
      <w:r w:rsidRPr="006B33F2" w:rsidR="006B33F2">
        <w:rPr>
          <w:i/>
        </w:rPr>
        <w:t>die naar verwachting eind 2022 gedeeld zal worden met de Kamer</w:t>
      </w:r>
      <w:r w:rsidR="006B33F2">
        <w:t xml:space="preserve">”. </w:t>
      </w:r>
    </w:p>
    <w:p w:rsidR="006B33F2" w:rsidP="00F37461" w:rsidRDefault="006B33F2"/>
    <w:p w:rsidR="002872F3" w:rsidP="00F37461" w:rsidRDefault="009D2BFA">
      <w:r>
        <w:t xml:space="preserve">Tegen </w:t>
      </w:r>
      <w:r w:rsidR="006B33F2">
        <w:t>de</w:t>
      </w:r>
      <w:r>
        <w:t xml:space="preserve"> achtergrond </w:t>
      </w:r>
      <w:r w:rsidR="006B33F2">
        <w:t xml:space="preserve">van deze moties constateert het lid </w:t>
      </w:r>
      <w:proofErr w:type="spellStart"/>
      <w:r w:rsidR="006B33F2">
        <w:t>Grevink</w:t>
      </w:r>
      <w:proofErr w:type="spellEnd"/>
      <w:r w:rsidR="006B33F2">
        <w:t xml:space="preserve"> dat het onwenselijk is dat er nu evaluaties lijken te komen </w:t>
      </w:r>
      <w:r w:rsidR="004B0E3B">
        <w:t xml:space="preserve">pas </w:t>
      </w:r>
      <w:r w:rsidR="006B33F2">
        <w:t xml:space="preserve">na de derde ronde in 2023 (over de </w:t>
      </w:r>
      <w:proofErr w:type="spellStart"/>
      <w:r w:rsidR="006B33F2">
        <w:t>governance</w:t>
      </w:r>
      <w:proofErr w:type="spellEnd"/>
      <w:r w:rsidR="006B33F2">
        <w:t>) en apart nog een in 2024 (over de werkwijze van de commissie)</w:t>
      </w:r>
      <w:r w:rsidR="002872F3">
        <w:t xml:space="preserve">. </w:t>
      </w:r>
      <w:r w:rsidR="004B0E3B">
        <w:t>D</w:t>
      </w:r>
      <w:r w:rsidR="00933985">
        <w:t xml:space="preserve">aarnaast constateert het lid </w:t>
      </w:r>
      <w:proofErr w:type="spellStart"/>
      <w:r w:rsidR="00933985">
        <w:t>Grevink</w:t>
      </w:r>
      <w:proofErr w:type="spellEnd"/>
      <w:r w:rsidR="00933985">
        <w:t xml:space="preserve"> dat er ook acties in gang zijn gezet voor het Nationaal Groeifonds in het kader van de </w:t>
      </w:r>
      <w:hyperlink w:history="1" r:id="rId18">
        <w:r w:rsidRPr="00933985" w:rsidR="00933985">
          <w:rPr>
            <w:rStyle w:val="Hyperlink"/>
          </w:rPr>
          <w:t>Kamerbrief Innovatie en Impact</w:t>
        </w:r>
      </w:hyperlink>
      <w:r w:rsidR="00933985">
        <w:t>.</w:t>
      </w:r>
      <w:r w:rsidR="002872F3">
        <w:t xml:space="preserve"> Deze acties zijn gericht op het verscherpen of verduidelijken van het beleidskader waarbinnen het NGF probeert haar doelen te bereiken. </w:t>
      </w:r>
      <w:r w:rsidR="00933985">
        <w:t xml:space="preserve"> </w:t>
      </w:r>
    </w:p>
    <w:p w:rsidR="002872F3" w:rsidP="00F37461" w:rsidRDefault="002872F3"/>
    <w:p w:rsidR="004B0E3B" w:rsidP="00F37461" w:rsidRDefault="000306B3">
      <w:r>
        <w:t xml:space="preserve">In het bijzonder gaat het in de Kamerbrief over twee punten. Ten eerste over </w:t>
      </w:r>
      <w:r w:rsidR="00933985">
        <w:t xml:space="preserve">het maken van strategische keuzes </w:t>
      </w:r>
      <w:r>
        <w:t xml:space="preserve">vanuit/in </w:t>
      </w:r>
      <w:r w:rsidR="00933985">
        <w:t xml:space="preserve">een nationaal technologiebeleid. </w:t>
      </w:r>
      <w:r>
        <w:t>Ten tweede over</w:t>
      </w:r>
      <w:r w:rsidR="00933985">
        <w:t xml:space="preserve"> het </w:t>
      </w:r>
      <w:r>
        <w:t xml:space="preserve">centraler stellen van het bewerkstelligen van </w:t>
      </w:r>
      <w:r w:rsidR="00933985">
        <w:t xml:space="preserve">maatschappelijke impact </w:t>
      </w:r>
      <w:r>
        <w:t>(en niet enkele R&amp;D).</w:t>
      </w:r>
      <w:r w:rsidR="008B3A0D">
        <w:t xml:space="preserve"> </w:t>
      </w:r>
      <w:r w:rsidR="002872F3">
        <w:t>In relatie tot het Groeifonds merkt de brief op:</w:t>
      </w:r>
    </w:p>
    <w:p w:rsidR="000306B3" w:rsidP="00D03D8F" w:rsidRDefault="002872F3">
      <w:pPr>
        <w:pStyle w:val="Lijstalinea"/>
        <w:numPr>
          <w:ilvl w:val="0"/>
          <w:numId w:val="17"/>
        </w:numPr>
      </w:pPr>
      <w:r w:rsidRPr="000306B3">
        <w:rPr>
          <w:b/>
        </w:rPr>
        <w:t>Scherpe keuzes in nationale technologiebeleid (Q3)</w:t>
      </w:r>
      <w:r>
        <w:t xml:space="preserve">: </w:t>
      </w:r>
      <w:r w:rsidRPr="002872F3">
        <w:t xml:space="preserve">We herijken en monitoren de </w:t>
      </w:r>
      <w:r>
        <w:t xml:space="preserve"> </w:t>
      </w:r>
      <w:r w:rsidRPr="002872F3">
        <w:t xml:space="preserve">lijst </w:t>
      </w:r>
      <w:r>
        <w:t>met 50 sleuteltechnologieën</w:t>
      </w:r>
      <w:r w:rsidRPr="002872F3">
        <w:t xml:space="preserve">, en identificeren op basis daarvan 10 speerpunten. </w:t>
      </w:r>
      <w:r w:rsidRPr="000306B3">
        <w:rPr>
          <w:i/>
        </w:rPr>
        <w:t>Deze strategie biedt ook duidelijke kaders voor investeringen uit het Nationaal Groeifonds</w:t>
      </w:r>
      <w:r w:rsidRPr="002872F3">
        <w:t xml:space="preserve">; </w:t>
      </w:r>
    </w:p>
    <w:p w:rsidR="002872F3" w:rsidP="00D03D8F" w:rsidRDefault="002872F3">
      <w:pPr>
        <w:pStyle w:val="Lijstalinea"/>
        <w:numPr>
          <w:ilvl w:val="0"/>
          <w:numId w:val="17"/>
        </w:numPr>
      </w:pPr>
      <w:r w:rsidRPr="000306B3">
        <w:rPr>
          <w:b/>
        </w:rPr>
        <w:t>Maatschappelijke impact vergroten (Q1)</w:t>
      </w:r>
      <w:r>
        <w:t xml:space="preserve">: Het kabinet wil </w:t>
      </w:r>
      <w:r w:rsidRPr="002872F3">
        <w:t xml:space="preserve">de impact van het </w:t>
      </w:r>
      <w:r>
        <w:t>NGF</w:t>
      </w:r>
      <w:r w:rsidRPr="002872F3">
        <w:t xml:space="preserve"> optimaliseren. Daarvoor is een heldere positionering in het bredere innovatielandschap van belang</w:t>
      </w:r>
      <w:r w:rsidRPr="000306B3">
        <w:rPr>
          <w:i/>
        </w:rPr>
        <w:t>. Met behulp van contextanalyses worden de NGF-projecten beter ingebed in de bredere beleidsagenda van departementen</w:t>
      </w:r>
      <w:r w:rsidRPr="002872F3">
        <w:t xml:space="preserve">. </w:t>
      </w:r>
    </w:p>
    <w:p w:rsidR="004B0E3B" w:rsidP="00F37461" w:rsidRDefault="004B0E3B"/>
    <w:p w:rsidR="008B3A0D" w:rsidP="00F37461" w:rsidRDefault="000306B3">
      <w:r>
        <w:t xml:space="preserve">Het lid </w:t>
      </w:r>
      <w:proofErr w:type="spellStart"/>
      <w:r>
        <w:t>Grevink</w:t>
      </w:r>
      <w:proofErr w:type="spellEnd"/>
      <w:r>
        <w:t xml:space="preserve"> acht het wenselijk dat zoveel mogelijk van bovengenoemde inzichten </w:t>
      </w:r>
      <w:r w:rsidR="008B3A0D">
        <w:t xml:space="preserve">uit de geplande evaluaties en acties uit de Kamerbrief ‘Innovatie en impact’ </w:t>
      </w:r>
      <w:r>
        <w:t>tijdig naar de Tweede Kamer komen. Idealiter voordat de beoordeling v</w:t>
      </w:r>
      <w:r w:rsidR="008B3A0D">
        <w:t xml:space="preserve">an de derde ronde plaatsvindt. Dit maakt het mogelijk </w:t>
      </w:r>
      <w:r>
        <w:t xml:space="preserve">dat de adviescommissie deze inzichten – na bespreking van de </w:t>
      </w:r>
      <w:r w:rsidR="008B3A0D">
        <w:t xml:space="preserve">onderzoeken door de </w:t>
      </w:r>
      <w:r>
        <w:t xml:space="preserve">bewindspersoon met de Tweede Kamer – deze in de praktijk </w:t>
      </w:r>
      <w:r w:rsidR="008B3A0D">
        <w:t xml:space="preserve">nog </w:t>
      </w:r>
      <w:r>
        <w:t xml:space="preserve">kan toepassen. </w:t>
      </w:r>
    </w:p>
    <w:p w:rsidR="008B3A0D" w:rsidP="00F37461" w:rsidRDefault="008B3A0D"/>
    <w:p w:rsidR="000306B3" w:rsidP="00F37461" w:rsidRDefault="000306B3">
      <w:r>
        <w:t xml:space="preserve">Het lid </w:t>
      </w:r>
      <w:proofErr w:type="spellStart"/>
      <w:r>
        <w:t>Grevink</w:t>
      </w:r>
      <w:proofErr w:type="spellEnd"/>
      <w:r>
        <w:t xml:space="preserve"> vraagt daarbij tevens af of d</w:t>
      </w:r>
      <w:r w:rsidR="008B3A0D">
        <w:t>e betreffende onderzoeken</w:t>
      </w:r>
      <w:r>
        <w:t xml:space="preserve"> zo kunnen worden vormgegeven dat het centrale aandachtspunt van de Algemene Rekenkamer over het Groeifonds </w:t>
      </w:r>
      <w:r w:rsidR="008B3A0D">
        <w:t xml:space="preserve">uit het </w:t>
      </w:r>
      <w:hyperlink w:history="1" r:id="rId19">
        <w:r w:rsidRPr="008B3A0D" w:rsidR="008B3A0D">
          <w:rPr>
            <w:rStyle w:val="Hyperlink"/>
          </w:rPr>
          <w:t>recente verantwoordingsonderzoek</w:t>
        </w:r>
      </w:hyperlink>
      <w:r w:rsidR="008B3A0D">
        <w:t xml:space="preserve"> </w:t>
      </w:r>
      <w:r>
        <w:t>kan worden geadresseerd. Namelijk dat vooraf beter wordt nagedacht en uitgewerkt aan welke (</w:t>
      </w:r>
      <w:proofErr w:type="spellStart"/>
      <w:r>
        <w:t>beleids</w:t>
      </w:r>
      <w:proofErr w:type="spellEnd"/>
      <w:r>
        <w:t>)resultaten het Groeifonds dient bij te dragen en in welke mate, en ook de informatie te verzamelen op basis waarvan uitspraken over doeltreffendheid en doelmatigheid mogelijk worden.</w:t>
      </w:r>
      <w:r w:rsidR="008B3A0D">
        <w:t xml:space="preserve"> Dit sluit tevens aan bij de geconstateerde noodzaak van een uitgewerkt conceptueel kader (beleidstheorie) m.b.t. de mechanismes hoe projecten van het groeifonds – in samenhang met</w:t>
      </w:r>
      <w:r w:rsidR="003979AF">
        <w:t xml:space="preserve"> elkaar en</w:t>
      </w:r>
      <w:r w:rsidR="008B3A0D">
        <w:t xml:space="preserve"> ander beleid – naar </w:t>
      </w:r>
      <w:r w:rsidR="003979AF">
        <w:t>verwachting door</w:t>
      </w:r>
      <w:r w:rsidR="008B3A0D">
        <w:t>werken in extra duurzame, structurele groei.</w:t>
      </w:r>
    </w:p>
    <w:p w:rsidR="003979AF" w:rsidP="00F37461" w:rsidRDefault="003979AF"/>
    <w:p w:rsidR="003979AF" w:rsidP="00F37461" w:rsidRDefault="003979AF">
      <w:r>
        <w:t xml:space="preserve">Een gerelateerd </w:t>
      </w:r>
      <w:r w:rsidR="00204AC7">
        <w:t xml:space="preserve">laatste </w:t>
      </w:r>
      <w:r>
        <w:t xml:space="preserve">punt is tot slot dat </w:t>
      </w:r>
      <w:r w:rsidR="00204AC7">
        <w:t xml:space="preserve">een heldere positionering van het NGF in het innovatielandschap ook vereist hoe – bezien vanuit potentiele doelgroepen – de wereld van fondsen en publieke routes voor bedrijfsfinanciering functioneert. Het lid </w:t>
      </w:r>
      <w:proofErr w:type="spellStart"/>
      <w:r w:rsidR="00204AC7">
        <w:t>Grevink</w:t>
      </w:r>
      <w:proofErr w:type="spellEnd"/>
      <w:r w:rsidR="00204AC7">
        <w:t xml:space="preserve"> constateert dat deze wereld steeds complexer is geworden, wat nog verder zal toenemen wanneer nieuwe fondsen als het Klimaatfonds, het Transitiefonds en het fonds voor Onderzoek en Wetenschap van start gaan.</w:t>
      </w:r>
    </w:p>
    <w:p w:rsidR="000306B3" w:rsidP="00F37461" w:rsidRDefault="000306B3"/>
    <w:p w:rsidR="00204AC7" w:rsidP="00F37461" w:rsidRDefault="00204AC7"/>
    <w:p w:rsidR="00204AC7" w:rsidP="00F37461" w:rsidRDefault="00204AC7"/>
    <w:p w:rsidR="00204AC7" w:rsidP="00F37461" w:rsidRDefault="00204AC7"/>
    <w:p w:rsidR="000306B3" w:rsidP="000306B3" w:rsidRDefault="00575036">
      <w:pPr>
        <w:pStyle w:val="RapportKop2"/>
      </w:pPr>
      <w:r>
        <w:lastRenderedPageBreak/>
        <w:t>Voorstel en vraagsuggesties</w:t>
      </w:r>
    </w:p>
    <w:p w:rsidR="004B0E3B" w:rsidP="00F37461" w:rsidRDefault="00575036">
      <w:r>
        <w:t xml:space="preserve">Op basis van het rapporteurverslag stelt het lid </w:t>
      </w:r>
      <w:proofErr w:type="spellStart"/>
      <w:r>
        <w:t>Grevink</w:t>
      </w:r>
      <w:proofErr w:type="spellEnd"/>
      <w:r>
        <w:t xml:space="preserve"> </w:t>
      </w:r>
      <w:r w:rsidR="008B3A0D">
        <w:t xml:space="preserve">allereerst voor aan de vaste commissie voor Economische Zaken en Klimaat om voorafgaand aan de derde beoordelingsronde een technische briefing met de beoordelingscommissie te organiseren. Hierin kan zij ingaan op de wijze waarop zij projecten zal gaan selecteren en hoe daarbij invulling wordt gegeven aan de diverse moties vanuit de Kamer. </w:t>
      </w:r>
    </w:p>
    <w:p w:rsidR="00575036" w:rsidP="00F37461" w:rsidRDefault="00575036"/>
    <w:p w:rsidR="008B3A0D" w:rsidP="00F37461" w:rsidRDefault="008B3A0D"/>
    <w:p w:rsidR="008B3A0D" w:rsidP="00F37461" w:rsidRDefault="008B3A0D"/>
    <w:p w:rsidR="00575036" w:rsidP="00575036" w:rsidRDefault="008B3A0D">
      <w:pPr>
        <w:pBdr>
          <w:top w:val="single" w:color="auto" w:sz="4" w:space="1"/>
          <w:left w:val="single" w:color="auto" w:sz="4" w:space="4"/>
          <w:bottom w:val="single" w:color="auto" w:sz="4" w:space="1"/>
          <w:right w:val="single" w:color="auto" w:sz="4" w:space="4"/>
        </w:pBdr>
      </w:pPr>
      <w:r>
        <w:t>Voorstel</w:t>
      </w:r>
      <w:r w:rsidR="00575036">
        <w:t>:</w:t>
      </w:r>
    </w:p>
    <w:p w:rsidR="008B3A0D" w:rsidP="00F37461" w:rsidRDefault="008B3A0D">
      <w:pPr>
        <w:pStyle w:val="Lijstalinea"/>
        <w:numPr>
          <w:ilvl w:val="0"/>
          <w:numId w:val="13"/>
        </w:numPr>
        <w:pBdr>
          <w:top w:val="single" w:color="auto" w:sz="4" w:space="1"/>
          <w:left w:val="single" w:color="auto" w:sz="4" w:space="4"/>
          <w:bottom w:val="single" w:color="auto" w:sz="4" w:space="1"/>
          <w:right w:val="single" w:color="auto" w:sz="4" w:space="4"/>
        </w:pBdr>
        <w:rPr>
          <w:i/>
        </w:rPr>
      </w:pPr>
      <w:r>
        <w:rPr>
          <w:i/>
        </w:rPr>
        <w:t>Stemt u in met het organiseren van een technische briefing met de beoordelingscommissie van het groeifonds over hoe zij in de derde ronde projecten zal selecteren en daarbij rekening houdt met moties van de Kamer?</w:t>
      </w:r>
    </w:p>
    <w:p w:rsidR="006B33F2" w:rsidP="00806DF8" w:rsidRDefault="006B33F2"/>
    <w:p w:rsidR="00937D36" w:rsidP="00806DF8" w:rsidRDefault="00937D36">
      <w:r>
        <w:t xml:space="preserve">Daarnaast stelt het lid </w:t>
      </w:r>
      <w:proofErr w:type="spellStart"/>
      <w:r>
        <w:t>Grevink</w:t>
      </w:r>
      <w:proofErr w:type="spellEnd"/>
      <w:r>
        <w:t xml:space="preserve"> voor om het verzoek door te geleiden aan de minister om zo spoedig mogelijk, idealiter voor de derde beoordelingsronde, de Kamer relevante onderzoeken te sturen zodat die hiervoor nog kunnen worden benut. Daarbij stelt het lid </w:t>
      </w:r>
      <w:proofErr w:type="spellStart"/>
      <w:r>
        <w:t>Grevink</w:t>
      </w:r>
      <w:proofErr w:type="spellEnd"/>
      <w:r>
        <w:t xml:space="preserve"> voor om in die onderzoeken zo goed als mogelijk invulling te geven aan het kritiekpunt van de Rekenkamer dat vooralsnog de onderbouwing van verwachte resultaten beperkt is, waardoor uitspraken over doeltreffendheid en doelmatigheid sterk worden bemoeilijkt.</w:t>
      </w:r>
    </w:p>
    <w:p w:rsidR="00937D36" w:rsidP="00806DF8" w:rsidRDefault="00937D36"/>
    <w:p w:rsidR="004934AF" w:rsidP="004934AF" w:rsidRDefault="004934AF">
      <w:pPr>
        <w:pBdr>
          <w:top w:val="single" w:color="auto" w:sz="4" w:space="1"/>
          <w:left w:val="single" w:color="auto" w:sz="4" w:space="4"/>
          <w:bottom w:val="single" w:color="auto" w:sz="4" w:space="1"/>
          <w:right w:val="single" w:color="auto" w:sz="4" w:space="4"/>
        </w:pBdr>
      </w:pPr>
      <w:r>
        <w:t>Vraagsuggesties:</w:t>
      </w:r>
    </w:p>
    <w:p w:rsidRPr="00937D36" w:rsidR="00937D36" w:rsidP="00937D36" w:rsidRDefault="00937D36">
      <w:pPr>
        <w:pStyle w:val="Lijstalinea"/>
        <w:numPr>
          <w:ilvl w:val="0"/>
          <w:numId w:val="13"/>
        </w:numPr>
        <w:pBdr>
          <w:top w:val="single" w:color="auto" w:sz="4" w:space="1"/>
          <w:left w:val="single" w:color="auto" w:sz="4" w:space="4"/>
          <w:bottom w:val="single" w:color="auto" w:sz="4" w:space="1"/>
          <w:right w:val="single" w:color="auto" w:sz="4" w:space="4"/>
        </w:pBdr>
        <w:rPr>
          <w:i/>
        </w:rPr>
      </w:pPr>
      <w:r>
        <w:rPr>
          <w:i/>
        </w:rPr>
        <w:t>Is de minister bereid de</w:t>
      </w:r>
      <w:r w:rsidR="00575036">
        <w:rPr>
          <w:i/>
        </w:rPr>
        <w:t xml:space="preserve"> geplande evaluaties </w:t>
      </w:r>
      <w:r>
        <w:rPr>
          <w:i/>
        </w:rPr>
        <w:t xml:space="preserve">(in 2023 en 2024) </w:t>
      </w:r>
      <w:r w:rsidR="00575036">
        <w:rPr>
          <w:i/>
        </w:rPr>
        <w:t xml:space="preserve">over de </w:t>
      </w:r>
      <w:proofErr w:type="spellStart"/>
      <w:r w:rsidR="00575036">
        <w:rPr>
          <w:i/>
        </w:rPr>
        <w:t>governance</w:t>
      </w:r>
      <w:proofErr w:type="spellEnd"/>
      <w:r w:rsidR="00575036">
        <w:rPr>
          <w:i/>
        </w:rPr>
        <w:t xml:space="preserve"> en de werkwijze van de commissie, alsmede de Nationale Technologieagenda en departementale context-</w:t>
      </w:r>
      <w:r w:rsidRPr="00937D36" w:rsidR="00575036">
        <w:rPr>
          <w:i/>
        </w:rPr>
        <w:t>analyses</w:t>
      </w:r>
      <w:r w:rsidRPr="00575036" w:rsidR="00575036">
        <w:rPr>
          <w:b/>
          <w:i/>
        </w:rPr>
        <w:t xml:space="preserve"> </w:t>
      </w:r>
      <w:r w:rsidRPr="00937D36">
        <w:rPr>
          <w:i/>
        </w:rPr>
        <w:t>(uit de Kamerbrief Innovatie en Impact)</w:t>
      </w:r>
      <w:r>
        <w:rPr>
          <w:b/>
          <w:i/>
        </w:rPr>
        <w:t xml:space="preserve"> </w:t>
      </w:r>
      <w:r w:rsidRPr="00575036" w:rsidR="00575036">
        <w:rPr>
          <w:b/>
          <w:i/>
        </w:rPr>
        <w:t>voor de derde beoordelingsronde</w:t>
      </w:r>
      <w:r w:rsidR="00575036">
        <w:rPr>
          <w:i/>
        </w:rPr>
        <w:t xml:space="preserve"> aan de Kamer te sturen? </w:t>
      </w:r>
    </w:p>
    <w:p w:rsidRPr="006B33F2" w:rsidR="00575036" w:rsidP="004934AF" w:rsidRDefault="00575036">
      <w:pPr>
        <w:pStyle w:val="Lijstalinea"/>
        <w:numPr>
          <w:ilvl w:val="0"/>
          <w:numId w:val="13"/>
        </w:numPr>
        <w:pBdr>
          <w:top w:val="single" w:color="auto" w:sz="4" w:space="1"/>
          <w:left w:val="single" w:color="auto" w:sz="4" w:space="4"/>
          <w:bottom w:val="single" w:color="auto" w:sz="4" w:space="1"/>
          <w:right w:val="single" w:color="auto" w:sz="4" w:space="4"/>
        </w:pBdr>
        <w:rPr>
          <w:i/>
        </w:rPr>
      </w:pPr>
      <w:r>
        <w:rPr>
          <w:i/>
        </w:rPr>
        <w:t xml:space="preserve">Is de minister bereid om in betreffende onderzoeken het aandachtspunt van de Algemene Rekenkamer te adresseren en hierin uit te werken welke bijdrage van het Groeifonds wordt verwacht </w:t>
      </w:r>
      <w:r w:rsidR="00937D36">
        <w:rPr>
          <w:i/>
        </w:rPr>
        <w:t>en hoe dat gemonitord kan worden?</w:t>
      </w:r>
    </w:p>
    <w:p w:rsidR="004934AF" w:rsidP="00806DF8" w:rsidRDefault="004934AF"/>
    <w:p w:rsidRPr="00843E5E" w:rsidR="00843E5E" w:rsidP="003E6AD9" w:rsidRDefault="00843E5E"/>
    <w:sectPr w:rsidRPr="00843E5E" w:rsidR="00843E5E">
      <w:headerReference w:type="even" r:id="rId20"/>
      <w:headerReference w:type="default" r:id="rId21"/>
      <w:footerReference w:type="even" r:id="rId22"/>
      <w:footerReference w:type="default" r:id="rId23"/>
      <w:headerReference w:type="first" r:id="rId24"/>
      <w:footerReference w:type="first" r:id="rId25"/>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7A5" w:rsidRDefault="005E77A5">
      <w:pPr>
        <w:spacing w:line="240" w:lineRule="auto"/>
      </w:pPr>
      <w:r>
        <w:separator/>
      </w:r>
    </w:p>
  </w:endnote>
  <w:endnote w:type="continuationSeparator" w:id="0">
    <w:p w:rsidR="005E77A5" w:rsidRDefault="005E7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57" w:rsidRDefault="00D001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A5" w:rsidRDefault="005E77A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A5" w:rsidRDefault="005E77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7A5" w:rsidRDefault="005E77A5">
      <w:pPr>
        <w:spacing w:line="240" w:lineRule="auto"/>
      </w:pPr>
      <w:r>
        <w:separator/>
      </w:r>
    </w:p>
  </w:footnote>
  <w:footnote w:type="continuationSeparator" w:id="0">
    <w:p w:rsidR="005E77A5" w:rsidRDefault="005E77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57" w:rsidRDefault="00D001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A5" w:rsidRDefault="005E77A5">
    <w:r>
      <w:rPr>
        <w:noProof/>
      </w:rPr>
      <mc:AlternateContent>
        <mc:Choice Requires="wps">
          <w:drawing>
            <wp:anchor distT="0" distB="0" distL="0" distR="0" simplePos="0" relativeHeight="251653120" behindDoc="0" locked="1" layoutInCell="1" allowOverlap="1">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5E77A5" w:rsidRDefault="005E77A5">
                          <w:pPr>
                            <w:pStyle w:val="Standaard65"/>
                          </w:pPr>
                          <w:r>
                            <w:tab/>
                            <w:t>datum</w:t>
                          </w:r>
                          <w:r>
                            <w:tab/>
                          </w:r>
                          <w:sdt>
                            <w:sdtPr>
                              <w:id w:val="-277408486"/>
                              <w:date w:fullDate="2022-10-21T00:00:00Z">
                                <w:dateFormat w:val="d MMMM yyyy"/>
                                <w:lid w:val="nl"/>
                                <w:storeMappedDataAs w:val="dateTime"/>
                                <w:calendar w:val="gregorian"/>
                              </w:date>
                            </w:sdtPr>
                            <w:sdtEndPr/>
                            <w:sdtContent>
                              <w:r>
                                <w:t>21 oktober 2022</w:t>
                              </w:r>
                            </w:sdtContent>
                          </w:sdt>
                        </w:p>
                        <w:p w:rsidR="005E77A5" w:rsidRDefault="005E77A5">
                          <w:pPr>
                            <w:pStyle w:val="Standaard65"/>
                          </w:pPr>
                          <w:r>
                            <w:tab/>
                            <w:t>onderwerp</w:t>
                          </w:r>
                          <w:r>
                            <w:tab/>
                            <w:t>Begrotingsonderzoek Groeifonds</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rsidR="005E77A5" w:rsidRDefault="005E77A5">
                    <w:pPr>
                      <w:pStyle w:val="Standaard65"/>
                    </w:pPr>
                    <w:r>
                      <w:tab/>
                      <w:t>datum</w:t>
                    </w:r>
                    <w:r>
                      <w:tab/>
                    </w:r>
                    <w:sdt>
                      <w:sdtPr>
                        <w:id w:val="-277408486"/>
                        <w:date w:fullDate="2022-10-21T00:00:00Z">
                          <w:dateFormat w:val="d MMMM yyyy"/>
                          <w:lid w:val="nl"/>
                          <w:storeMappedDataAs w:val="dateTime"/>
                          <w:calendar w:val="gregorian"/>
                        </w:date>
                      </w:sdtPr>
                      <w:sdtContent>
                        <w:r>
                          <w:t>21 oktober 2022</w:t>
                        </w:r>
                      </w:sdtContent>
                    </w:sdt>
                  </w:p>
                  <w:p w:rsidR="005E77A5" w:rsidRDefault="005E77A5">
                    <w:pPr>
                      <w:pStyle w:val="Standaard65"/>
                    </w:pPr>
                    <w:r>
                      <w:tab/>
                      <w:t>onderwerp</w:t>
                    </w:r>
                    <w:r>
                      <w:tab/>
                      <w:t>Begrotingsonderzoek Groeifonds</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5E77A5" w:rsidRDefault="005E77A5">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0c1ec8dc-b7b7-11ea-8943-0242ac130003" o:spid="_x0000_s1027"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rsidR="005E77A5" w:rsidRDefault="005E77A5">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5E77A5" w:rsidRDefault="005E77A5">
                          <w:pPr>
                            <w:pStyle w:val="Standaard65rechtsuitgelijnd"/>
                          </w:pPr>
                          <w:r>
                            <w:t xml:space="preserve">pagina </w:t>
                          </w:r>
                          <w:r>
                            <w:fldChar w:fldCharType="begin"/>
                          </w:r>
                          <w:r>
                            <w:instrText>PAGE</w:instrText>
                          </w:r>
                          <w:r>
                            <w:fldChar w:fldCharType="separate"/>
                          </w:r>
                          <w:r w:rsidR="00D00157">
                            <w:rPr>
                              <w:noProof/>
                            </w:rPr>
                            <w:t>13</w:t>
                          </w:r>
                          <w:r>
                            <w:fldChar w:fldCharType="end"/>
                          </w:r>
                          <w:r>
                            <w:t>/</w:t>
                          </w:r>
                          <w:r>
                            <w:fldChar w:fldCharType="begin"/>
                          </w:r>
                          <w:r>
                            <w:instrText>NUMPAGES</w:instrText>
                          </w:r>
                          <w:r>
                            <w:fldChar w:fldCharType="separate"/>
                          </w:r>
                          <w:r w:rsidR="00D00157">
                            <w:rPr>
                              <w:noProof/>
                            </w:rPr>
                            <w:t>13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d206-b7b7-11ea-8943-0242ac130003" o:spid="_x0000_s1028"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rsidR="005E77A5" w:rsidRDefault="005E77A5">
                    <w:pPr>
                      <w:pStyle w:val="Standaard65rechtsuitgelijnd"/>
                    </w:pPr>
                    <w:r>
                      <w:t xml:space="preserve">pagina </w:t>
                    </w:r>
                    <w:r>
                      <w:fldChar w:fldCharType="begin"/>
                    </w:r>
                    <w:r>
                      <w:instrText>PAGE</w:instrText>
                    </w:r>
                    <w:r>
                      <w:fldChar w:fldCharType="separate"/>
                    </w:r>
                    <w:r w:rsidR="00D00157">
                      <w:rPr>
                        <w:noProof/>
                      </w:rPr>
                      <w:t>13</w:t>
                    </w:r>
                    <w:r>
                      <w:fldChar w:fldCharType="end"/>
                    </w:r>
                    <w:r>
                      <w:t>/</w:t>
                    </w:r>
                    <w:r>
                      <w:fldChar w:fldCharType="begin"/>
                    </w:r>
                    <w:r>
                      <w:instrText>NUMPAGES</w:instrText>
                    </w:r>
                    <w:r>
                      <w:fldChar w:fldCharType="separate"/>
                    </w:r>
                    <w:r w:rsidR="00D00157">
                      <w:rPr>
                        <w:noProof/>
                      </w:rPr>
                      <w:t>13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A5" w:rsidRDefault="005E77A5">
    <w:pPr>
      <w:spacing w:after="6390" w:line="14" w:lineRule="exact"/>
    </w:pPr>
    <w:r>
      <w:rPr>
        <w:noProof/>
      </w:rPr>
      <mc:AlternateContent>
        <mc:Choice Requires="wps">
          <w:drawing>
            <wp:anchor distT="0" distB="0" distL="0" distR="0" simplePos="0" relativeHeight="251656192" behindDoc="0" locked="1" layoutInCell="1" allowOverlap="1">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rsidR="005E77A5" w:rsidRDefault="00D00157">
                          <w:pPr>
                            <w:pStyle w:val="Documenttitel"/>
                          </w:pPr>
                          <w:r>
                            <w:tab/>
                          </w:r>
                          <w:r>
                            <w:tab/>
                            <w:t>Verslag rapporteur</w:t>
                          </w:r>
                        </w:p>
                        <w:p w:rsidR="005E77A5" w:rsidRDefault="005E77A5">
                          <w:pPr>
                            <w:pStyle w:val="Witregel65ptdubbel"/>
                          </w:pPr>
                        </w:p>
                        <w:p w:rsidR="005E77A5" w:rsidRDefault="005E77A5">
                          <w:pPr>
                            <w:pStyle w:val="Standaard65"/>
                          </w:pPr>
                          <w:r>
                            <w:tab/>
                            <w:t>aan</w:t>
                          </w:r>
                          <w:r>
                            <w:tab/>
                            <w:t>Leden en plv. leden van de vaste commissie voor EZK</w:t>
                          </w:r>
                        </w:p>
                        <w:p w:rsidR="005E77A5" w:rsidRDefault="005E77A5">
                          <w:pPr>
                            <w:pStyle w:val="Standaard65"/>
                          </w:pPr>
                          <w:r>
                            <w:tab/>
                            <w:t>van</w:t>
                          </w:r>
                          <w:r>
                            <w:tab/>
                          </w:r>
                          <w:r w:rsidR="00D00157">
                            <w:t>R</w:t>
                          </w:r>
                          <w:r>
                            <w:t xml:space="preserve">apporteur </w:t>
                          </w:r>
                          <w:proofErr w:type="spellStart"/>
                          <w:r>
                            <w:t>Grevink</w:t>
                          </w:r>
                          <w:proofErr w:type="spellEnd"/>
                        </w:p>
                        <w:p w:rsidR="005E77A5" w:rsidRDefault="005E77A5">
                          <w:pPr>
                            <w:pStyle w:val="Witregel65ptdubbel"/>
                          </w:pPr>
                        </w:p>
                        <w:p w:rsidR="005E77A5" w:rsidRDefault="005E77A5">
                          <w:pPr>
                            <w:pStyle w:val="Standaard65"/>
                          </w:pPr>
                          <w:r>
                            <w:tab/>
                            <w:t>datum</w:t>
                          </w:r>
                          <w:r>
                            <w:tab/>
                          </w:r>
                          <w:sdt>
                            <w:sdtPr>
                              <w:id w:val="-392586388"/>
                              <w:date w:fullDate="2022-10-21T00:00:00Z">
                                <w:dateFormat w:val="d MMMM yyyy"/>
                                <w:lid w:val="nl"/>
                                <w:storeMappedDataAs w:val="dateTime"/>
                                <w:calendar w:val="gregorian"/>
                              </w:date>
                            </w:sdtPr>
                            <w:sdtEndPr/>
                            <w:sdtContent>
                              <w:r>
                                <w:t>21 oktober 2022</w:t>
                              </w:r>
                            </w:sdtContent>
                          </w:sdt>
                        </w:p>
                        <w:p w:rsidR="005E77A5" w:rsidRDefault="005E77A5">
                          <w:pPr>
                            <w:pStyle w:val="Standaard65"/>
                          </w:pPr>
                          <w:r>
                            <w:tab/>
                            <w:t>onderwerp</w:t>
                          </w:r>
                          <w:r>
                            <w:tab/>
                          </w:r>
                          <w:r w:rsidR="00D00157">
                            <w:t>Verslag rapporteur begroting</w:t>
                          </w:r>
                          <w:r>
                            <w:t xml:space="preserve"> </w:t>
                          </w:r>
                          <w:r w:rsidR="00D00157">
                            <w:t>N</w:t>
                          </w:r>
                          <w:bookmarkStart w:id="0" w:name="_GoBack"/>
                          <w:bookmarkEnd w:id="0"/>
                          <w:r w:rsidR="00D00157">
                            <w:t xml:space="preserve">ationaal </w:t>
                          </w:r>
                          <w:r>
                            <w:t>Groeifonds</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3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" filled="f" stroked="f">
              <v:textbox inset="0,0,0,0">
                <w:txbxContent>
                  <w:p w:rsidR="005E77A5" w:rsidRDefault="00D00157">
                    <w:pPr>
                      <w:pStyle w:val="Documenttitel"/>
                    </w:pPr>
                    <w:r>
                      <w:tab/>
                    </w:r>
                    <w:r>
                      <w:tab/>
                      <w:t>Verslag rapporteur</w:t>
                    </w:r>
                  </w:p>
                  <w:p w:rsidR="005E77A5" w:rsidRDefault="005E77A5">
                    <w:pPr>
                      <w:pStyle w:val="Witregel65ptdubbel"/>
                    </w:pPr>
                  </w:p>
                  <w:p w:rsidR="005E77A5" w:rsidRDefault="005E77A5">
                    <w:pPr>
                      <w:pStyle w:val="Standaard65"/>
                    </w:pPr>
                    <w:r>
                      <w:tab/>
                      <w:t>aan</w:t>
                    </w:r>
                    <w:r>
                      <w:tab/>
                      <w:t>Leden en plv. leden van de vaste commissie voor EZK</w:t>
                    </w:r>
                  </w:p>
                  <w:p w:rsidR="005E77A5" w:rsidRDefault="005E77A5">
                    <w:pPr>
                      <w:pStyle w:val="Standaard65"/>
                    </w:pPr>
                    <w:r>
                      <w:tab/>
                      <w:t>van</w:t>
                    </w:r>
                    <w:r>
                      <w:tab/>
                    </w:r>
                    <w:r w:rsidR="00D00157">
                      <w:t>R</w:t>
                    </w:r>
                    <w:r>
                      <w:t xml:space="preserve">apporteur </w:t>
                    </w:r>
                    <w:proofErr w:type="spellStart"/>
                    <w:r>
                      <w:t>Grevink</w:t>
                    </w:r>
                    <w:proofErr w:type="spellEnd"/>
                  </w:p>
                  <w:p w:rsidR="005E77A5" w:rsidRDefault="005E77A5">
                    <w:pPr>
                      <w:pStyle w:val="Witregel65ptdubbel"/>
                    </w:pPr>
                  </w:p>
                  <w:p w:rsidR="005E77A5" w:rsidRDefault="005E77A5">
                    <w:pPr>
                      <w:pStyle w:val="Standaard65"/>
                    </w:pPr>
                    <w:r>
                      <w:tab/>
                      <w:t>datum</w:t>
                    </w:r>
                    <w:r>
                      <w:tab/>
                    </w:r>
                    <w:sdt>
                      <w:sdtPr>
                        <w:id w:val="-392586388"/>
                        <w:date w:fullDate="2022-10-21T00:00:00Z">
                          <w:dateFormat w:val="d MMMM yyyy"/>
                          <w:lid w:val="nl"/>
                          <w:storeMappedDataAs w:val="dateTime"/>
                          <w:calendar w:val="gregorian"/>
                        </w:date>
                      </w:sdtPr>
                      <w:sdtEndPr/>
                      <w:sdtContent>
                        <w:r>
                          <w:t>21 oktober 2022</w:t>
                        </w:r>
                      </w:sdtContent>
                    </w:sdt>
                  </w:p>
                  <w:p w:rsidR="005E77A5" w:rsidRDefault="005E77A5">
                    <w:pPr>
                      <w:pStyle w:val="Standaard65"/>
                    </w:pPr>
                    <w:r>
                      <w:tab/>
                      <w:t>onderwerp</w:t>
                    </w:r>
                    <w:r>
                      <w:tab/>
                    </w:r>
                    <w:r w:rsidR="00D00157">
                      <w:t>Verslag rapporteur begroting</w:t>
                    </w:r>
                    <w:r>
                      <w:t xml:space="preserve"> </w:t>
                    </w:r>
                    <w:r w:rsidR="00D00157">
                      <w:t>N</w:t>
                    </w:r>
                    <w:bookmarkStart w:id="1" w:name="_GoBack"/>
                    <w:bookmarkEnd w:id="1"/>
                    <w:r w:rsidR="00D00157">
                      <w:t xml:space="preserve">ationaal </w:t>
                    </w:r>
                    <w:r>
                      <w:t>Groeifonds</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4751705</wp:posOffset>
              </wp:positionH>
              <wp:positionV relativeFrom="page">
                <wp:posOffset>2159635</wp:posOffset>
              </wp:positionV>
              <wp:extent cx="2047875" cy="1691639"/>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691639"/>
                      </a:xfrm>
                      <a:prstGeom prst="rect">
                        <a:avLst/>
                      </a:prstGeom>
                      <a:noFill/>
                    </wps:spPr>
                    <wps:txbx>
                      <w:txbxContent>
                        <w:p w:rsidR="005E77A5" w:rsidRDefault="005E77A5">
                          <w:pPr>
                            <w:pStyle w:val="Standaard65rechtsuitgelijnd"/>
                          </w:pPr>
                          <w:r>
                            <w:t xml:space="preserve">  </w:t>
                          </w:r>
                        </w:p>
                      </w:txbxContent>
                    </wps:txbx>
                    <wps:bodyPr vert="horz" wrap="square" lIns="0" tIns="0" rIns="0" bIns="0" anchor="t" anchorCtr="0"/>
                  </wps:wsp>
                </a:graphicData>
              </a:graphic>
            </wp:anchor>
          </w:drawing>
        </mc:Choice>
        <mc:Fallback>
          <w:pict>
            <v:shape id="0c1ecd3c-b7b7-11ea-8943-0242ac130003" o:spid="_x0000_s1030" type="#_x0000_t202" style="position:absolute;margin-left:374.15pt;margin-top:170.05pt;width:161.25pt;height:13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" filled="f" stroked="f">
              <v:textbox inset="0,0,0,0">
                <w:txbxContent>
                  <w:p w:rsidR="005E77A5" w:rsidRDefault="005E77A5">
                    <w:pPr>
                      <w:pStyle w:val="Standaard65rechtsuitgelijnd"/>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5E77A5" w:rsidRDefault="005E77A5">
                          <w:pPr>
                            <w:pStyle w:val="Rubricering"/>
                          </w:pPr>
                          <w:r>
                            <w:t>INTERN GEBRUIK</w:t>
                          </w:r>
                        </w:p>
                      </w:txbxContent>
                    </wps:txbx>
                    <wps:bodyPr vert="horz" wrap="square" lIns="0" tIns="0" rIns="0" bIns="0" anchor="t" anchorCtr="0"/>
                  </wps:wsp>
                </a:graphicData>
              </a:graphic>
            </wp:anchor>
          </w:drawing>
        </mc:Choice>
        <mc:Fallback>
          <w:pict>
            <v:shape id="0c1ed0cc-b7b7-11ea-8943-0242ac130003" o:spid="_x0000_s1031"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rsidR="005E77A5" w:rsidRDefault="005E77A5">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5E77A5" w:rsidRDefault="005E77A5">
                          <w:pPr>
                            <w:spacing w:line="240" w:lineRule="auto"/>
                          </w:pPr>
                          <w:r>
                            <w:rPr>
                              <w:noProof/>
                            </w:rPr>
                            <w:drawing>
                              <wp:inline distT="0" distB="0" distL="0" distR="0">
                                <wp:extent cx="431800" cy="860559"/>
                                <wp:effectExtent l="0" t="0" r="0" b="0"/>
                                <wp:docPr id="8"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2"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rsidR="005E77A5" w:rsidRDefault="005E77A5">
                    <w:pPr>
                      <w:spacing w:line="240" w:lineRule="auto"/>
                    </w:pPr>
                    <w:r>
                      <w:rPr>
                        <w:noProof/>
                      </w:rPr>
                      <w:drawing>
                        <wp:inline distT="0" distB="0" distL="0" distR="0">
                          <wp:extent cx="431800" cy="860559"/>
                          <wp:effectExtent l="0" t="0" r="0" b="0"/>
                          <wp:docPr id="8"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5E77A5" w:rsidRDefault="005E77A5">
                          <w:pPr>
                            <w:spacing w:line="240" w:lineRule="auto"/>
                          </w:pPr>
                          <w:r>
                            <w:rPr>
                              <w:noProof/>
                            </w:rPr>
                            <w:drawing>
                              <wp:inline distT="0" distB="0" distL="0" distR="0">
                                <wp:extent cx="3070225" cy="1238284"/>
                                <wp:effectExtent l="0" t="0" r="0" b="0"/>
                                <wp:docPr id="10"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3"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rsidR="005E77A5" w:rsidRDefault="005E77A5">
                    <w:pPr>
                      <w:spacing w:line="240" w:lineRule="auto"/>
                    </w:pPr>
                    <w:r>
                      <w:rPr>
                        <w:noProof/>
                      </w:rPr>
                      <w:drawing>
                        <wp:inline distT="0" distB="0" distL="0" distR="0">
                          <wp:extent cx="3070225" cy="1238284"/>
                          <wp:effectExtent l="0" t="0" r="0" b="0"/>
                          <wp:docPr id="10"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5E77A5" w:rsidRDefault="005E77A5">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0c1ed141-b7b7-11ea-8943-0242ac130003" o:spid="_x0000_s1034"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J66g2+/AQAAVAMAAA4AAAAAAAAAAAAAAAAA&#10;LgIAAGRycy9lMm9Eb2MueG1sUEsBAi0AFAAGAAgAAAAhAEyduHHgAAAADgEAAA8AAAAAAAAAAAAA&#10;AAAAGQQAAGRycy9kb3ducmV2LnhtbFBLBQYAAAAABAAEAPMAAAAmBQAAAAA=&#10;" filled="f" stroked="f">
              <v:textbox inset="0,0,0,0">
                <w:txbxContent>
                  <w:p w:rsidR="005E77A5" w:rsidRDefault="005E77A5">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5E77A5" w:rsidRDefault="005E77A5">
                          <w:pPr>
                            <w:pStyle w:val="Standaard65rechtsuitgelijnd"/>
                          </w:pPr>
                          <w:r>
                            <w:t xml:space="preserve">pagina </w:t>
                          </w:r>
                          <w:r>
                            <w:fldChar w:fldCharType="begin"/>
                          </w:r>
                          <w:r>
                            <w:instrText>PAGE</w:instrText>
                          </w:r>
                          <w:r>
                            <w:fldChar w:fldCharType="separate"/>
                          </w:r>
                          <w:r w:rsidR="00D00157">
                            <w:rPr>
                              <w:noProof/>
                            </w:rPr>
                            <w:t>1</w:t>
                          </w:r>
                          <w:r>
                            <w:fldChar w:fldCharType="end"/>
                          </w:r>
                          <w:r>
                            <w:t>/</w:t>
                          </w:r>
                          <w:r>
                            <w:fldChar w:fldCharType="begin"/>
                          </w:r>
                          <w:r>
                            <w:instrText>NUMPAGES</w:instrText>
                          </w:r>
                          <w:r>
                            <w:fldChar w:fldCharType="separate"/>
                          </w:r>
                          <w:r w:rsidR="00D00157">
                            <w:rPr>
                              <w:noProof/>
                            </w:rPr>
                            <w:t>13</w:t>
                          </w:r>
                          <w:r>
                            <w:fldChar w:fldCharType="end"/>
                          </w:r>
                        </w:p>
                      </w:txbxContent>
                    </wps:txbx>
                    <wps:bodyPr vert="horz" wrap="square" lIns="0" tIns="0" rIns="0" bIns="0" anchor="t" anchorCtr="0"/>
                  </wps:wsp>
                </a:graphicData>
              </a:graphic>
            </wp:anchor>
          </w:drawing>
        </mc:Choice>
        <mc:Fallback>
          <w:pict>
            <v:shape id="0c1ed168-b7b7-11ea-8943-0242ac130003"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KDlmq/AAQAAVAMAAA4AAAAAAAAAAAAAAAAA&#10;LgIAAGRycy9lMm9Eb2MueG1sUEsBAi0AFAAGAAgAAAAhAHKtuVPfAAAADgEAAA8AAAAAAAAAAAAA&#10;AAAAGgQAAGRycy9kb3ducmV2LnhtbFBLBQYAAAAABAAEAPMAAAAmBQAAAAA=&#10;" filled="f" stroked="f">
              <v:textbox inset="0,0,0,0">
                <w:txbxContent>
                  <w:p w:rsidR="005E77A5" w:rsidRDefault="005E77A5">
                    <w:pPr>
                      <w:pStyle w:val="Standaard65rechtsuitgelijnd"/>
                    </w:pPr>
                    <w:r>
                      <w:t xml:space="preserve">pagina </w:t>
                    </w:r>
                    <w:r>
                      <w:fldChar w:fldCharType="begin"/>
                    </w:r>
                    <w:r>
                      <w:instrText>PAGE</w:instrText>
                    </w:r>
                    <w:r>
                      <w:fldChar w:fldCharType="separate"/>
                    </w:r>
                    <w:r w:rsidR="00D00157">
                      <w:rPr>
                        <w:noProof/>
                      </w:rPr>
                      <w:t>1</w:t>
                    </w:r>
                    <w:r>
                      <w:fldChar w:fldCharType="end"/>
                    </w:r>
                    <w:r>
                      <w:t>/</w:t>
                    </w:r>
                    <w:r>
                      <w:fldChar w:fldCharType="begin"/>
                    </w:r>
                    <w:r>
                      <w:instrText>NUMPAGES</w:instrText>
                    </w:r>
                    <w:r>
                      <w:fldChar w:fldCharType="separate"/>
                    </w:r>
                    <w:r w:rsidR="00D00157">
                      <w:rPr>
                        <w:noProof/>
                      </w:rPr>
                      <w:t>13</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7D007"/>
    <w:multiLevelType w:val="multilevel"/>
    <w:tmpl w:val="603A2D3B"/>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935DED"/>
    <w:multiLevelType w:val="multilevel"/>
    <w:tmpl w:val="016F7561"/>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940093"/>
    <w:multiLevelType w:val="multilevel"/>
    <w:tmpl w:val="3664E15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D2504C"/>
    <w:multiLevelType w:val="multilevel"/>
    <w:tmpl w:val="1F116F1C"/>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2E1AE4"/>
    <w:multiLevelType w:val="hybridMultilevel"/>
    <w:tmpl w:val="06542696"/>
    <w:lvl w:ilvl="0" w:tplc="1E98328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A41085E"/>
    <w:multiLevelType w:val="hybridMultilevel"/>
    <w:tmpl w:val="5C22EAF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1251AC"/>
    <w:multiLevelType w:val="hybridMultilevel"/>
    <w:tmpl w:val="55F87D8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B45923"/>
    <w:multiLevelType w:val="multilevel"/>
    <w:tmpl w:val="18565CE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1A79A5"/>
    <w:multiLevelType w:val="hybridMultilevel"/>
    <w:tmpl w:val="D5687D68"/>
    <w:lvl w:ilvl="0" w:tplc="3CE0E76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CC5920"/>
    <w:multiLevelType w:val="hybridMultilevel"/>
    <w:tmpl w:val="E5E4F494"/>
    <w:lvl w:ilvl="0" w:tplc="9426FDD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12423D"/>
    <w:multiLevelType w:val="multilevel"/>
    <w:tmpl w:val="E25E4C80"/>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3A0313D"/>
    <w:multiLevelType w:val="hybridMultilevel"/>
    <w:tmpl w:val="C8BA42A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FC46587"/>
    <w:multiLevelType w:val="multilevel"/>
    <w:tmpl w:val="06D5E13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06C58"/>
    <w:multiLevelType w:val="multilevel"/>
    <w:tmpl w:val="205A48A5"/>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1CA06B"/>
    <w:multiLevelType w:val="multilevel"/>
    <w:tmpl w:val="AD2B2469"/>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C89991"/>
    <w:multiLevelType w:val="multilevel"/>
    <w:tmpl w:val="AF77415F"/>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732F29F3"/>
    <w:multiLevelType w:val="hybridMultilevel"/>
    <w:tmpl w:val="002C18BC"/>
    <w:lvl w:ilvl="0" w:tplc="692A09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
  </w:num>
  <w:num w:numId="5">
    <w:abstractNumId w:val="13"/>
  </w:num>
  <w:num w:numId="6">
    <w:abstractNumId w:val="2"/>
  </w:num>
  <w:num w:numId="7">
    <w:abstractNumId w:val="14"/>
  </w:num>
  <w:num w:numId="8">
    <w:abstractNumId w:val="12"/>
  </w:num>
  <w:num w:numId="9">
    <w:abstractNumId w:val="7"/>
  </w:num>
  <w:num w:numId="10">
    <w:abstractNumId w:val="3"/>
  </w:num>
  <w:num w:numId="11">
    <w:abstractNumId w:val="16"/>
  </w:num>
  <w:num w:numId="12">
    <w:abstractNumId w:val="6"/>
  </w:num>
  <w:num w:numId="13">
    <w:abstractNumId w:val="5"/>
  </w:num>
  <w:num w:numId="14">
    <w:abstractNumId w:val="11"/>
  </w:num>
  <w:num w:numId="15">
    <w:abstractNumId w:val="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E4"/>
    <w:rsid w:val="000013C5"/>
    <w:rsid w:val="000306B3"/>
    <w:rsid w:val="00070C5D"/>
    <w:rsid w:val="000D09B0"/>
    <w:rsid w:val="000D59DC"/>
    <w:rsid w:val="001003DC"/>
    <w:rsid w:val="001079E9"/>
    <w:rsid w:val="0011759D"/>
    <w:rsid w:val="00130E02"/>
    <w:rsid w:val="00136BE5"/>
    <w:rsid w:val="00177136"/>
    <w:rsid w:val="001B352F"/>
    <w:rsid w:val="001B6CF8"/>
    <w:rsid w:val="001F1B20"/>
    <w:rsid w:val="001F373D"/>
    <w:rsid w:val="00203677"/>
    <w:rsid w:val="00204AC7"/>
    <w:rsid w:val="0021480B"/>
    <w:rsid w:val="00256693"/>
    <w:rsid w:val="00284DF0"/>
    <w:rsid w:val="002872F3"/>
    <w:rsid w:val="002B4D69"/>
    <w:rsid w:val="002B4FA7"/>
    <w:rsid w:val="002B5531"/>
    <w:rsid w:val="002B7141"/>
    <w:rsid w:val="002E4BCD"/>
    <w:rsid w:val="002E729A"/>
    <w:rsid w:val="0031382A"/>
    <w:rsid w:val="0032090B"/>
    <w:rsid w:val="003723AE"/>
    <w:rsid w:val="0038179D"/>
    <w:rsid w:val="003979AF"/>
    <w:rsid w:val="003B4C25"/>
    <w:rsid w:val="003E6AD9"/>
    <w:rsid w:val="003F61C5"/>
    <w:rsid w:val="00404543"/>
    <w:rsid w:val="0042704A"/>
    <w:rsid w:val="004322DB"/>
    <w:rsid w:val="00446394"/>
    <w:rsid w:val="00456970"/>
    <w:rsid w:val="00462699"/>
    <w:rsid w:val="0047016B"/>
    <w:rsid w:val="004934AF"/>
    <w:rsid w:val="004B0E3B"/>
    <w:rsid w:val="005000C4"/>
    <w:rsid w:val="005078D5"/>
    <w:rsid w:val="00527FCF"/>
    <w:rsid w:val="0053434E"/>
    <w:rsid w:val="005519EB"/>
    <w:rsid w:val="00575036"/>
    <w:rsid w:val="005A1EB9"/>
    <w:rsid w:val="005A6FC2"/>
    <w:rsid w:val="005C5AC7"/>
    <w:rsid w:val="005C7C67"/>
    <w:rsid w:val="005D4BA4"/>
    <w:rsid w:val="005E77A5"/>
    <w:rsid w:val="0060259A"/>
    <w:rsid w:val="006061E4"/>
    <w:rsid w:val="006166FF"/>
    <w:rsid w:val="00625825"/>
    <w:rsid w:val="006317BE"/>
    <w:rsid w:val="00641E84"/>
    <w:rsid w:val="0064417C"/>
    <w:rsid w:val="006B33F2"/>
    <w:rsid w:val="006B709D"/>
    <w:rsid w:val="00747C5B"/>
    <w:rsid w:val="007568E2"/>
    <w:rsid w:val="00760A39"/>
    <w:rsid w:val="00781C78"/>
    <w:rsid w:val="007E0AAE"/>
    <w:rsid w:val="007F1F8A"/>
    <w:rsid w:val="008005D5"/>
    <w:rsid w:val="00803230"/>
    <w:rsid w:val="00806DF8"/>
    <w:rsid w:val="00822571"/>
    <w:rsid w:val="00843E5E"/>
    <w:rsid w:val="00860E35"/>
    <w:rsid w:val="00895B85"/>
    <w:rsid w:val="008B3A0D"/>
    <w:rsid w:val="008C5FF9"/>
    <w:rsid w:val="008D77D4"/>
    <w:rsid w:val="00926996"/>
    <w:rsid w:val="00933985"/>
    <w:rsid w:val="00937D36"/>
    <w:rsid w:val="00944FEC"/>
    <w:rsid w:val="009471A0"/>
    <w:rsid w:val="00950D8D"/>
    <w:rsid w:val="0096585C"/>
    <w:rsid w:val="0098385E"/>
    <w:rsid w:val="00987DC7"/>
    <w:rsid w:val="009B3E62"/>
    <w:rsid w:val="009D2A2B"/>
    <w:rsid w:val="009D2BFA"/>
    <w:rsid w:val="009E1130"/>
    <w:rsid w:val="009E5CD0"/>
    <w:rsid w:val="00A116A3"/>
    <w:rsid w:val="00A2340A"/>
    <w:rsid w:val="00A45AEA"/>
    <w:rsid w:val="00A9499B"/>
    <w:rsid w:val="00AA116C"/>
    <w:rsid w:val="00AA2B4B"/>
    <w:rsid w:val="00AB2190"/>
    <w:rsid w:val="00AB4FB3"/>
    <w:rsid w:val="00AF38A4"/>
    <w:rsid w:val="00B52AD7"/>
    <w:rsid w:val="00B6336C"/>
    <w:rsid w:val="00B76551"/>
    <w:rsid w:val="00B94254"/>
    <w:rsid w:val="00BA5784"/>
    <w:rsid w:val="00BC6041"/>
    <w:rsid w:val="00C54433"/>
    <w:rsid w:val="00C66FE3"/>
    <w:rsid w:val="00CA28E9"/>
    <w:rsid w:val="00CB24EA"/>
    <w:rsid w:val="00CB3E68"/>
    <w:rsid w:val="00CD0C84"/>
    <w:rsid w:val="00D00157"/>
    <w:rsid w:val="00D01516"/>
    <w:rsid w:val="00D5560B"/>
    <w:rsid w:val="00DE3CE4"/>
    <w:rsid w:val="00DE5EDA"/>
    <w:rsid w:val="00DF06E2"/>
    <w:rsid w:val="00E9050F"/>
    <w:rsid w:val="00E93E25"/>
    <w:rsid w:val="00F01B5A"/>
    <w:rsid w:val="00F259A5"/>
    <w:rsid w:val="00F37461"/>
    <w:rsid w:val="00F73888"/>
    <w:rsid w:val="00F97D75"/>
    <w:rsid w:val="00FA561E"/>
    <w:rsid w:val="00FF4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37C0"/>
  <w15:docId w15:val="{CD9496E3-9EDA-4EFF-8DC2-8FEED13B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basedOn w:val="Standaard"/>
    <w:uiPriority w:val="34"/>
    <w:semiHidden/>
    <w:rsid w:val="00456970"/>
    <w:pPr>
      <w:ind w:left="720"/>
      <w:contextualSpacing/>
    </w:pPr>
  </w:style>
  <w:style w:type="table" w:styleId="Tabelraster">
    <w:name w:val="Table Grid"/>
    <w:basedOn w:val="Standaardtabel"/>
    <w:uiPriority w:val="39"/>
    <w:rsid w:val="002B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A45AEA"/>
    <w:rPr>
      <w:vertAlign w:val="superscript"/>
    </w:rPr>
  </w:style>
  <w:style w:type="paragraph" w:styleId="Ballontekst">
    <w:name w:val="Balloon Text"/>
    <w:basedOn w:val="Standaard"/>
    <w:link w:val="BallontekstChar"/>
    <w:uiPriority w:val="99"/>
    <w:semiHidden/>
    <w:unhideWhenUsed/>
    <w:rsid w:val="008C5FF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C5FF9"/>
    <w:rPr>
      <w:rFonts w:ascii="Segoe UI" w:hAnsi="Segoe UI" w:cs="Segoe UI"/>
      <w:color w:val="000000"/>
      <w:sz w:val="18"/>
      <w:szCs w:val="18"/>
    </w:rPr>
  </w:style>
  <w:style w:type="paragraph" w:styleId="Koptekst">
    <w:name w:val="header"/>
    <w:basedOn w:val="Standaard"/>
    <w:link w:val="KoptekstChar"/>
    <w:uiPriority w:val="99"/>
    <w:unhideWhenUsed/>
    <w:rsid w:val="00D001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0157"/>
    <w:rPr>
      <w:rFonts w:ascii="Verdana" w:hAnsi="Verdana"/>
      <w:color w:val="000000"/>
      <w:sz w:val="18"/>
      <w:szCs w:val="18"/>
    </w:rPr>
  </w:style>
  <w:style w:type="paragraph" w:styleId="Voettekst">
    <w:name w:val="footer"/>
    <w:basedOn w:val="Standaard"/>
    <w:link w:val="VoettekstChar"/>
    <w:uiPriority w:val="99"/>
    <w:unhideWhenUsed/>
    <w:rsid w:val="00D001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015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https://parlementenwetenschap.nl/instrumentarium/wetenschapstoets-van-voorgenomen-beleid/" TargetMode="External" Id="rId8" /><Relationship Type="http://schemas.openxmlformats.org/officeDocument/2006/relationships/hyperlink" Target="https://zoek.officielebekendmakingen.nl/kst-1041903" TargetMode="External" Id="rId13" /><Relationship Type="http://schemas.openxmlformats.org/officeDocument/2006/relationships/hyperlink" Target="https://www.rijksoverheid.nl/documenten/kamerstukken/2022/11/11/kamerbrief-innovatie-en-impact"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www.rijksoverheid.nl/documenten/kamerstukken/2022/09/23/doelstelling-nationaal-groeifonds" TargetMode="External" Id="rId12" /><Relationship Type="http://schemas.openxmlformats.org/officeDocument/2006/relationships/hyperlink" Target="https://www.taxence.nl/nieuws/tweede-kamer-wil-compensatieregeling-energie-intensieve-mkb-bedrijven/" TargetMode="External" Id="rId17" /><Relationship Type="http://schemas.openxmlformats.org/officeDocument/2006/relationships/footer" Target="footer3.xml" Id="rId25" /><Relationship Type="http://schemas.openxmlformats.org/officeDocument/2006/relationships/numbering" Target="numbering.xml" Id="rId2" /><Relationship Type="http://schemas.openxmlformats.org/officeDocument/2006/relationships/hyperlink" Target="https://nos.nl/regio/zeeland/artikel/309156-tweede-kamer-unaniem-westerscheldetunnel-in-2025-tolvrij" TargetMode="External" Id="rId16" /><Relationship Type="http://schemas.openxmlformats.org/officeDocument/2006/relationships/header" Target="header1.xml" Id="rId20" /><Relationship Type="http://schemas.openxmlformats.org/officeDocument/2006/relationships/footnotes" Target="footnotes.xml" Id="rId6" /><Relationship Type="http://schemas.openxmlformats.org/officeDocument/2006/relationships/image" Target="media/image3.gif"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image" Target="media/image4.gif" Id="rId15" /><Relationship Type="http://schemas.openxmlformats.org/officeDocument/2006/relationships/footer" Target="footer2.xml" Id="rId23" /><Relationship Type="http://schemas.openxmlformats.org/officeDocument/2006/relationships/image" Target="media/image2.gif" Id="rId10" /><Relationship Type="http://schemas.openxmlformats.org/officeDocument/2006/relationships/hyperlink" Target="https://www.rekenkamer.nl/publicaties/rapporten/2022/05/18/resultaten-verantwoordingsonderzoek-2021-nationaal-groeifonds" TargetMode="Externa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zoek.officielebekendmakingen.nl/kst-1041903"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0.png"/><Relationship Id="rId1" Type="http://schemas.openxmlformats.org/officeDocument/2006/relationships/image" Target="media/image5.png"/><Relationship Id="rId4" Type="http://schemas.openxmlformats.org/officeDocument/2006/relationships/image" Target="media/image6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3890</ap:Words>
  <ap:Characters>21395</ap:Characters>
  <ap:DocSecurity>4</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2022-11-16T14:43:00.0000000Z</lastPrinted>
  <dcterms:created xsi:type="dcterms:W3CDTF">2022-11-24T14:50:00.0000000Z</dcterms:created>
  <dcterms:modified xsi:type="dcterms:W3CDTF">2022-11-24T14:50:00.0000000Z</dcterms:modified>
  <dc:description>------------------------</dc:description>
  <dc:subject/>
  <dc:title/>
  <keywords/>
  <version/>
  <category/>
</coreProperties>
</file>