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7C401D">
                            <w:pPr>
                              <w:pStyle w:val="Huisstijl-Agendatitel"/>
                              <w:ind w:left="0" w:firstLine="0"/>
                              <w:jc w:val="right"/>
                            </w:pPr>
                            <w:r>
                              <w:t>24</w:t>
                            </w:r>
                            <w:r w:rsidR="009378AE">
                              <w:t xml:space="preserve"> november 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7C401D">
                      <w:pPr>
                        <w:pStyle w:val="Huisstijl-Agendatitel"/>
                        <w:ind w:left="0" w:firstLine="0"/>
                        <w:jc w:val="right"/>
                      </w:pPr>
                      <w:r>
                        <w:t>24</w:t>
                      </w:r>
                      <w:r w:rsidR="009378AE">
                        <w:t xml:space="preserve"> november 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007C401D" w:rsidP="007C401D" w:rsidRDefault="007C401D">
            <w:pPr>
              <w:shd w:val="clear" w:color="auto" w:fill="FFFFFF"/>
              <w:spacing w:after="75"/>
              <w:rPr>
                <w:szCs w:val="18"/>
                <w:lang w:eastAsia="nl-NL"/>
              </w:rPr>
            </w:pPr>
            <w:r>
              <w:rPr>
                <w:szCs w:val="18"/>
              </w:rPr>
              <w:t>Voorstel voor een VERORDENING VAN HET EUROPEES PARLEMENT EN DE RAAD tot wijziging van Verordening (EU, Euratom) 2018/1046 met betrekking tot de vaststelling van een gediversifieerde financieringsstrategie als algemene leenmethode</w:t>
            </w:r>
          </w:p>
          <w:p w:rsidRPr="00A9227F" w:rsidR="002A4BD8" w:rsidP="007C401D" w:rsidRDefault="006F62D3">
            <w:pPr>
              <w:spacing w:after="240"/>
              <w:rPr>
                <w:b/>
                <w:color w:val="595959" w:themeColor="text1" w:themeTint="A6"/>
                <w:szCs w:val="18"/>
              </w:rPr>
            </w:pPr>
            <w:hyperlink w:history="1" r:id="rId15">
              <w:r w:rsidR="007C401D">
                <w:rPr>
                  <w:rStyle w:val="Hyperlink"/>
                  <w:szCs w:val="18"/>
                </w:rPr>
                <w:t>COM(2022)596</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3B0AE9">
            <w:pPr>
              <w:spacing w:after="240"/>
              <w:rPr>
                <w:szCs w:val="18"/>
              </w:rPr>
            </w:pPr>
            <w:r w:rsidRPr="00602161">
              <w:rPr>
                <w:szCs w:val="18"/>
              </w:rPr>
              <w:t>Via de gebruikelijke route behandelen, waarbij het voorstel en het nog te ontvangen BNC-fiche worden geagendeerd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6F62D3" w:rsidRDefault="003B0AE9">
            <w:pPr>
              <w:spacing w:after="240"/>
              <w:rPr>
                <w:color w:val="595959" w:themeColor="text1" w:themeTint="A6"/>
                <w:szCs w:val="18"/>
              </w:rPr>
            </w:pPr>
            <w:r>
              <w:rPr>
                <w:color w:val="595959" w:themeColor="text1" w:themeTint="A6"/>
                <w:szCs w:val="18"/>
              </w:rPr>
              <w:t xml:space="preserve">Onderdeel van het wetgevend pakket om de financiële steun aan Oekraine mogelijk te maken. Dit betreft een voorstel voor een verordening om </w:t>
            </w:r>
            <w:r w:rsidR="00A25512">
              <w:rPr>
                <w:color w:val="595959" w:themeColor="text1" w:themeTint="A6"/>
                <w:szCs w:val="18"/>
              </w:rPr>
              <w:t>de manier waarop de EU leent op de kapitaalmarkten aan te passen. Tot no</w:t>
            </w:r>
            <w:r w:rsidR="006F62D3">
              <w:rPr>
                <w:color w:val="595959" w:themeColor="text1" w:themeTint="A6"/>
                <w:szCs w:val="18"/>
              </w:rPr>
              <w:t>g</w:t>
            </w:r>
            <w:r w:rsidR="00A25512">
              <w:rPr>
                <w:color w:val="595959" w:themeColor="text1" w:themeTint="A6"/>
                <w:szCs w:val="18"/>
              </w:rPr>
              <w:t xml:space="preserve"> toe kon de Commissie via een </w:t>
            </w:r>
            <w:r w:rsidRPr="00A25512" w:rsidR="00A25512">
              <w:rPr>
                <w:color w:val="595959" w:themeColor="text1" w:themeTint="A6"/>
                <w:szCs w:val="18"/>
              </w:rPr>
              <w:t>besluit worden gemachtigd om namens de Unie of Euratom te lenen en de overeenkomstige bedragen aan de begunstigde lidstaten of derde landen door te lenen onder de voorwaarden die op de opgenomen leningen van toepassing zijn.</w:t>
            </w:r>
            <w:r w:rsidR="00A25512">
              <w:t xml:space="preserve"> </w:t>
            </w:r>
            <w:r w:rsidR="00A25512">
              <w:rPr>
                <w:color w:val="595959" w:themeColor="text1" w:themeTint="A6"/>
                <w:szCs w:val="18"/>
              </w:rPr>
              <w:t>Vanwege de brede Europese</w:t>
            </w:r>
            <w:r w:rsidRPr="00A25512" w:rsidR="00A25512">
              <w:rPr>
                <w:color w:val="595959" w:themeColor="text1" w:themeTint="A6"/>
                <w:szCs w:val="18"/>
              </w:rPr>
              <w:t xml:space="preserve"> financieringsbehoeften voor Oekraïne </w:t>
            </w:r>
            <w:r w:rsidR="00A25512">
              <w:rPr>
                <w:color w:val="595959" w:themeColor="text1" w:themeTint="A6"/>
                <w:szCs w:val="18"/>
              </w:rPr>
              <w:t>en</w:t>
            </w:r>
            <w:r w:rsidRPr="00A25512" w:rsidR="00A25512">
              <w:rPr>
                <w:color w:val="595959" w:themeColor="text1" w:themeTint="A6"/>
                <w:szCs w:val="18"/>
              </w:rPr>
              <w:t xml:space="preserve"> o</w:t>
            </w:r>
            <w:r w:rsidR="00A25512">
              <w:rPr>
                <w:color w:val="595959" w:themeColor="text1" w:themeTint="A6"/>
                <w:szCs w:val="18"/>
              </w:rPr>
              <w:t>ok voor NextGenerationEU</w:t>
            </w:r>
            <w:r w:rsidRPr="00A25512" w:rsidR="00A25512">
              <w:rPr>
                <w:color w:val="595959" w:themeColor="text1" w:themeTint="A6"/>
                <w:szCs w:val="18"/>
              </w:rPr>
              <w:t xml:space="preserve"> word</w:t>
            </w:r>
            <w:r w:rsidR="00A25512">
              <w:rPr>
                <w:color w:val="595959" w:themeColor="text1" w:themeTint="A6"/>
                <w:szCs w:val="18"/>
              </w:rPr>
              <w:t xml:space="preserve">t voorgesteld de financiering te integreren in </w:t>
            </w:r>
            <w:r w:rsidRPr="00A25512" w:rsidR="00A25512">
              <w:rPr>
                <w:color w:val="595959" w:themeColor="text1" w:themeTint="A6"/>
                <w:szCs w:val="18"/>
              </w:rPr>
              <w:t>één financieringsmethode, zodat tegelijkertijd aan verschillende beleidsbehoeften kan worden voldaan.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F62D3"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6F62D3" w:rsidR="002A4BD8" w:rsidP="003B0AE9" w:rsidRDefault="007C401D">
            <w:pPr>
              <w:shd w:val="clear" w:color="auto" w:fill="FFFFFF"/>
              <w:spacing w:after="75"/>
              <w:rPr>
                <w:szCs w:val="18"/>
                <w:lang w:val="en-GB" w:eastAsia="nl-NL"/>
              </w:rPr>
            </w:pPr>
            <w:r w:rsidRPr="006F62D3">
              <w:rPr>
                <w:szCs w:val="18"/>
                <w:lang w:val="en-GB"/>
              </w:rPr>
              <w:t xml:space="preserve">Proposal for a REGULATION OF THE EUROPEAN PARLIAMENT AND OF THE COUNCIL establishing an Instrument for providing support to Ukraine for 2023 (macro-financial assistance +) </w:t>
            </w:r>
            <w:hyperlink w:history="1" r:id="rId16">
              <w:r w:rsidRPr="006F62D3">
                <w:rPr>
                  <w:rStyle w:val="Hyperlink"/>
                  <w:szCs w:val="18"/>
                  <w:lang w:val="en-GB"/>
                </w:rPr>
                <w:t>COM(2022)597</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6F62D3"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3B0AE9">
            <w:pPr>
              <w:spacing w:after="240"/>
              <w:rPr>
                <w:szCs w:val="18"/>
              </w:rPr>
            </w:pPr>
            <w:r w:rsidRPr="00602161">
              <w:rPr>
                <w:szCs w:val="18"/>
              </w:rPr>
              <w:t>Via de gebruikelijke route behandelen, waarbij het voorstel en het nog te ontvangen BNC-fiche worden geagendeerd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AE587C" w:rsidRDefault="00A25512">
            <w:pPr>
              <w:spacing w:after="240"/>
              <w:rPr>
                <w:color w:val="595959" w:themeColor="text1" w:themeTint="A6"/>
                <w:szCs w:val="18"/>
              </w:rPr>
            </w:pPr>
            <w:r>
              <w:rPr>
                <w:color w:val="595959" w:themeColor="text1" w:themeTint="A6"/>
                <w:szCs w:val="18"/>
              </w:rPr>
              <w:t xml:space="preserve">Onderdeel van </w:t>
            </w:r>
            <w:r w:rsidR="00AE587C">
              <w:rPr>
                <w:color w:val="595959" w:themeColor="text1" w:themeTint="A6"/>
                <w:szCs w:val="18"/>
              </w:rPr>
              <w:t>bovengenoemd</w:t>
            </w:r>
            <w:r>
              <w:rPr>
                <w:color w:val="595959" w:themeColor="text1" w:themeTint="A6"/>
                <w:szCs w:val="18"/>
              </w:rPr>
              <w:t xml:space="preserve"> wetgevend pakket. Dit voorstel voor een verordening </w:t>
            </w:r>
            <w:r w:rsidRPr="00A25512">
              <w:rPr>
                <w:color w:val="595959" w:themeColor="text1" w:themeTint="A6"/>
                <w:szCs w:val="18"/>
              </w:rPr>
              <w:t>om een instrument te creëren om voor 2023 steun te verlenen aan Oekraïne (“macrofina</w:t>
            </w:r>
            <w:bookmarkStart w:name="_GoBack" w:id="0"/>
            <w:bookmarkEnd w:id="0"/>
            <w:r w:rsidRPr="00A25512">
              <w:rPr>
                <w:color w:val="595959" w:themeColor="text1" w:themeTint="A6"/>
                <w:szCs w:val="18"/>
              </w:rPr>
              <w:t>nciële bijstand +”)</w:t>
            </w:r>
            <w:r w:rsidR="00AE587C">
              <w:rPr>
                <w:color w:val="595959" w:themeColor="text1" w:themeTint="A6"/>
                <w:szCs w:val="18"/>
              </w:rPr>
              <w:t>.</w:t>
            </w:r>
            <w:r>
              <w:rPr>
                <w:color w:val="595959" w:themeColor="text1" w:themeTint="A6"/>
                <w:szCs w:val="18"/>
              </w:rPr>
              <w:t xml:space="preserve"> </w:t>
            </w:r>
            <w:r w:rsidR="00AE587C">
              <w:rPr>
                <w:color w:val="595959" w:themeColor="text1" w:themeTint="A6"/>
                <w:szCs w:val="18"/>
              </w:rPr>
              <w:t xml:space="preserve">Het betreft </w:t>
            </w:r>
            <w:r w:rsidRPr="00AE587C" w:rsidR="00AE587C">
              <w:rPr>
                <w:color w:val="595959" w:themeColor="text1" w:themeTint="A6"/>
                <w:szCs w:val="18"/>
              </w:rPr>
              <w:t xml:space="preserve">in totaal maximaal 18 miljard EUR aan leningen over een periode van 12 maanden, hetgeen overeenstemt met gemiddeld 1,5 miljard EUR per maand. Dit bedrag komt bovenop de bijstand die via </w:t>
            </w:r>
            <w:r w:rsidRPr="00AE587C" w:rsidR="00AE587C">
              <w:rPr>
                <w:color w:val="595959" w:themeColor="text1" w:themeTint="A6"/>
                <w:szCs w:val="18"/>
              </w:rPr>
              <w:lastRenderedPageBreak/>
              <w:t>bestaande instrumenten wordt verleend.</w:t>
            </w:r>
            <w:r w:rsidR="00AE587C">
              <w:rPr>
                <w:color w:val="595959" w:themeColor="text1" w:themeTint="A6"/>
                <w:szCs w:val="18"/>
              </w:rPr>
              <w:t xml:space="preserve"> </w:t>
            </w:r>
            <w:r w:rsidRPr="00A25512">
              <w:rPr>
                <w:color w:val="595959" w:themeColor="text1" w:themeTint="A6"/>
                <w:szCs w:val="18"/>
              </w:rPr>
              <w:t>De EU zal de rentekosten van Oekraïne subsidiëren; deze zullen worden gefinancierd met bijdragen van lidstaten</w:t>
            </w:r>
            <w:r>
              <w:rPr>
                <w:color w:val="595959" w:themeColor="text1" w:themeTint="A6"/>
                <w:szCs w:val="18"/>
              </w:rPr>
              <w:t>.</w:t>
            </w:r>
            <w:r w:rsidR="00AE587C">
              <w:rPr>
                <w:color w:val="595959" w:themeColor="text1" w:themeTint="A6"/>
                <w:szCs w:val="18"/>
              </w:rPr>
              <w:t xml:space="preserve"> </w:t>
            </w:r>
            <w:r w:rsidRPr="00AE587C" w:rsidR="00AE587C">
              <w:rPr>
                <w:color w:val="595959" w:themeColor="text1" w:themeTint="A6"/>
                <w:szCs w:val="18"/>
              </w:rPr>
              <w:t>Om steun uit hoofde van dit instrument te kunnen krijgen, zal Oekraïne maatregelen moeten nemen om rechtsstaat, goed bestuur en fraude- en corruptiebestrijding te versterken.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3B0AE9">
            <w:pPr>
              <w:spacing w:after="240"/>
              <w:rPr>
                <w:b/>
                <w:color w:val="595959" w:themeColor="text1" w:themeTint="A6"/>
                <w:szCs w:val="18"/>
              </w:rPr>
            </w:pPr>
            <w:r>
              <w:rPr>
                <w:szCs w:val="18"/>
              </w:rPr>
              <w:t xml:space="preserve">Voorstel voor een VERORDENING VAN DE RAAD tot wijziging van Verordening (EU, Euratom) 2020/2093 van de Raad van 17 december 2020 tot bepaling van het meerjarig financieel kader voor de jaren 2021-2027 </w:t>
            </w:r>
            <w:hyperlink w:history="1" r:id="rId17">
              <w:r>
                <w:rPr>
                  <w:rStyle w:val="Hyperlink"/>
                  <w:szCs w:val="18"/>
                </w:rPr>
                <w:t>COM(2022)595</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3B0AE9">
            <w:pPr>
              <w:spacing w:after="240"/>
              <w:rPr>
                <w:szCs w:val="18"/>
              </w:rPr>
            </w:pPr>
            <w:r w:rsidRPr="00602161">
              <w:rPr>
                <w:szCs w:val="18"/>
              </w:rPr>
              <w:t>Via de gebruikelijke route behandelen, waarbij het voorstel en het nog te ontvangen BNC-fiche worden geagendeerd voor een schriftelijk overleg.</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AE587C" w:rsidRDefault="00AE587C">
            <w:pPr>
              <w:spacing w:after="240"/>
              <w:rPr>
                <w:color w:val="595959" w:themeColor="text1" w:themeTint="A6"/>
                <w:szCs w:val="18"/>
              </w:rPr>
            </w:pPr>
            <w:r>
              <w:rPr>
                <w:color w:val="595959" w:themeColor="text1" w:themeTint="A6"/>
                <w:szCs w:val="18"/>
              </w:rPr>
              <w:t>Onderdeel van bovengenoemd wetgevend pakket. EU-leningen</w:t>
            </w:r>
            <w:r w:rsidRPr="00AE587C">
              <w:rPr>
                <w:color w:val="595959" w:themeColor="text1" w:themeTint="A6"/>
                <w:szCs w:val="18"/>
              </w:rPr>
              <w:t xml:space="preserve"> worden gedekt door een garantie uit de EU-begrotingsmarge, d.w.z. de budgettaire marge boven het maximum voor betalingen van het meerjarig financieel kader (“MFK”) tot het maximum van de eigen middelen. Dit </w:t>
            </w:r>
            <w:r>
              <w:rPr>
                <w:color w:val="595959" w:themeColor="text1" w:themeTint="A6"/>
                <w:szCs w:val="18"/>
              </w:rPr>
              <w:t>biedt</w:t>
            </w:r>
            <w:r w:rsidRPr="00AE587C">
              <w:rPr>
                <w:color w:val="595959" w:themeColor="text1" w:themeTint="A6"/>
                <w:szCs w:val="18"/>
              </w:rPr>
              <w:t xml:space="preserve"> beleggers bescherming en zekerheid </w:t>
            </w:r>
            <w:r>
              <w:rPr>
                <w:color w:val="595959" w:themeColor="text1" w:themeTint="A6"/>
                <w:szCs w:val="18"/>
              </w:rPr>
              <w:t xml:space="preserve">waarmee </w:t>
            </w:r>
            <w:r w:rsidRPr="00AE587C">
              <w:rPr>
                <w:color w:val="595959" w:themeColor="text1" w:themeTint="A6"/>
                <w:szCs w:val="18"/>
              </w:rPr>
              <w:t xml:space="preserve">de noodzaak van voorzieningen voor leningen of de invoering van nationale garanties </w:t>
            </w:r>
            <w:r>
              <w:rPr>
                <w:color w:val="595959" w:themeColor="text1" w:themeTint="A6"/>
                <w:szCs w:val="18"/>
              </w:rPr>
              <w:t>wordt vermeden</w:t>
            </w:r>
            <w:r w:rsidRPr="00AE587C">
              <w:rPr>
                <w:color w:val="595959" w:themeColor="text1" w:themeTint="A6"/>
                <w:szCs w:val="18"/>
              </w:rPr>
              <w:t xml:space="preserve">, zonder dat de omvang of de maxima van het MFK hoeven te worden gewijzigd. </w:t>
            </w:r>
            <w:r>
              <w:rPr>
                <w:color w:val="595959" w:themeColor="text1" w:themeTint="A6"/>
                <w:szCs w:val="18"/>
              </w:rPr>
              <w:t>Dit betreft een wijziging van het MFK w</w:t>
            </w:r>
            <w:r w:rsidRPr="00AE587C">
              <w:rPr>
                <w:color w:val="595959" w:themeColor="text1" w:themeTint="A6"/>
                <w:szCs w:val="18"/>
              </w:rPr>
              <w:t>aardoor voorwaardelijke verplichtingen die voortvloeien uit financiële bijstand die voor 2023 en 2024 voor Oekraïne beschikbaar is, op dezelfde wijze kan worden behandeld als financiële bijstand voor lidstaten.</w:t>
            </w:r>
          </w:p>
        </w:tc>
      </w:tr>
    </w:tbl>
    <w:p w:rsidRPr="00A9227F" w:rsidR="006E5214" w:rsidP="002A4BD8" w:rsidRDefault="006E5214">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6F62D3" w:rsidR="00D75535" w:rsidP="002A4BD8" w:rsidRDefault="009378AE">
            <w:pPr>
              <w:spacing w:after="240"/>
              <w:rPr>
                <w:szCs w:val="18"/>
                <w:lang w:eastAsia="nl-NL"/>
              </w:rPr>
            </w:pPr>
            <w:r w:rsidRPr="006F62D3">
              <w:rPr>
                <w:szCs w:val="18"/>
              </w:rPr>
              <w:t xml:space="preserve">Voorstel voor een UITVOERINGSBESLUIT VAN DE RAAD tot wijziging van Uitvoeringsbesluit 2013/805/EU waarbij de Republiek Polen wordt gemachtigd maatregelen toe te passen die afwijken van artikel 26, lid 1, onder a), en artikel 168 van Richtlijn 2006/112/EG betreffende het gemeenschappelijke stelsel van belasting over de toegevoegde waarde </w:t>
            </w:r>
            <w:hyperlink w:history="1" r:id="rId18">
              <w:r w:rsidRPr="006F62D3">
                <w:rPr>
                  <w:rStyle w:val="Hyperlink"/>
                  <w:szCs w:val="18"/>
                </w:rPr>
                <w:t>COM(2022)569</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D2480C">
            <w:pPr>
              <w:spacing w:after="240"/>
              <w:rPr>
                <w:szCs w:val="18"/>
              </w:rPr>
            </w:pPr>
            <w:r>
              <w:rPr>
                <w:szCs w:val="18"/>
              </w:rPr>
              <w:t>Voor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D2480C" w:rsidRDefault="00D2480C">
            <w:pPr>
              <w:spacing w:after="240"/>
              <w:rPr>
                <w:color w:val="595959" w:themeColor="text1" w:themeTint="A6"/>
                <w:szCs w:val="18"/>
              </w:rPr>
            </w:pPr>
            <w:r w:rsidRPr="00602161">
              <w:rPr>
                <w:color w:val="595959" w:themeColor="text1" w:themeTint="A6"/>
                <w:szCs w:val="18"/>
              </w:rPr>
              <w:t>Op basis van de btw-richtlijn kan de Raad op voorstel van de Commissie met eenparigheid van stemmen elke lidstaat machtigen bijzondere, van de bepalingen van deze richtlijn afwijkende maatregelen te treffen, teneinde de belastinginning te vereenvoudigen of bepaalde vormen van belastingfraude of -ontwijking te voorkomen.</w:t>
            </w:r>
            <w:r w:rsidRPr="00D2480C">
              <w:rPr>
                <w:color w:val="595959" w:themeColor="text1" w:themeTint="A6"/>
                <w:szCs w:val="18"/>
              </w:rPr>
              <w:t xml:space="preserve"> Polen </w:t>
            </w:r>
            <w:r>
              <w:rPr>
                <w:color w:val="595959" w:themeColor="text1" w:themeTint="A6"/>
                <w:szCs w:val="18"/>
              </w:rPr>
              <w:t xml:space="preserve">heeft verzocht </w:t>
            </w:r>
            <w:r w:rsidRPr="00D2480C">
              <w:rPr>
                <w:color w:val="595959" w:themeColor="text1" w:themeTint="A6"/>
                <w:szCs w:val="18"/>
              </w:rPr>
              <w:t xml:space="preserve">om een verlenging van de derogatie teneinde i) het recht op aftrek van de btw ter zake van de aankoop, intracommunautaire verwerving, invoer, huur of leasing van motorvoertuigen die niet uitsluitend voor bedrijfsdoeleinden worden gebruikt, alsook de met die voertuigen </w:t>
            </w:r>
            <w:r w:rsidRPr="00D2480C">
              <w:rPr>
                <w:color w:val="595959" w:themeColor="text1" w:themeTint="A6"/>
                <w:szCs w:val="18"/>
              </w:rPr>
              <w:lastRenderedPageBreak/>
              <w:t>samenhangende uitgaven, tot 50 % te mogen blijven beperken en ii) het gebruik, door een belastingplichtige of een van zijn werknemers, van voertuigen die onder deze aftrekbeperking voor niet-zakelijke activiteiten van de belastingplichtige vallen, te mogen blijven aanmerken als een niet onder bezwarende titel verrichte dienst.</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7C401D">
            <w:pPr>
              <w:spacing w:after="240"/>
              <w:rPr>
                <w:b/>
                <w:color w:val="595959" w:themeColor="text1" w:themeTint="A6"/>
                <w:szCs w:val="18"/>
              </w:rPr>
            </w:pPr>
            <w:r>
              <w:rPr>
                <w:szCs w:val="18"/>
              </w:rPr>
              <w:t xml:space="preserve">VERSLAG VAN DE COMMISSIE AAN HET EUROPEES PARLEMENT EN DE RAAD over de gezamenlijke evaluatie van de uitvoering van de de Overeenkomst tussen de Europese Unie en de Verenigde Staten van Amerika inzake de verwerking en doorgifte van gegevens betreffende het financiële berichtenverkeer van de Europese Unie naar de Verenigde Staten ten behoeve van het programma voor het traceren van terrorismefinanciering </w:t>
            </w:r>
            <w:hyperlink w:history="1" r:id="rId19">
              <w:r>
                <w:rPr>
                  <w:rStyle w:val="Hyperlink"/>
                  <w:szCs w:val="18"/>
                </w:rPr>
                <w:t>COM(2022)585</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D2480C">
            <w:pPr>
              <w:spacing w:after="240"/>
              <w:rPr>
                <w:szCs w:val="18"/>
              </w:rPr>
            </w:pPr>
            <w:r>
              <w:rPr>
                <w:szCs w:val="18"/>
              </w:rPr>
              <w:t xml:space="preserve">Desgewenst betrekken bij het commissiedebat </w:t>
            </w:r>
            <w:r w:rsidRPr="00D2480C">
              <w:rPr>
                <w:szCs w:val="18"/>
              </w:rPr>
              <w:t>Bestrijding witwassen en terrorismefinanciering</w:t>
            </w:r>
            <w:r>
              <w:rPr>
                <w:szCs w:val="18"/>
              </w:rPr>
              <w:t xml:space="preserve"> van 21 december 2022</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D2480C" w:rsidRDefault="00D2480C">
            <w:pPr>
              <w:spacing w:after="240"/>
              <w:rPr>
                <w:color w:val="595959" w:themeColor="text1" w:themeTint="A6"/>
                <w:szCs w:val="18"/>
              </w:rPr>
            </w:pPr>
            <w:r>
              <w:rPr>
                <w:color w:val="595959" w:themeColor="text1" w:themeTint="A6"/>
                <w:szCs w:val="18"/>
              </w:rPr>
              <w:t xml:space="preserve">Dit betreft een evaluatie van de uitvoering van de overeenkomst tussen de EU en de VS over </w:t>
            </w:r>
            <w:r w:rsidRPr="00D2480C">
              <w:rPr>
                <w:color w:val="595959" w:themeColor="text1" w:themeTint="A6"/>
                <w:szCs w:val="18"/>
              </w:rPr>
              <w:t xml:space="preserve">verwerking en doorgifte van gegevens </w:t>
            </w:r>
            <w:r>
              <w:rPr>
                <w:color w:val="595959" w:themeColor="text1" w:themeTint="A6"/>
                <w:szCs w:val="18"/>
              </w:rPr>
              <w:t xml:space="preserve">over het </w:t>
            </w:r>
            <w:r w:rsidRPr="00D2480C">
              <w:rPr>
                <w:color w:val="595959" w:themeColor="text1" w:themeTint="A6"/>
                <w:szCs w:val="18"/>
              </w:rPr>
              <w:t xml:space="preserve">financiële berichtenverkeer van de </w:t>
            </w:r>
            <w:r>
              <w:rPr>
                <w:color w:val="595959" w:themeColor="text1" w:themeTint="A6"/>
                <w:szCs w:val="18"/>
              </w:rPr>
              <w:t>EU</w:t>
            </w:r>
            <w:r w:rsidRPr="00D2480C">
              <w:rPr>
                <w:color w:val="595959" w:themeColor="text1" w:themeTint="A6"/>
                <w:szCs w:val="18"/>
              </w:rPr>
              <w:t xml:space="preserve"> naar de </w:t>
            </w:r>
            <w:r>
              <w:rPr>
                <w:color w:val="595959" w:themeColor="text1" w:themeTint="A6"/>
                <w:szCs w:val="18"/>
              </w:rPr>
              <w:t xml:space="preserve">VS i.h.k.v. </w:t>
            </w:r>
            <w:r w:rsidRPr="00D2480C">
              <w:rPr>
                <w:color w:val="595959" w:themeColor="text1" w:themeTint="A6"/>
                <w:szCs w:val="18"/>
              </w:rPr>
              <w:t xml:space="preserve"> het programma voor het traceren van terrorismefinanciering</w:t>
            </w:r>
            <w:r>
              <w:rPr>
                <w:color w:val="595959" w:themeColor="text1" w:themeTint="A6"/>
                <w:szCs w:val="18"/>
              </w:rPr>
              <w:t>. D</w:t>
            </w:r>
            <w:r w:rsidRPr="00D2480C">
              <w:rPr>
                <w:color w:val="595959" w:themeColor="text1" w:themeTint="A6"/>
                <w:szCs w:val="18"/>
              </w:rPr>
              <w:t>e Commissie</w:t>
            </w:r>
            <w:r>
              <w:rPr>
                <w:color w:val="595959" w:themeColor="text1" w:themeTint="A6"/>
                <w:szCs w:val="18"/>
              </w:rPr>
              <w:t xml:space="preserve"> concludeert dat</w:t>
            </w:r>
            <w:r w:rsidRPr="00D2480C">
              <w:rPr>
                <w:color w:val="595959" w:themeColor="text1" w:themeTint="A6"/>
                <w:szCs w:val="18"/>
              </w:rPr>
              <w:t xml:space="preserve"> in het algemeen de overeenkomst en de bijbehorende waarborgen en controles naar behoren worden uitgevoerd.</w:t>
            </w:r>
            <w:r>
              <w:rPr>
                <w:color w:val="595959" w:themeColor="text1" w:themeTint="A6"/>
                <w:szCs w:val="18"/>
              </w:rPr>
              <w:t xml:space="preserve"> Tevens worden een aantal aanbevelingen gedaan.</w:t>
            </w:r>
          </w:p>
        </w:tc>
      </w:tr>
    </w:tbl>
    <w:p w:rsidRPr="00A9227F" w:rsidR="002A4BD8" w:rsidP="002A4BD8" w:rsidRDefault="002A4BD8">
      <w:pPr>
        <w:rPr>
          <w:szCs w:val="18"/>
        </w:rPr>
      </w:pPr>
    </w:p>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F62D3"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6F62D3" w:rsidR="002A4BD8" w:rsidP="003B0AE9" w:rsidRDefault="003B0AE9">
            <w:pPr>
              <w:shd w:val="clear" w:color="auto" w:fill="FFFFFF"/>
              <w:spacing w:after="75"/>
              <w:rPr>
                <w:szCs w:val="18"/>
                <w:lang w:val="en-GB" w:eastAsia="nl-NL"/>
              </w:rPr>
            </w:pPr>
            <w:r w:rsidRPr="006F62D3">
              <w:rPr>
                <w:szCs w:val="18"/>
                <w:lang w:val="en-GB"/>
              </w:rPr>
              <w:t xml:space="preserve">COMMUNICATION FROM THE COMMISSION TO THE EUROPEAN PARLIAMENT, THE COUNCIL, THE EUROPEAN CENTRAL BANK, THE EUROPEAN ECONOMIC AND SOCIAL COMMITTEE AND THE COMMITTEE OF THE REGIONS Communication on orientations for a reform of the EU economic governance framework </w:t>
            </w:r>
            <w:hyperlink w:history="1" r:id="rId20">
              <w:r w:rsidRPr="006F62D3">
                <w:rPr>
                  <w:rStyle w:val="Hyperlink"/>
                  <w:szCs w:val="18"/>
                  <w:lang w:val="en-GB"/>
                </w:rPr>
                <w:t>COM(2022)583</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6F62D3"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D2480C">
            <w:pPr>
              <w:spacing w:after="240"/>
              <w:rPr>
                <w:szCs w:val="18"/>
              </w:rPr>
            </w:pPr>
            <w:r>
              <w:rPr>
                <w:szCs w:val="18"/>
              </w:rPr>
              <w:t xml:space="preserve">Desgewenst betrekken bij het commissiedebat Eurogroep/Ecofinraad van 1 december 2022. </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D2480C">
            <w:pPr>
              <w:spacing w:after="240"/>
              <w:rPr>
                <w:color w:val="595959" w:themeColor="text1" w:themeTint="A6"/>
                <w:szCs w:val="18"/>
              </w:rPr>
            </w:pPr>
            <w:r>
              <w:rPr>
                <w:color w:val="595959" w:themeColor="text1" w:themeTint="A6"/>
                <w:szCs w:val="18"/>
              </w:rPr>
              <w:t xml:space="preserve">In deze communicatie schetst de Europese Commissie de uitgangspunten voor de hervorming van het kader voor economische governance in de EU, waaronder het Stabiliteits- en Groeipact. </w:t>
            </w:r>
          </w:p>
        </w:tc>
      </w:tr>
    </w:tbl>
    <w:p w:rsidRPr="00A9227F" w:rsidR="002A4BD8" w:rsidP="002A4BD8" w:rsidRDefault="002A4BD8">
      <w:pPr>
        <w:rPr>
          <w:szCs w:val="18"/>
        </w:rPr>
      </w:pPr>
    </w:p>
    <w:p w:rsidRPr="00A9227F" w:rsidR="006E5214" w:rsidP="002A4BD8" w:rsidRDefault="006E5214">
      <w:pPr>
        <w:rPr>
          <w:szCs w:val="18"/>
        </w:rPr>
      </w:pPr>
    </w:p>
    <w:p w:rsidRPr="00A9227F" w:rsidR="006E5214" w:rsidP="002A4BD8" w:rsidRDefault="006E5214">
      <w:pPr>
        <w:rPr>
          <w:szCs w:val="18"/>
        </w:rPr>
      </w:pPr>
    </w:p>
    <w:sectPr w:rsidRPr="00A9227F" w:rsidR="006E5214" w:rsidSect="00BF62AD">
      <w:headerReference w:type="default" r:id="rId21"/>
      <w:footerReference w:type="default" r:id="rId22"/>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FD0" w:rsidRDefault="00545FD0">
      <w:r>
        <w:separator/>
      </w:r>
    </w:p>
  </w:endnote>
  <w:endnote w:type="continuationSeparator" w:id="0">
    <w:p w:rsidR="00545FD0" w:rsidRDefault="0054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6F62D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6F62D3">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6F62D3">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6F62D3">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FD0" w:rsidRDefault="00545FD0">
      <w:r>
        <w:separator/>
      </w:r>
    </w:p>
  </w:footnote>
  <w:footnote w:type="continuationSeparator" w:id="0">
    <w:p w:rsidR="00545FD0" w:rsidRDefault="00545FD0">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0AE9"/>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45FD0"/>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6F62D3"/>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C401D"/>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378AE"/>
    <w:rsid w:val="009411C2"/>
    <w:rsid w:val="00942CDE"/>
    <w:rsid w:val="00946E0E"/>
    <w:rsid w:val="009531A4"/>
    <w:rsid w:val="00956342"/>
    <w:rsid w:val="009575DB"/>
    <w:rsid w:val="00962A95"/>
    <w:rsid w:val="009647CC"/>
    <w:rsid w:val="00970CA0"/>
    <w:rsid w:val="0097614E"/>
    <w:rsid w:val="00981B9B"/>
    <w:rsid w:val="00982726"/>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25512"/>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587C"/>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480C"/>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7BED5B"/>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65694255">
      <w:bodyDiv w:val="1"/>
      <w:marLeft w:val="0"/>
      <w:marRight w:val="0"/>
      <w:marTop w:val="0"/>
      <w:marBottom w:val="0"/>
      <w:divBdr>
        <w:top w:val="none" w:sz="0" w:space="0" w:color="auto"/>
        <w:left w:val="none" w:sz="0" w:space="0" w:color="auto"/>
        <w:bottom w:val="none" w:sz="0" w:space="0" w:color="auto"/>
        <w:right w:val="none" w:sz="0" w:space="0" w:color="auto"/>
      </w:divBdr>
    </w:div>
    <w:div w:id="30801931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36465">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16433535">
      <w:bodyDiv w:val="1"/>
      <w:marLeft w:val="0"/>
      <w:marRight w:val="0"/>
      <w:marTop w:val="0"/>
      <w:marBottom w:val="0"/>
      <w:divBdr>
        <w:top w:val="none" w:sz="0" w:space="0" w:color="auto"/>
        <w:left w:val="none" w:sz="0" w:space="0" w:color="auto"/>
        <w:bottom w:val="none" w:sz="0" w:space="0" w:color="auto"/>
        <w:right w:val="none" w:sz="0" w:space="0" w:color="auto"/>
      </w:divBdr>
    </w:div>
    <w:div w:id="1391229406">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4039668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2PC0569&amp;qid=1667923537191" TargetMode="External" Id="rId18" /><Relationship Type="http://schemas.openxmlformats.org/officeDocument/2006/relationships/header" Target="head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2PC0595&amp;qid=1668521726880" TargetMode="External" Id="rId17" /><Relationship Type="http://schemas.openxmlformats.org/officeDocument/2006/relationships/hyperlink" Target="https://eur-lex.europa.eu/legal-content/NL/TXT/?uri=CELEX%3A52022PC0597&amp;qid=1668521939810" TargetMode="External" Id="rId16" /><Relationship Type="http://schemas.openxmlformats.org/officeDocument/2006/relationships/hyperlink" Target="https://eur-lex.europa.eu/legal-content/NL/TXT/?uri=CELEX%3A52022DC0583&amp;qid=1668522008962" TargetMode="External" Id="rId20"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hyperlink" Target="https://eur-lex.europa.eu/legal-content/NL/TXT/?uri=CELEX%3A52022PC0596&amp;qid=1668521794101"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s://eur-lex.europa.eu/legal-content/NL/TXT/?uri=CELEX%3A52022DC0585&amp;qid=1668522531432"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956</ap:Words>
  <ap:Characters>6448</ap:Characters>
  <ap:DocSecurity>4</ap:DocSecurity>
  <ap:Lines>53</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2022-11-21T14:05:00.0000000Z</dcterms:created>
  <dcterms:modified xsi:type="dcterms:W3CDTF">2022-11-21T14:05:00.0000000Z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15268224-18cd-4bb8-82ef-9ad5ebf2dd1a</vt:lpwstr>
  </property>
</Properties>
</file>