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D5A66" w:rsidR="00FD5A66" w:rsidP="000D0DF5" w:rsidRDefault="00FD5A66">
            <w:pPr>
              <w:tabs>
                <w:tab w:val="left" w:pos="-1440"/>
                <w:tab w:val="left" w:pos="-720"/>
              </w:tabs>
              <w:suppressAutoHyphens/>
              <w:rPr>
                <w:rFonts w:ascii="Times New Roman" w:hAnsi="Times New Roman"/>
              </w:rPr>
            </w:pPr>
            <w:r w:rsidRPr="00FD5A66">
              <w:rPr>
                <w:rFonts w:ascii="Times New Roman" w:hAnsi="Times New Roman"/>
              </w:rPr>
              <w:t>De Tweede Kamer der Staten-</w:t>
            </w:r>
            <w:r w:rsidRPr="00FD5A66">
              <w:rPr>
                <w:rFonts w:ascii="Times New Roman" w:hAnsi="Times New Roman"/>
              </w:rPr>
              <w:fldChar w:fldCharType="begin"/>
            </w:r>
            <w:r w:rsidRPr="00FD5A66">
              <w:rPr>
                <w:rFonts w:ascii="Times New Roman" w:hAnsi="Times New Roman"/>
              </w:rPr>
              <w:instrText xml:space="preserve">PRIVATE </w:instrText>
            </w:r>
            <w:r w:rsidRPr="00FD5A66">
              <w:rPr>
                <w:rFonts w:ascii="Times New Roman" w:hAnsi="Times New Roman"/>
              </w:rPr>
              <w:fldChar w:fldCharType="end"/>
            </w:r>
          </w:p>
          <w:p w:rsidRPr="00FD5A66" w:rsidR="00FD5A66" w:rsidP="000D0DF5" w:rsidRDefault="00FD5A66">
            <w:pPr>
              <w:tabs>
                <w:tab w:val="left" w:pos="-1440"/>
                <w:tab w:val="left" w:pos="-720"/>
              </w:tabs>
              <w:suppressAutoHyphens/>
              <w:rPr>
                <w:rFonts w:ascii="Times New Roman" w:hAnsi="Times New Roman"/>
              </w:rPr>
            </w:pPr>
            <w:r w:rsidRPr="00FD5A66">
              <w:rPr>
                <w:rFonts w:ascii="Times New Roman" w:hAnsi="Times New Roman"/>
              </w:rPr>
              <w:t>Generaal zendt bijgaand door</w:t>
            </w:r>
          </w:p>
          <w:p w:rsidRPr="00FD5A66" w:rsidR="00FD5A66" w:rsidP="000D0DF5" w:rsidRDefault="00FD5A66">
            <w:pPr>
              <w:tabs>
                <w:tab w:val="left" w:pos="-1440"/>
                <w:tab w:val="left" w:pos="-720"/>
              </w:tabs>
              <w:suppressAutoHyphens/>
              <w:rPr>
                <w:rFonts w:ascii="Times New Roman" w:hAnsi="Times New Roman"/>
              </w:rPr>
            </w:pPr>
            <w:r w:rsidRPr="00FD5A66">
              <w:rPr>
                <w:rFonts w:ascii="Times New Roman" w:hAnsi="Times New Roman"/>
              </w:rPr>
              <w:t>haar aangenomen wetsvoorstel</w:t>
            </w:r>
          </w:p>
          <w:p w:rsidRPr="00FD5A66" w:rsidR="00FD5A66" w:rsidP="000D0DF5" w:rsidRDefault="00FD5A66">
            <w:pPr>
              <w:tabs>
                <w:tab w:val="left" w:pos="-1440"/>
                <w:tab w:val="left" w:pos="-720"/>
              </w:tabs>
              <w:suppressAutoHyphens/>
              <w:rPr>
                <w:rFonts w:ascii="Times New Roman" w:hAnsi="Times New Roman"/>
              </w:rPr>
            </w:pPr>
            <w:r w:rsidRPr="00FD5A66">
              <w:rPr>
                <w:rFonts w:ascii="Times New Roman" w:hAnsi="Times New Roman"/>
              </w:rPr>
              <w:t>aan de Eerste Kamer.</w:t>
            </w:r>
          </w:p>
          <w:p w:rsidRPr="00FD5A66" w:rsidR="00FD5A66" w:rsidP="000D0DF5" w:rsidRDefault="00FD5A66">
            <w:pPr>
              <w:tabs>
                <w:tab w:val="left" w:pos="-1440"/>
                <w:tab w:val="left" w:pos="-720"/>
              </w:tabs>
              <w:suppressAutoHyphens/>
              <w:rPr>
                <w:rFonts w:ascii="Times New Roman" w:hAnsi="Times New Roman"/>
              </w:rPr>
            </w:pPr>
          </w:p>
          <w:p w:rsidRPr="00FD5A66" w:rsidR="00FD5A66" w:rsidP="000D0DF5" w:rsidRDefault="00FD5A66">
            <w:pPr>
              <w:tabs>
                <w:tab w:val="left" w:pos="-1440"/>
                <w:tab w:val="left" w:pos="-720"/>
              </w:tabs>
              <w:suppressAutoHyphens/>
              <w:rPr>
                <w:rFonts w:ascii="Times New Roman" w:hAnsi="Times New Roman"/>
              </w:rPr>
            </w:pPr>
            <w:r w:rsidRPr="00FD5A66">
              <w:rPr>
                <w:rFonts w:ascii="Times New Roman" w:hAnsi="Times New Roman"/>
              </w:rPr>
              <w:t>De Voorzitter,</w:t>
            </w:r>
          </w:p>
          <w:p w:rsidRPr="00FD5A66" w:rsidR="00FD5A66" w:rsidP="000D0DF5" w:rsidRDefault="00FD5A66">
            <w:pPr>
              <w:tabs>
                <w:tab w:val="left" w:pos="-1440"/>
                <w:tab w:val="left" w:pos="-720"/>
              </w:tabs>
              <w:suppressAutoHyphens/>
              <w:rPr>
                <w:rFonts w:ascii="Times New Roman" w:hAnsi="Times New Roman"/>
              </w:rPr>
            </w:pPr>
          </w:p>
          <w:p w:rsidRPr="00FD5A66" w:rsidR="00FD5A66" w:rsidP="000D0DF5" w:rsidRDefault="00FD5A66">
            <w:pPr>
              <w:tabs>
                <w:tab w:val="left" w:pos="-1440"/>
                <w:tab w:val="left" w:pos="-720"/>
              </w:tabs>
              <w:suppressAutoHyphens/>
              <w:rPr>
                <w:rFonts w:ascii="Times New Roman" w:hAnsi="Times New Roman"/>
              </w:rPr>
            </w:pPr>
          </w:p>
          <w:p w:rsidRPr="00FD5A66" w:rsidR="00FD5A66" w:rsidP="000D0DF5" w:rsidRDefault="00FD5A66">
            <w:pPr>
              <w:tabs>
                <w:tab w:val="left" w:pos="-1440"/>
                <w:tab w:val="left" w:pos="-720"/>
              </w:tabs>
              <w:suppressAutoHyphens/>
              <w:rPr>
                <w:rFonts w:ascii="Times New Roman" w:hAnsi="Times New Roman"/>
              </w:rPr>
            </w:pPr>
          </w:p>
          <w:p w:rsidRPr="00FD5A66" w:rsidR="00FD5A66" w:rsidP="000D0DF5" w:rsidRDefault="00FD5A66">
            <w:pPr>
              <w:tabs>
                <w:tab w:val="left" w:pos="-1440"/>
                <w:tab w:val="left" w:pos="-720"/>
              </w:tabs>
              <w:suppressAutoHyphens/>
              <w:rPr>
                <w:rFonts w:ascii="Times New Roman" w:hAnsi="Times New Roman"/>
              </w:rPr>
            </w:pPr>
          </w:p>
          <w:p w:rsidRPr="00FD5A66" w:rsidR="00FD5A66" w:rsidP="000D0DF5" w:rsidRDefault="00FD5A66">
            <w:pPr>
              <w:tabs>
                <w:tab w:val="left" w:pos="-1440"/>
                <w:tab w:val="left" w:pos="-720"/>
              </w:tabs>
              <w:suppressAutoHyphens/>
              <w:rPr>
                <w:rFonts w:ascii="Times New Roman" w:hAnsi="Times New Roman"/>
              </w:rPr>
            </w:pPr>
          </w:p>
          <w:p w:rsidRPr="00FD5A66" w:rsidR="00FD5A66" w:rsidP="000D0DF5" w:rsidRDefault="00FD5A66">
            <w:pPr>
              <w:tabs>
                <w:tab w:val="left" w:pos="-1440"/>
                <w:tab w:val="left" w:pos="-720"/>
              </w:tabs>
              <w:suppressAutoHyphens/>
              <w:rPr>
                <w:rFonts w:ascii="Times New Roman" w:hAnsi="Times New Roman"/>
              </w:rPr>
            </w:pPr>
          </w:p>
          <w:p w:rsidRPr="00FD5A66" w:rsidR="00FD5A66" w:rsidP="000D0DF5" w:rsidRDefault="00FD5A66">
            <w:pPr>
              <w:tabs>
                <w:tab w:val="left" w:pos="-1440"/>
                <w:tab w:val="left" w:pos="-720"/>
              </w:tabs>
              <w:suppressAutoHyphens/>
              <w:rPr>
                <w:rFonts w:ascii="Times New Roman" w:hAnsi="Times New Roman"/>
              </w:rPr>
            </w:pPr>
          </w:p>
          <w:p w:rsidRPr="00FD5A66" w:rsidR="00FD5A66" w:rsidP="000D0DF5" w:rsidRDefault="00FD5A66">
            <w:pPr>
              <w:tabs>
                <w:tab w:val="left" w:pos="-1440"/>
                <w:tab w:val="left" w:pos="-720"/>
              </w:tabs>
              <w:suppressAutoHyphens/>
              <w:rPr>
                <w:rFonts w:ascii="Times New Roman" w:hAnsi="Times New Roman"/>
              </w:rPr>
            </w:pPr>
          </w:p>
          <w:p w:rsidRPr="00FD5A66" w:rsidR="00FD5A66" w:rsidP="000D0DF5" w:rsidRDefault="00FD5A66">
            <w:pPr>
              <w:rPr>
                <w:rFonts w:ascii="Times New Roman" w:hAnsi="Times New Roman"/>
              </w:rPr>
            </w:pPr>
          </w:p>
          <w:p w:rsidRPr="003C57E6" w:rsidR="00CB3578" w:rsidP="003C57E6" w:rsidRDefault="00FD5A66">
            <w:pPr>
              <w:pStyle w:val="Amendement"/>
              <w:rPr>
                <w:rFonts w:ascii="Times New Roman" w:hAnsi="Times New Roman" w:cs="Times New Roman"/>
                <w:b w:val="0"/>
              </w:rPr>
            </w:pPr>
            <w:r w:rsidRPr="00FD5A66">
              <w:rPr>
                <w:rFonts w:ascii="Times New Roman" w:hAnsi="Times New Roman" w:cs="Times New Roman"/>
                <w:b w:val="0"/>
                <w:sz w:val="20"/>
              </w:rPr>
              <w:t>10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D5A66" w:rsidTr="00E61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92566" w:rsidR="00FD5A66" w:rsidP="000D5BC4" w:rsidRDefault="00FD5A66">
            <w:pPr>
              <w:rPr>
                <w:rFonts w:ascii="Times New Roman" w:hAnsi="Times New Roman"/>
                <w:b/>
              </w:rPr>
            </w:pPr>
            <w:r w:rsidRPr="00492566">
              <w:rPr>
                <w:rFonts w:ascii="Times New Roman" w:hAnsi="Times New Roman"/>
                <w:b/>
                <w:sz w:val="24"/>
              </w:rPr>
              <w:t>Wijziging van het voordeel uit sparen en beleggen als bedoeld in artikel 5.2 van de Wet inkomstenbelasting 2001 over de kalenderjaren 2017 tot met 2022 door het lager vaststellen van het voordeel in gevallen waarin dat nodig is om het voordeel in overeenstemming te brengen met de uitspraak van de Hoge Raad van 24 december 2021 (Wet rechtsherstel box 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D5A66" w:rsidTr="0033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D5A66" w:rsidRDefault="00FD5A6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Wij Willem-Alexander, bij de gratie Gods, Koning der Nederlanden, Prins van Oranje-Nassau, enz. enz. enz.</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Allen, die deze zullen zien of horen lezen, saluut! doen te weten:</w:t>
      </w:r>
    </w:p>
    <w:p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Alzo Wij in overweging genomen hebben, dat het wenselijk is om naar aanleiding van het arrest van de Hoge Raad van 24 december 2021 inzake box 3 de berekening van het voordeel uit sparen en beleggen aan te passen;</w:t>
      </w:r>
    </w:p>
    <w:p w:rsidR="00CB3578"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b/>
          <w:sz w:val="24"/>
          <w:szCs w:val="20"/>
        </w:rPr>
      </w:pPr>
      <w:r w:rsidRPr="00492566">
        <w:rPr>
          <w:rFonts w:ascii="Times New Roman" w:hAnsi="Times New Roman"/>
          <w:b/>
          <w:sz w:val="24"/>
          <w:szCs w:val="20"/>
        </w:rPr>
        <w:t>Artikel 1. Reikwijdte en begripsbepalingen</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1. Voor toepassing van deze wet wordt verstaan onder:</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banktegoeden: bezittingen als bedoeld in artikel 5.3 van de Wet inkomstenbelasting 2001 die deposito’s als bedoeld in artikel 1:1 van de Wet op het financieel toezicht zijn of daarmee naar aard en strekking overeenkomende buitenlandse deposito’s;</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het besluit: de op artikel 38, eerste lid, van de Algemene wet inzake rijksbelastingen berustende algemene maatregel van bestuur die voorziet in het voorkomen van dubbele belasting;</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overige bezittingen: bezittingen als bedoeld in artikel 5.3 van de Wet inkomstenbelasting 2001, anders dan banktegoeden;</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 schulden: schulden als bedoeld in artikel 5.3 van de Wet inkomstenbelasting 2001.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2. Deze wet regelt de wijze waarop, in afwijking van de Wet inkomstenbelasting 2001 zoals die luidde voor het betreffende kalenderjaar, het voordeel uit sparen en beleggen, </w:t>
      </w:r>
      <w:r w:rsidRPr="00492566">
        <w:rPr>
          <w:rFonts w:ascii="Times New Roman" w:hAnsi="Times New Roman"/>
          <w:sz w:val="24"/>
          <w:szCs w:val="20"/>
        </w:rPr>
        <w:lastRenderedPageBreak/>
        <w:t>bedoeld in artikel 5.2 van de Wet inkomstenbelasting 2001, wordt vastgesteld en, in afwijking van het besluit zoals dat luidde voor het betreffende kalenderjaar, de vrijstelling voor buitenlands voordeel uit sparen en beleggen, bedoeld in artikel 22 van het besluit, wordt vastgesteld met betrekking tot:</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a.</w:t>
      </w:r>
      <w:r w:rsidRPr="00492566">
        <w:rPr>
          <w:rFonts w:ascii="Times New Roman" w:hAnsi="Times New Roman"/>
          <w:sz w:val="24"/>
          <w:szCs w:val="20"/>
        </w:rPr>
        <w:tab/>
        <w:t xml:space="preserve">aanslagen inkomstenbelasting of premie volksverzekeringen over de kalenderjaren 2017, 2018, 2019 of 2020 die op 24 december 2021 nog niet onherroepelijk vaststonden of nog niet waren vastgesteld;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b.</w:t>
      </w:r>
      <w:r w:rsidRPr="00492566">
        <w:rPr>
          <w:rFonts w:ascii="Times New Roman" w:hAnsi="Times New Roman"/>
          <w:sz w:val="24"/>
          <w:szCs w:val="20"/>
        </w:rPr>
        <w:tab/>
        <w:t xml:space="preserve">aanslagen inkomstenbelasting of premie volksverzekeringen over de kalenderjaren 2021 of 2022.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3. Het tweede lid is slechts van toepassing voor zover dit met betrekking tot de betreffende aanslag tot een lager voordeel uit sparen en beleggen leidt dan zonder toepassing van deze wet het geval is.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4. Voor zover in deze wet niet wordt afgeweken van de Wet inkomstenbelasting 2001, zijn die wet en de daarop berustende bepalingen mede van toepassing met betrekking tot deze wet.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5. In deze wet worden de artikelen uit de Wet inkomstenbelasting 2001 of van het besluit bedoeld zoals deze luidden in het kalenderjaar waarover het voordeel uit sparen is of wordt vastgesteld. </w:t>
      </w: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b/>
          <w:sz w:val="24"/>
          <w:szCs w:val="20"/>
        </w:rPr>
      </w:pPr>
      <w:r w:rsidRPr="00492566">
        <w:rPr>
          <w:rFonts w:ascii="Times New Roman" w:hAnsi="Times New Roman"/>
          <w:b/>
          <w:sz w:val="24"/>
          <w:szCs w:val="20"/>
        </w:rPr>
        <w:t>Artikel 2. Voordeel uit sparen en beleggen</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1. Het voordeel uit sparen en beleggen, bedoeld in artikel 5.2 van de Wet inkomstenbelasting 2001, wordt vastgesteld op het bedrag dat volgt uit de berekening, opgenomen in artikel 3.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2. Het voordeel uit sparen en beleggen wordt gesteld op ten minste nihil.</w:t>
      </w: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b/>
          <w:sz w:val="24"/>
          <w:szCs w:val="20"/>
        </w:rPr>
      </w:pPr>
      <w:r w:rsidRPr="00492566">
        <w:rPr>
          <w:rFonts w:ascii="Times New Roman" w:hAnsi="Times New Roman"/>
          <w:b/>
          <w:sz w:val="24"/>
          <w:szCs w:val="20"/>
        </w:rPr>
        <w:t>Artikel 3. Berekening voordeel uit sparen en beleggen</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1. Het voordeel uit sparen en beleggen wordt berekend door de vermenigvuldiging van het effectieve rendementspercentage, bedoeld in het tweede lid, met de grondslag sparen en beleggen, bedoeld in artikel 5.2 van de Wet inkomstenbelasting 2001.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2. Het effectieve rendementspercentage wordt gesteld op het rendement, bedoeld in het derde lid, gedeeld door de rendementsgrondslag, bedoeld in artikel 5.3 van de Wet inkomstenbelasting 2001.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3. Het rendement voor het betreffende kalenderjaar is het in kolom I vermelde percentage van de waarde van de banktegoeden aan het begin van het kalenderjaar (peildatum), vermeerderd met het in kolom II vermelde percentage van de waarde van de overige bezittingen op de peildatum, verminderd met het in kolom III vermelde percentage van de waarde van de schulden op de peildatum. </w:t>
      </w:r>
    </w:p>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ab/>
      </w:r>
    </w:p>
    <w:tbl>
      <w:tblPr>
        <w:tblStyle w:val="Tabelraster"/>
        <w:tblW w:w="5000" w:type="pct"/>
        <w:tblLook w:val="04A0" w:firstRow="1" w:lastRow="0" w:firstColumn="1" w:lastColumn="0" w:noHBand="0" w:noVBand="1"/>
      </w:tblPr>
      <w:tblGrid>
        <w:gridCol w:w="1967"/>
        <w:gridCol w:w="2365"/>
        <w:gridCol w:w="2365"/>
        <w:gridCol w:w="2363"/>
      </w:tblGrid>
      <w:tr w:rsidRPr="00492566" w:rsidR="00492566" w:rsidTr="00492566">
        <w:tc>
          <w:tcPr>
            <w:tcW w:w="1086" w:type="pct"/>
          </w:tcPr>
          <w:p w:rsidRPr="00492566" w:rsidR="00492566" w:rsidP="00492566" w:rsidRDefault="00492566">
            <w:pPr>
              <w:tabs>
                <w:tab w:val="left" w:pos="284"/>
                <w:tab w:val="left" w:pos="567"/>
                <w:tab w:val="left" w:pos="851"/>
              </w:tabs>
              <w:ind w:right="-2"/>
              <w:rPr>
                <w:rFonts w:ascii="Times New Roman" w:hAnsi="Times New Roman"/>
                <w:sz w:val="24"/>
                <w:szCs w:val="20"/>
              </w:rPr>
            </w:pP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I</w:t>
            </w: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II</w:t>
            </w: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III</w:t>
            </w:r>
          </w:p>
        </w:tc>
      </w:tr>
      <w:tr w:rsidRPr="00492566" w:rsidR="00492566" w:rsidTr="00492566">
        <w:tc>
          <w:tcPr>
            <w:tcW w:w="1086"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2017</w:t>
            </w: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0,25%</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5,39%</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3,43%</w:t>
            </w:r>
          </w:p>
        </w:tc>
      </w:tr>
      <w:tr w:rsidRPr="00492566" w:rsidR="00492566" w:rsidTr="00492566">
        <w:tc>
          <w:tcPr>
            <w:tcW w:w="1086"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2018</w:t>
            </w: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0,12%</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5,38%</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3,20%</w:t>
            </w:r>
          </w:p>
        </w:tc>
      </w:tr>
      <w:tr w:rsidRPr="00492566" w:rsidR="00492566" w:rsidTr="00492566">
        <w:tc>
          <w:tcPr>
            <w:tcW w:w="1086"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2019</w:t>
            </w: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0,08%</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5,59%</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3,00%</w:t>
            </w:r>
          </w:p>
        </w:tc>
      </w:tr>
      <w:tr w:rsidRPr="00492566" w:rsidR="00492566" w:rsidTr="00492566">
        <w:tc>
          <w:tcPr>
            <w:tcW w:w="1086"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2020</w:t>
            </w: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0,04%</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5,28%</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2,74%</w:t>
            </w:r>
          </w:p>
        </w:tc>
      </w:tr>
      <w:tr w:rsidRPr="00492566" w:rsidR="00492566" w:rsidTr="00492566">
        <w:tc>
          <w:tcPr>
            <w:tcW w:w="1086"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2021</w:t>
            </w: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0,01%</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5,69%</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2,46%</w:t>
            </w:r>
          </w:p>
        </w:tc>
      </w:tr>
      <w:tr w:rsidRPr="00492566" w:rsidR="00492566" w:rsidTr="00492566">
        <w:tc>
          <w:tcPr>
            <w:tcW w:w="1086"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2022</w:t>
            </w:r>
          </w:p>
        </w:tc>
        <w:tc>
          <w:tcPr>
            <w:tcW w:w="1305" w:type="pct"/>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0,01%</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 xml:space="preserve">5,53% </w:t>
            </w:r>
          </w:p>
        </w:tc>
        <w:tc>
          <w:tcPr>
            <w:tcW w:w="1305" w:type="pct"/>
            <w:shd w:val="clear" w:color="auto" w:fill="auto"/>
          </w:tcPr>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2,46%</w:t>
            </w:r>
          </w:p>
        </w:tc>
      </w:tr>
    </w:tbl>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2566">
        <w:rPr>
          <w:rFonts w:ascii="Times New Roman" w:hAnsi="Times New Roman"/>
          <w:sz w:val="24"/>
          <w:szCs w:val="20"/>
        </w:rPr>
        <w:t>4. Indien de belastingplichtige het gehele kalenderjaar dezelfde partner heeft of voor de toepassing van artikel 2.17 van de Wet inkomstenbelasting 2001 geacht wordt te hebben gehad, wordt bij de toepassing van:</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a. het eerste lid uitgegaan van het op grond van dat artikel aan hem toegerekende gedeelte van de gezamenlijke grondslag sparen en beleggen, bedoeld in artikel 5.2, tweede lid, van de Wet inkomstenbelasting 2001;</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b. het tweede lid uitgegaan van de gezamenlijke rendementsgrondslag, bedoeld in artikel 5.2, tweede lid, van de Wet inkomstenbelasting 2001;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c. het derde lid uitgegaan van de waarde van de banktegoeden, de waarde van de overige bezittingen en de waarde van de schulden van de belastingplichtige en zijn partner tezamen.</w:t>
      </w: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b/>
          <w:sz w:val="24"/>
          <w:szCs w:val="20"/>
        </w:rPr>
      </w:pPr>
      <w:r w:rsidRPr="00492566">
        <w:rPr>
          <w:rFonts w:ascii="Times New Roman" w:hAnsi="Times New Roman"/>
          <w:b/>
          <w:sz w:val="24"/>
          <w:szCs w:val="20"/>
        </w:rPr>
        <w:t>Artikel 4. Forfaitaire percentages 2022</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1. Na afloop van het kalenderjaar 2022 wordt binnen twee maanden het in artikel 3, derde lid, kolom I, laatste regel, vermelde percentage bij ministeriële regeling vervangen door een ander percentage. Dit percentage wordt gesteld op de door twaalf te delen som van de maandelijkse rentepercentages op deposito’s van huishoudens met een opzegtermijn van </w:t>
      </w:r>
      <w:r w:rsidRPr="003C57E6">
        <w:rPr>
          <w:rFonts w:ascii="Times New Roman" w:hAnsi="Times New Roman"/>
          <w:sz w:val="24"/>
        </w:rPr>
        <w:t>maximaal drie maanden, zoals gepubliceerd door De Nederlandsche B</w:t>
      </w:r>
      <w:r w:rsidRPr="003C57E6" w:rsidR="003C57E6">
        <w:rPr>
          <w:rFonts w:ascii="Times New Roman" w:hAnsi="Times New Roman"/>
          <w:sz w:val="24"/>
        </w:rPr>
        <w:t xml:space="preserve">ank, uit een periode van elf </w:t>
      </w:r>
      <w:r w:rsidRPr="003C57E6">
        <w:rPr>
          <w:rFonts w:ascii="Times New Roman" w:hAnsi="Times New Roman"/>
          <w:sz w:val="24"/>
        </w:rPr>
        <w:t>maanden, beginnend op 1 januari en eindigend op 30 november van het kalenderjaar 2022,</w:t>
      </w:r>
      <w:r w:rsidRPr="003C57E6" w:rsidR="003C57E6">
        <w:rPr>
          <w:rFonts w:ascii="Times New Roman" w:hAnsi="Times New Roman"/>
          <w:sz w:val="24"/>
        </w:rPr>
        <w:t xml:space="preserve"> onder dubbeltelling van het percentage over de maand november</w:t>
      </w:r>
      <w:r w:rsidRPr="003C57E6">
        <w:rPr>
          <w:rFonts w:ascii="Times New Roman" w:hAnsi="Times New Roman"/>
          <w:sz w:val="24"/>
        </w:rPr>
        <w:t>.</w:t>
      </w:r>
      <w:r w:rsidRPr="00492566">
        <w:rPr>
          <w:rFonts w:ascii="Times New Roman" w:hAnsi="Times New Roman"/>
          <w:sz w:val="24"/>
          <w:szCs w:val="20"/>
        </w:rPr>
        <w:t xml:space="preserve">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2. Na afloop van het kalenderjaar 2022 wordt binnen twee maanden het in artikel 3, derde lid, kolom III, laatste regel, vermelde percentage bij ministeriële regeling vervangen door een ander percentage. Dit percentage wordt gesteld op de door twaalf te delen som van de maandelijkse rentes over het totale uitstaande bedrag aan woninghypotheken van huishoudens, zoals gepubliceerd door De Nederlandsche </w:t>
      </w:r>
      <w:r w:rsidR="003C57E6">
        <w:rPr>
          <w:rFonts w:ascii="Times New Roman" w:hAnsi="Times New Roman"/>
          <w:sz w:val="24"/>
          <w:szCs w:val="20"/>
        </w:rPr>
        <w:t>Bank, uit een periode van elf</w:t>
      </w:r>
      <w:r w:rsidRPr="00492566">
        <w:rPr>
          <w:rFonts w:ascii="Times New Roman" w:hAnsi="Times New Roman"/>
          <w:sz w:val="24"/>
          <w:szCs w:val="20"/>
        </w:rPr>
        <w:t xml:space="preserve"> maanden, beginnend op 1 januari en eindigend op 30 november van het kalenderjaar 2022,</w:t>
      </w:r>
      <w:r w:rsidR="003C57E6">
        <w:rPr>
          <w:rFonts w:ascii="Times New Roman" w:hAnsi="Times New Roman"/>
          <w:sz w:val="24"/>
          <w:szCs w:val="20"/>
        </w:rPr>
        <w:t xml:space="preserve"> </w:t>
      </w:r>
      <w:r w:rsidRPr="003C57E6" w:rsidR="003C57E6">
        <w:rPr>
          <w:rFonts w:ascii="Times New Roman" w:hAnsi="Times New Roman"/>
          <w:sz w:val="24"/>
        </w:rPr>
        <w:t>onder dubbeltelling van het percentage over de maand november</w:t>
      </w:r>
      <w:r w:rsidRPr="00492566">
        <w:rPr>
          <w:rFonts w:ascii="Times New Roman" w:hAnsi="Times New Roman"/>
          <w:sz w:val="24"/>
          <w:szCs w:val="20"/>
        </w:rPr>
        <w:t>.</w:t>
      </w: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b/>
          <w:sz w:val="24"/>
          <w:szCs w:val="20"/>
        </w:rPr>
      </w:pPr>
      <w:r w:rsidRPr="00492566">
        <w:rPr>
          <w:rFonts w:ascii="Times New Roman" w:hAnsi="Times New Roman"/>
          <w:b/>
          <w:sz w:val="24"/>
          <w:szCs w:val="20"/>
        </w:rPr>
        <w:t>Artikel 5. Persoonsgebonden aftrek</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In afwijking van artikel 2.17, derde lid, van de Wet inkomstenbelasting 2001, wordt voor de persoonsgebonden aftrek, die voortvloeit uit een herrekening van het verzamelinkomen door toepassing van de artikelen 2 en 3, aangesloten bij de door de fiscale partners in de aangifte gekozen verdeling van uitgaven voor specifieke zorgkosten als bedoeld in afdeling 6.5 van de Wet inkomstenbelasting 2001 of aftrekbare giften als bedoeld in afdeling 6.9 van de Wet inkomstenbelasting 2001. Indien de belastingplichtige tezamen met zijn partner op een andere wijze het extra bedrag aan persoonsgebonden aftrek wil verdelen, kunnen zij hiervoor een verzoek om ambtshalve vermindering indienen bij de inspecteur waarin zij hun gezamenlijke keuze kenbaar maken.</w:t>
      </w: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b/>
          <w:sz w:val="24"/>
          <w:szCs w:val="20"/>
        </w:rPr>
      </w:pPr>
      <w:r w:rsidRPr="00492566">
        <w:rPr>
          <w:rFonts w:ascii="Times New Roman" w:hAnsi="Times New Roman"/>
          <w:b/>
          <w:sz w:val="24"/>
          <w:szCs w:val="20"/>
        </w:rPr>
        <w:t>Artikel 6. Voorkomen van dubbele belasting</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492566">
        <w:rPr>
          <w:rFonts w:ascii="Times New Roman" w:hAnsi="Times New Roman"/>
          <w:sz w:val="24"/>
          <w:szCs w:val="20"/>
        </w:rPr>
        <w:t>In afwijking van artikel 24, tweede lid, van het besluit, wordt de vermindering, bedoeld in het eerste lid van dat artikel, berekend met inachtneming van de inkomstenbelasting die over het belastbare inkomen uit sparen en beleggen na toepassing van deze wet, maar vóór de vermindering ter voorkoming van dubbele belasting, verschuldigd zou zijn.</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2566">
        <w:rPr>
          <w:rFonts w:ascii="Times New Roman" w:hAnsi="Times New Roman"/>
          <w:sz w:val="24"/>
          <w:szCs w:val="20"/>
        </w:rPr>
        <w:t xml:space="preserve">2. In afwijking van artikel 24, vijfde lid, onderdelen a en b, van het besluit wordt verstaan onder: </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a. het forfaitaire rendement van de rendementsgrondslag in het buitenland: het rendement van de bezittingen in het buitenland, bedoeld in artikel 23, tweede lid, van het besluit, verminderd met het rendement van de schulden in verband met die bezittingen;</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 xml:space="preserve">b. het noemerinkomen: het belastbare inkomen uit sparen </w:t>
      </w:r>
      <w:r w:rsidR="00F25C42">
        <w:rPr>
          <w:rFonts w:ascii="Times New Roman" w:hAnsi="Times New Roman"/>
          <w:sz w:val="24"/>
          <w:szCs w:val="20"/>
        </w:rPr>
        <w:t xml:space="preserve">en </w:t>
      </w:r>
      <w:r w:rsidRPr="00492566">
        <w:rPr>
          <w:rFonts w:ascii="Times New Roman" w:hAnsi="Times New Roman"/>
          <w:sz w:val="24"/>
          <w:szCs w:val="20"/>
        </w:rPr>
        <w:t>beleggen zoals dat na toepassing van deze wet is vastgesteld.</w:t>
      </w: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3. Voor de toepassing van het tweede lid, onderdeel a, wordt het rendement van de bezittingen in het buitenland en het rendement van de schulden in verband met die bezittingen bepaald met inachtneming van artikel 3, derde lid.</w:t>
      </w: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b/>
          <w:sz w:val="24"/>
          <w:szCs w:val="20"/>
        </w:rPr>
      </w:pPr>
      <w:r w:rsidRPr="00492566">
        <w:rPr>
          <w:rFonts w:ascii="Times New Roman" w:hAnsi="Times New Roman"/>
          <w:b/>
          <w:sz w:val="24"/>
          <w:szCs w:val="20"/>
        </w:rPr>
        <w:t>Artikel 7. Inwerkingtreding</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Deze wet treedt in werking met ingang van de dag na de datum van uitgifte van het Staatsblad waarin zij wordt geplaatst en we</w:t>
      </w:r>
      <w:r w:rsidR="00F25C42">
        <w:rPr>
          <w:rFonts w:ascii="Times New Roman" w:hAnsi="Times New Roman"/>
          <w:sz w:val="24"/>
          <w:szCs w:val="20"/>
        </w:rPr>
        <w:t>rkt terug tot en met 1 januari 2017</w:t>
      </w:r>
      <w:r w:rsidRPr="00492566">
        <w:rPr>
          <w:rFonts w:ascii="Times New Roman" w:hAnsi="Times New Roman"/>
          <w:sz w:val="24"/>
          <w:szCs w:val="20"/>
        </w:rPr>
        <w:t>.</w:t>
      </w: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b/>
          <w:sz w:val="24"/>
          <w:szCs w:val="20"/>
        </w:rPr>
      </w:pPr>
      <w:r w:rsidRPr="00492566">
        <w:rPr>
          <w:rFonts w:ascii="Times New Roman" w:hAnsi="Times New Roman"/>
          <w:b/>
          <w:sz w:val="24"/>
          <w:szCs w:val="20"/>
        </w:rPr>
        <w:t>Artikel 8. Citeertitel</w:t>
      </w:r>
    </w:p>
    <w:p w:rsidRPr="00492566"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2566">
        <w:rPr>
          <w:rFonts w:ascii="Times New Roman" w:hAnsi="Times New Roman"/>
          <w:sz w:val="24"/>
          <w:szCs w:val="20"/>
        </w:rPr>
        <w:t>Deze wet wordt aangehaald als: Wet rechtsherstel box 3.</w:t>
      </w: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ind w:firstLine="284"/>
        <w:rPr>
          <w:rFonts w:ascii="Times New Roman" w:hAnsi="Times New Roman"/>
          <w:sz w:val="24"/>
        </w:rPr>
      </w:pPr>
      <w:r w:rsidRPr="00913767">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 xml:space="preserve">Gegeven, </w:t>
      </w: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p>
    <w:p w:rsidRPr="00492566" w:rsidR="00492566" w:rsidP="00492566" w:rsidRDefault="00492566">
      <w:pPr>
        <w:tabs>
          <w:tab w:val="left" w:pos="284"/>
          <w:tab w:val="left" w:pos="567"/>
          <w:tab w:val="left" w:pos="851"/>
        </w:tabs>
        <w:ind w:right="-2"/>
        <w:rPr>
          <w:rFonts w:ascii="Times New Roman" w:hAnsi="Times New Roman"/>
          <w:sz w:val="24"/>
          <w:szCs w:val="20"/>
        </w:rPr>
      </w:pPr>
    </w:p>
    <w:p w:rsidR="00492566" w:rsidP="00492566" w:rsidRDefault="004925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De Staatssecretaris van Financiën</w:t>
      </w:r>
      <w:r w:rsidR="00FD5A66">
        <w:rPr>
          <w:rFonts w:ascii="Times New Roman" w:hAnsi="Times New Roman"/>
          <w:sz w:val="24"/>
          <w:szCs w:val="20"/>
        </w:rPr>
        <w:t>,</w:t>
      </w:r>
    </w:p>
    <w:p w:rsidR="00FD5A66" w:rsidP="00492566" w:rsidRDefault="00FD5A66">
      <w:pPr>
        <w:tabs>
          <w:tab w:val="left" w:pos="284"/>
          <w:tab w:val="left" w:pos="567"/>
          <w:tab w:val="left" w:pos="851"/>
        </w:tabs>
        <w:ind w:right="-2"/>
        <w:rPr>
          <w:rFonts w:ascii="Times New Roman" w:hAnsi="Times New Roman"/>
          <w:sz w:val="24"/>
          <w:szCs w:val="20"/>
        </w:rPr>
      </w:pPr>
    </w:p>
    <w:p w:rsidR="00FD5A66" w:rsidP="00492566" w:rsidRDefault="00FD5A66">
      <w:pPr>
        <w:tabs>
          <w:tab w:val="left" w:pos="284"/>
          <w:tab w:val="left" w:pos="567"/>
          <w:tab w:val="left" w:pos="851"/>
        </w:tabs>
        <w:ind w:right="-2"/>
        <w:rPr>
          <w:rFonts w:ascii="Times New Roman" w:hAnsi="Times New Roman"/>
          <w:sz w:val="24"/>
          <w:szCs w:val="20"/>
        </w:rPr>
      </w:pPr>
    </w:p>
    <w:p w:rsidR="00FD5A66" w:rsidP="00492566" w:rsidRDefault="00FD5A66">
      <w:pPr>
        <w:tabs>
          <w:tab w:val="left" w:pos="284"/>
          <w:tab w:val="left" w:pos="567"/>
          <w:tab w:val="left" w:pos="851"/>
        </w:tabs>
        <w:ind w:right="-2"/>
        <w:rPr>
          <w:rFonts w:ascii="Times New Roman" w:hAnsi="Times New Roman"/>
          <w:sz w:val="24"/>
          <w:szCs w:val="20"/>
        </w:rPr>
      </w:pPr>
    </w:p>
    <w:p w:rsidR="00FD5A66" w:rsidP="00492566" w:rsidRDefault="00FD5A66">
      <w:pPr>
        <w:tabs>
          <w:tab w:val="left" w:pos="284"/>
          <w:tab w:val="left" w:pos="567"/>
          <w:tab w:val="left" w:pos="851"/>
        </w:tabs>
        <w:ind w:right="-2"/>
        <w:rPr>
          <w:rFonts w:ascii="Times New Roman" w:hAnsi="Times New Roman"/>
          <w:sz w:val="24"/>
          <w:szCs w:val="20"/>
        </w:rPr>
      </w:pPr>
    </w:p>
    <w:p w:rsidR="00FD5A66" w:rsidP="00492566" w:rsidRDefault="00FD5A66">
      <w:pPr>
        <w:tabs>
          <w:tab w:val="left" w:pos="284"/>
          <w:tab w:val="left" w:pos="567"/>
          <w:tab w:val="left" w:pos="851"/>
        </w:tabs>
        <w:ind w:right="-2"/>
        <w:rPr>
          <w:rFonts w:ascii="Times New Roman" w:hAnsi="Times New Roman"/>
          <w:sz w:val="24"/>
          <w:szCs w:val="20"/>
        </w:rPr>
      </w:pPr>
    </w:p>
    <w:p w:rsidR="00FD5A66" w:rsidP="00492566" w:rsidRDefault="00FD5A66">
      <w:pPr>
        <w:tabs>
          <w:tab w:val="left" w:pos="284"/>
          <w:tab w:val="left" w:pos="567"/>
          <w:tab w:val="left" w:pos="851"/>
        </w:tabs>
        <w:ind w:right="-2"/>
        <w:rPr>
          <w:rFonts w:ascii="Times New Roman" w:hAnsi="Times New Roman"/>
          <w:sz w:val="24"/>
          <w:szCs w:val="20"/>
        </w:rPr>
      </w:pPr>
    </w:p>
    <w:p w:rsidR="00FD5A66" w:rsidP="00492566" w:rsidRDefault="00FD5A66">
      <w:pPr>
        <w:tabs>
          <w:tab w:val="left" w:pos="284"/>
          <w:tab w:val="left" w:pos="567"/>
          <w:tab w:val="left" w:pos="851"/>
        </w:tabs>
        <w:ind w:right="-2"/>
        <w:rPr>
          <w:rFonts w:ascii="Times New Roman" w:hAnsi="Times New Roman"/>
          <w:sz w:val="24"/>
          <w:szCs w:val="20"/>
        </w:rPr>
      </w:pPr>
    </w:p>
    <w:p w:rsidR="00FD5A66" w:rsidP="00492566" w:rsidRDefault="00FD5A66">
      <w:pPr>
        <w:tabs>
          <w:tab w:val="left" w:pos="284"/>
          <w:tab w:val="left" w:pos="567"/>
          <w:tab w:val="left" w:pos="851"/>
        </w:tabs>
        <w:ind w:right="-2"/>
        <w:rPr>
          <w:rFonts w:ascii="Times New Roman" w:hAnsi="Times New Roman"/>
          <w:sz w:val="24"/>
          <w:szCs w:val="20"/>
        </w:rPr>
      </w:pPr>
    </w:p>
    <w:p w:rsidRPr="00492566" w:rsidR="00FD5A66" w:rsidP="00FD5A66" w:rsidRDefault="00FD5A66">
      <w:pPr>
        <w:tabs>
          <w:tab w:val="left" w:pos="284"/>
          <w:tab w:val="left" w:pos="567"/>
          <w:tab w:val="left" w:pos="851"/>
        </w:tabs>
        <w:ind w:right="-2"/>
        <w:rPr>
          <w:rFonts w:ascii="Times New Roman" w:hAnsi="Times New Roman"/>
          <w:sz w:val="24"/>
          <w:szCs w:val="20"/>
        </w:rPr>
      </w:pPr>
      <w:bookmarkStart w:name="_GoBack" w:id="0"/>
      <w:bookmarkEnd w:id="0"/>
    </w:p>
    <w:p w:rsidRPr="002168F4" w:rsidR="00FD5A66" w:rsidP="00FD5A66" w:rsidRDefault="00FD5A66">
      <w:pPr>
        <w:tabs>
          <w:tab w:val="left" w:pos="284"/>
          <w:tab w:val="left" w:pos="567"/>
          <w:tab w:val="left" w:pos="851"/>
        </w:tabs>
        <w:ind w:right="-2"/>
        <w:rPr>
          <w:rFonts w:ascii="Times New Roman" w:hAnsi="Times New Roman"/>
          <w:sz w:val="24"/>
          <w:szCs w:val="20"/>
        </w:rPr>
      </w:pPr>
      <w:r w:rsidRPr="00492566">
        <w:rPr>
          <w:rFonts w:ascii="Times New Roman" w:hAnsi="Times New Roman"/>
          <w:sz w:val="24"/>
          <w:szCs w:val="20"/>
        </w:rPr>
        <w:t>De Staatssecretaris van Financiën</w:t>
      </w:r>
      <w:r>
        <w:rPr>
          <w:rFonts w:ascii="Times New Roman" w:hAnsi="Times New Roman"/>
          <w:sz w:val="24"/>
          <w:szCs w:val="20"/>
        </w:rPr>
        <w:t>,</w:t>
      </w:r>
    </w:p>
    <w:p w:rsidRPr="002168F4" w:rsidR="00FD5A66" w:rsidP="00492566" w:rsidRDefault="00FD5A66">
      <w:pPr>
        <w:tabs>
          <w:tab w:val="left" w:pos="284"/>
          <w:tab w:val="left" w:pos="567"/>
          <w:tab w:val="left" w:pos="851"/>
        </w:tabs>
        <w:ind w:right="-2"/>
        <w:rPr>
          <w:rFonts w:ascii="Times New Roman" w:hAnsi="Times New Roman"/>
          <w:sz w:val="24"/>
          <w:szCs w:val="20"/>
        </w:rPr>
      </w:pPr>
    </w:p>
    <w:sectPr w:rsidRPr="002168F4" w:rsidR="00FD5A6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566" w:rsidRDefault="00492566">
      <w:pPr>
        <w:spacing w:line="20" w:lineRule="exact"/>
      </w:pPr>
    </w:p>
  </w:endnote>
  <w:endnote w:type="continuationSeparator" w:id="0">
    <w:p w:rsidR="00492566" w:rsidRDefault="00492566">
      <w:pPr>
        <w:pStyle w:val="Amendement"/>
      </w:pPr>
      <w:r>
        <w:rPr>
          <w:b w:val="0"/>
          <w:bCs w:val="0"/>
        </w:rPr>
        <w:t xml:space="preserve"> </w:t>
      </w:r>
    </w:p>
  </w:endnote>
  <w:endnote w:type="continuationNotice" w:id="1">
    <w:p w:rsidR="00492566" w:rsidRDefault="0049256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D5A66">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566" w:rsidRDefault="00492566">
      <w:pPr>
        <w:pStyle w:val="Amendement"/>
      </w:pPr>
      <w:r>
        <w:rPr>
          <w:b w:val="0"/>
          <w:bCs w:val="0"/>
        </w:rPr>
        <w:separator/>
      </w:r>
    </w:p>
  </w:footnote>
  <w:footnote w:type="continuationSeparator" w:id="0">
    <w:p w:rsidR="00492566" w:rsidRDefault="00492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66"/>
    <w:rsid w:val="00012DBE"/>
    <w:rsid w:val="000A1D81"/>
    <w:rsid w:val="00111ED3"/>
    <w:rsid w:val="001C190E"/>
    <w:rsid w:val="002168F4"/>
    <w:rsid w:val="00255AF5"/>
    <w:rsid w:val="002A727C"/>
    <w:rsid w:val="003C57E6"/>
    <w:rsid w:val="00492566"/>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D97D94"/>
    <w:rsid w:val="00E16443"/>
    <w:rsid w:val="00E36EE9"/>
    <w:rsid w:val="00F13442"/>
    <w:rsid w:val="00F25C42"/>
    <w:rsid w:val="00F956D4"/>
    <w:rsid w:val="00FD5A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267F4"/>
  <w15:docId w15:val="{62E07CF4-0CA9-4718-8855-F07C5653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rsid w:val="00492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mp">
    <w:name w:val="avmp"/>
    <w:rsid w:val="00FD5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1385</ap:Words>
  <ap:Characters>7661</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2022-11-10T13:09:00.0000000Z</dcterms:created>
  <dcterms:modified xsi:type="dcterms:W3CDTF">2022-11-10T13:12:00.0000000Z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