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FD5A66" w:rsidR="00FD5A66" w:rsidP="000D0DF5" w:rsidRDefault="00FD5A66">
            <w:pPr>
              <w:tabs>
                <w:tab w:val="left" w:pos="-1440"/>
                <w:tab w:val="left" w:pos="-720"/>
              </w:tabs>
              <w:suppressAutoHyphens/>
              <w:rPr>
                <w:rFonts w:ascii="Times New Roman" w:hAnsi="Times New Roman"/>
              </w:rPr>
            </w:pPr>
            <w:r w:rsidRPr="00FD5A66">
              <w:rPr>
                <w:rFonts w:ascii="Times New Roman" w:hAnsi="Times New Roman"/>
              </w:rPr>
              <w:t>De Tweede Kamer der Staten-</w:t>
            </w:r>
            <w:r w:rsidRPr="00FD5A66">
              <w:rPr>
                <w:rFonts w:ascii="Times New Roman" w:hAnsi="Times New Roman"/>
              </w:rPr>
              <w:fldChar w:fldCharType="begin"/>
            </w:r>
            <w:r w:rsidRPr="00FD5A66">
              <w:rPr>
                <w:rFonts w:ascii="Times New Roman" w:hAnsi="Times New Roman"/>
              </w:rPr>
              <w:instrText xml:space="preserve">PRIVATE </w:instrText>
            </w:r>
            <w:r w:rsidRPr="00FD5A66">
              <w:rPr>
                <w:rFonts w:ascii="Times New Roman" w:hAnsi="Times New Roman"/>
              </w:rPr>
              <w:fldChar w:fldCharType="end"/>
            </w:r>
          </w:p>
          <w:p w:rsidRPr="00FD5A66" w:rsidR="00FD5A66" w:rsidP="000D0DF5" w:rsidRDefault="00FD5A66">
            <w:pPr>
              <w:tabs>
                <w:tab w:val="left" w:pos="-1440"/>
                <w:tab w:val="left" w:pos="-720"/>
              </w:tabs>
              <w:suppressAutoHyphens/>
              <w:rPr>
                <w:rFonts w:ascii="Times New Roman" w:hAnsi="Times New Roman"/>
              </w:rPr>
            </w:pPr>
            <w:r w:rsidRPr="00FD5A66">
              <w:rPr>
                <w:rFonts w:ascii="Times New Roman" w:hAnsi="Times New Roman"/>
              </w:rPr>
              <w:t>Generaal zendt bijgaand door</w:t>
            </w:r>
          </w:p>
          <w:p w:rsidRPr="00FD5A66" w:rsidR="00FD5A66" w:rsidP="000D0DF5" w:rsidRDefault="00FD5A66">
            <w:pPr>
              <w:tabs>
                <w:tab w:val="left" w:pos="-1440"/>
                <w:tab w:val="left" w:pos="-720"/>
              </w:tabs>
              <w:suppressAutoHyphens/>
              <w:rPr>
                <w:rFonts w:ascii="Times New Roman" w:hAnsi="Times New Roman"/>
              </w:rPr>
            </w:pPr>
            <w:r w:rsidRPr="00FD5A66">
              <w:rPr>
                <w:rFonts w:ascii="Times New Roman" w:hAnsi="Times New Roman"/>
              </w:rPr>
              <w:t>haar aangenomen wetsvoorstel</w:t>
            </w:r>
          </w:p>
          <w:p w:rsidRPr="00FD5A66" w:rsidR="00FD5A66" w:rsidP="000D0DF5" w:rsidRDefault="00FD5A66">
            <w:pPr>
              <w:tabs>
                <w:tab w:val="left" w:pos="-1440"/>
                <w:tab w:val="left" w:pos="-720"/>
              </w:tabs>
              <w:suppressAutoHyphens/>
              <w:rPr>
                <w:rFonts w:ascii="Times New Roman" w:hAnsi="Times New Roman"/>
              </w:rPr>
            </w:pPr>
            <w:r w:rsidRPr="00FD5A66">
              <w:rPr>
                <w:rFonts w:ascii="Times New Roman" w:hAnsi="Times New Roman"/>
              </w:rPr>
              <w:t>aan de Eerste Kamer.</w:t>
            </w:r>
          </w:p>
          <w:p w:rsidRPr="00FD5A66" w:rsidR="00FD5A66" w:rsidP="000D0DF5" w:rsidRDefault="00FD5A66">
            <w:pPr>
              <w:tabs>
                <w:tab w:val="left" w:pos="-1440"/>
                <w:tab w:val="left" w:pos="-720"/>
              </w:tabs>
              <w:suppressAutoHyphens/>
              <w:rPr>
                <w:rFonts w:ascii="Times New Roman" w:hAnsi="Times New Roman"/>
              </w:rPr>
            </w:pPr>
          </w:p>
          <w:p w:rsidRPr="00FD5A66" w:rsidR="00FD5A66" w:rsidP="000D0DF5" w:rsidRDefault="00FD5A66">
            <w:pPr>
              <w:tabs>
                <w:tab w:val="left" w:pos="-1440"/>
                <w:tab w:val="left" w:pos="-720"/>
              </w:tabs>
              <w:suppressAutoHyphens/>
              <w:rPr>
                <w:rFonts w:ascii="Times New Roman" w:hAnsi="Times New Roman"/>
              </w:rPr>
            </w:pPr>
            <w:r w:rsidRPr="00FD5A66">
              <w:rPr>
                <w:rFonts w:ascii="Times New Roman" w:hAnsi="Times New Roman"/>
              </w:rPr>
              <w:t>De Voorzitter,</w:t>
            </w:r>
          </w:p>
          <w:p w:rsidRPr="00FD5A66" w:rsidR="00FD5A66" w:rsidP="000D0DF5" w:rsidRDefault="00FD5A66">
            <w:pPr>
              <w:tabs>
                <w:tab w:val="left" w:pos="-1440"/>
                <w:tab w:val="left" w:pos="-720"/>
              </w:tabs>
              <w:suppressAutoHyphens/>
              <w:rPr>
                <w:rFonts w:ascii="Times New Roman" w:hAnsi="Times New Roman"/>
              </w:rPr>
            </w:pPr>
          </w:p>
          <w:p w:rsidRPr="00FD5A66" w:rsidR="00FD5A66" w:rsidP="000D0DF5" w:rsidRDefault="00FD5A66">
            <w:pPr>
              <w:tabs>
                <w:tab w:val="left" w:pos="-1440"/>
                <w:tab w:val="left" w:pos="-720"/>
              </w:tabs>
              <w:suppressAutoHyphens/>
              <w:rPr>
                <w:rFonts w:ascii="Times New Roman" w:hAnsi="Times New Roman"/>
              </w:rPr>
            </w:pPr>
          </w:p>
          <w:p w:rsidRPr="00FD5A66" w:rsidR="00FD5A66" w:rsidP="000D0DF5" w:rsidRDefault="00FD5A66">
            <w:pPr>
              <w:tabs>
                <w:tab w:val="left" w:pos="-1440"/>
                <w:tab w:val="left" w:pos="-720"/>
              </w:tabs>
              <w:suppressAutoHyphens/>
              <w:rPr>
                <w:rFonts w:ascii="Times New Roman" w:hAnsi="Times New Roman"/>
              </w:rPr>
            </w:pPr>
          </w:p>
          <w:p w:rsidRPr="00FD5A66" w:rsidR="00FD5A66" w:rsidP="000D0DF5" w:rsidRDefault="00FD5A66">
            <w:pPr>
              <w:tabs>
                <w:tab w:val="left" w:pos="-1440"/>
                <w:tab w:val="left" w:pos="-720"/>
              </w:tabs>
              <w:suppressAutoHyphens/>
              <w:rPr>
                <w:rFonts w:ascii="Times New Roman" w:hAnsi="Times New Roman"/>
              </w:rPr>
            </w:pPr>
          </w:p>
          <w:p w:rsidRPr="00FD5A66" w:rsidR="00FD5A66" w:rsidP="000D0DF5" w:rsidRDefault="00FD5A66">
            <w:pPr>
              <w:tabs>
                <w:tab w:val="left" w:pos="-1440"/>
                <w:tab w:val="left" w:pos="-720"/>
              </w:tabs>
              <w:suppressAutoHyphens/>
              <w:rPr>
                <w:rFonts w:ascii="Times New Roman" w:hAnsi="Times New Roman"/>
              </w:rPr>
            </w:pPr>
          </w:p>
          <w:p w:rsidRPr="00FD5A66" w:rsidR="00FD5A66" w:rsidP="000D0DF5" w:rsidRDefault="00FD5A66">
            <w:pPr>
              <w:tabs>
                <w:tab w:val="left" w:pos="-1440"/>
                <w:tab w:val="left" w:pos="-720"/>
              </w:tabs>
              <w:suppressAutoHyphens/>
              <w:rPr>
                <w:rFonts w:ascii="Times New Roman" w:hAnsi="Times New Roman"/>
              </w:rPr>
            </w:pPr>
          </w:p>
          <w:p w:rsidRPr="00FD5A66" w:rsidR="00FD5A66" w:rsidP="000D0DF5" w:rsidRDefault="00FD5A66">
            <w:pPr>
              <w:tabs>
                <w:tab w:val="left" w:pos="-1440"/>
                <w:tab w:val="left" w:pos="-720"/>
              </w:tabs>
              <w:suppressAutoHyphens/>
              <w:rPr>
                <w:rFonts w:ascii="Times New Roman" w:hAnsi="Times New Roman"/>
              </w:rPr>
            </w:pPr>
          </w:p>
          <w:p w:rsidRPr="00FD5A66" w:rsidR="00FD5A66" w:rsidP="000D0DF5" w:rsidRDefault="00FD5A66">
            <w:pPr>
              <w:tabs>
                <w:tab w:val="left" w:pos="-1440"/>
                <w:tab w:val="left" w:pos="-720"/>
              </w:tabs>
              <w:suppressAutoHyphens/>
              <w:rPr>
                <w:rFonts w:ascii="Times New Roman" w:hAnsi="Times New Roman"/>
              </w:rPr>
            </w:pPr>
          </w:p>
          <w:p w:rsidRPr="00FD5A66" w:rsidR="00FD5A66" w:rsidP="000D0DF5" w:rsidRDefault="00FD5A66">
            <w:pPr>
              <w:rPr>
                <w:rFonts w:ascii="Times New Roman" w:hAnsi="Times New Roman"/>
              </w:rPr>
            </w:pPr>
          </w:p>
          <w:p w:rsidRPr="003C57E6" w:rsidR="00CB3578" w:rsidP="003C57E6" w:rsidRDefault="00FD5A66">
            <w:pPr>
              <w:pStyle w:val="Amendement"/>
              <w:rPr>
                <w:rFonts w:ascii="Times New Roman" w:hAnsi="Times New Roman" w:cs="Times New Roman"/>
                <w:b w:val="0"/>
              </w:rPr>
            </w:pPr>
            <w:r w:rsidRPr="00FD5A66">
              <w:rPr>
                <w:rFonts w:ascii="Times New Roman" w:hAnsi="Times New Roman" w:cs="Times New Roman"/>
                <w:b w:val="0"/>
                <w:sz w:val="20"/>
              </w:rPr>
              <w:t>10 november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FD5A66" w:rsidTr="00E61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92566" w:rsidR="00FD5A66" w:rsidP="000D5BC4" w:rsidRDefault="00FD5A66">
            <w:pPr>
              <w:rPr>
                <w:rFonts w:ascii="Times New Roman" w:hAnsi="Times New Roman"/>
                <w:b/>
              </w:rPr>
            </w:pPr>
            <w:r w:rsidRPr="00492566">
              <w:rPr>
                <w:rFonts w:ascii="Times New Roman" w:hAnsi="Times New Roman"/>
                <w:b/>
                <w:sz w:val="24"/>
              </w:rPr>
              <w:t>Wijziging van het voordeel uit sparen en beleggen als bedoeld in artikel 5.2 van de Wet inkomstenbelasting 2001 over de kalenderjaren 2017 tot met 2022 door het lager vaststellen van het voordeel in gevallen waarin dat nodig is om het voordeel in overeenstemming te brengen met de uitspraak van de Hoge Raad van 24 december 2021 (Wet rechtsherstel box 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FD5A66" w:rsidTr="00335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FD5A66" w:rsidRDefault="00FD5A66">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2566">
        <w:rPr>
          <w:rFonts w:ascii="Times New Roman" w:hAnsi="Times New Roman"/>
          <w:sz w:val="24"/>
          <w:szCs w:val="20"/>
        </w:rPr>
        <w:t>Wij Willem-Alexander, bij de gratie Gods, Koning der Nederlanden, Prins van Oranje-Nassau, enz. enz. enz.</w:t>
      </w:r>
    </w:p>
    <w:p w:rsidRPr="00492566" w:rsidR="00492566" w:rsidP="00492566" w:rsidRDefault="00492566">
      <w:pPr>
        <w:tabs>
          <w:tab w:val="left" w:pos="284"/>
          <w:tab w:val="left" w:pos="567"/>
          <w:tab w:val="left" w:pos="851"/>
        </w:tabs>
        <w:ind w:right="-2"/>
        <w:rPr>
          <w:rFonts w:ascii="Times New Roman" w:hAnsi="Times New Roman"/>
          <w:sz w:val="24"/>
          <w:szCs w:val="20"/>
        </w:rPr>
      </w:pPr>
    </w:p>
    <w:p w:rsidRPr="00492566"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2566">
        <w:rPr>
          <w:rFonts w:ascii="Times New Roman" w:hAnsi="Times New Roman"/>
          <w:sz w:val="24"/>
          <w:szCs w:val="20"/>
        </w:rPr>
        <w:t>Allen, die deze zullen zien of horen lezen, saluut! doen te weten:</w:t>
      </w:r>
    </w:p>
    <w:p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2566">
        <w:rPr>
          <w:rFonts w:ascii="Times New Roman" w:hAnsi="Times New Roman"/>
          <w:sz w:val="24"/>
          <w:szCs w:val="20"/>
        </w:rPr>
        <w:t>Alzo Wij in overweging genomen hebben, dat het wenselijk is om naar aanleiding van het arrest van de Hoge Raad van 24 december 2021 inzake box 3 de berekening van het voordeel uit sparen en beleggen aan te passen;</w:t>
      </w:r>
    </w:p>
    <w:p w:rsidR="00CB3578"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2566">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492566" w:rsidP="00492566" w:rsidRDefault="00492566">
      <w:pPr>
        <w:tabs>
          <w:tab w:val="left" w:pos="284"/>
          <w:tab w:val="left" w:pos="567"/>
          <w:tab w:val="left" w:pos="851"/>
        </w:tabs>
        <w:ind w:right="-2"/>
        <w:rPr>
          <w:rFonts w:ascii="Times New Roman" w:hAnsi="Times New Roman"/>
          <w:sz w:val="24"/>
          <w:szCs w:val="20"/>
        </w:rPr>
      </w:pPr>
    </w:p>
    <w:p w:rsidR="00492566" w:rsidP="00492566" w:rsidRDefault="00492566">
      <w:pPr>
        <w:tabs>
          <w:tab w:val="left" w:pos="284"/>
          <w:tab w:val="left" w:pos="567"/>
          <w:tab w:val="left" w:pos="851"/>
        </w:tabs>
        <w:ind w:right="-2"/>
        <w:rPr>
          <w:rFonts w:ascii="Times New Roman" w:hAnsi="Times New Roman"/>
          <w:sz w:val="24"/>
          <w:szCs w:val="20"/>
        </w:rPr>
      </w:pPr>
    </w:p>
    <w:p w:rsidRPr="00492566" w:rsidR="00492566" w:rsidP="00492566" w:rsidRDefault="00492566">
      <w:pPr>
        <w:tabs>
          <w:tab w:val="left" w:pos="284"/>
          <w:tab w:val="left" w:pos="567"/>
          <w:tab w:val="left" w:pos="851"/>
        </w:tabs>
        <w:ind w:right="-2"/>
        <w:rPr>
          <w:rFonts w:ascii="Times New Roman" w:hAnsi="Times New Roman"/>
          <w:b/>
          <w:sz w:val="24"/>
          <w:szCs w:val="20"/>
        </w:rPr>
      </w:pPr>
      <w:r w:rsidRPr="00492566">
        <w:rPr>
          <w:rFonts w:ascii="Times New Roman" w:hAnsi="Times New Roman"/>
          <w:b/>
          <w:sz w:val="24"/>
          <w:szCs w:val="20"/>
        </w:rPr>
        <w:t>Artikel 1. Reikwijdte en begripsbepalingen</w:t>
      </w:r>
    </w:p>
    <w:p w:rsidRPr="00492566" w:rsidR="00492566" w:rsidP="00492566" w:rsidRDefault="00492566">
      <w:pPr>
        <w:tabs>
          <w:tab w:val="left" w:pos="284"/>
          <w:tab w:val="left" w:pos="567"/>
          <w:tab w:val="left" w:pos="851"/>
        </w:tabs>
        <w:ind w:right="-2"/>
        <w:rPr>
          <w:rFonts w:ascii="Times New Roman" w:hAnsi="Times New Roman"/>
          <w:sz w:val="24"/>
          <w:szCs w:val="20"/>
        </w:rPr>
      </w:pPr>
    </w:p>
    <w:p w:rsidRPr="00492566"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2566">
        <w:rPr>
          <w:rFonts w:ascii="Times New Roman" w:hAnsi="Times New Roman"/>
          <w:sz w:val="24"/>
          <w:szCs w:val="20"/>
        </w:rPr>
        <w:t>1. Voor toepassing van deze wet wordt verstaan onder:</w:t>
      </w:r>
    </w:p>
    <w:p w:rsidRPr="00492566"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2566">
        <w:rPr>
          <w:rFonts w:ascii="Times New Roman" w:hAnsi="Times New Roman"/>
          <w:sz w:val="24"/>
          <w:szCs w:val="20"/>
        </w:rPr>
        <w:t>- banktegoeden: bezittingen als bedoeld in artikel 5.3 van de Wet inkomstenbelasting 2001 die deposito’s als bedoeld in artikel 1:1 van de Wet op het financieel toezicht zijn of daarmee naar aard en strekking overeenkomende buitenlandse deposito’s;</w:t>
      </w:r>
    </w:p>
    <w:p w:rsidRPr="00492566"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2566">
        <w:rPr>
          <w:rFonts w:ascii="Times New Roman" w:hAnsi="Times New Roman"/>
          <w:sz w:val="24"/>
          <w:szCs w:val="20"/>
        </w:rPr>
        <w:t>- het besluit: de op artikel 38, eerste lid, van de Algemene wet inzake rijksbelastingen berustende algemene maatregel van bestuur die voorziet in het voorkomen van dubbele belasting;</w:t>
      </w:r>
    </w:p>
    <w:p w:rsidRPr="00492566"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2566">
        <w:rPr>
          <w:rFonts w:ascii="Times New Roman" w:hAnsi="Times New Roman"/>
          <w:sz w:val="24"/>
          <w:szCs w:val="20"/>
        </w:rPr>
        <w:t>- overige bezittingen: bezittingen als bedoeld in artikel 5.3 van de Wet inkomstenbelasting 2001, anders dan banktegoeden;</w:t>
      </w:r>
    </w:p>
    <w:p w:rsidRPr="00492566"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2566">
        <w:rPr>
          <w:rFonts w:ascii="Times New Roman" w:hAnsi="Times New Roman"/>
          <w:sz w:val="24"/>
          <w:szCs w:val="20"/>
        </w:rPr>
        <w:t xml:space="preserve">- schulden: schulden als bedoeld in artikel 5.3 van de Wet inkomstenbelasting 2001. </w:t>
      </w:r>
    </w:p>
    <w:p w:rsidRPr="00492566"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2566">
        <w:rPr>
          <w:rFonts w:ascii="Times New Roman" w:hAnsi="Times New Roman"/>
          <w:sz w:val="24"/>
          <w:szCs w:val="20"/>
        </w:rPr>
        <w:t xml:space="preserve">2. Deze wet regelt de wijze waarop, in afwijking van de Wet inkomstenbelasting 2001 zoals die luidde voor het betreffende kalenderjaar, het voordeel uit sparen en beleggen, </w:t>
      </w:r>
      <w:r w:rsidRPr="00492566">
        <w:rPr>
          <w:rFonts w:ascii="Times New Roman" w:hAnsi="Times New Roman"/>
          <w:sz w:val="24"/>
          <w:szCs w:val="20"/>
        </w:rPr>
        <w:lastRenderedPageBreak/>
        <w:t>bedoeld in artikel 5.2 van de Wet inkomstenbelasting 2001, wordt vastgesteld en, in afwijking van het besluit zoals dat luidde voor het betreffende kalenderjaar, de vrijstelling voor buitenlands voordeel uit sparen en beleggen, bedoeld in artikel 22 van het besluit, wordt vastgesteld met betrekking tot:</w:t>
      </w:r>
    </w:p>
    <w:p w:rsidRPr="00492566"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2566">
        <w:rPr>
          <w:rFonts w:ascii="Times New Roman" w:hAnsi="Times New Roman"/>
          <w:sz w:val="24"/>
          <w:szCs w:val="20"/>
        </w:rPr>
        <w:t>a.</w:t>
      </w:r>
      <w:r w:rsidRPr="00492566">
        <w:rPr>
          <w:rFonts w:ascii="Times New Roman" w:hAnsi="Times New Roman"/>
          <w:sz w:val="24"/>
          <w:szCs w:val="20"/>
        </w:rPr>
        <w:tab/>
        <w:t xml:space="preserve">aanslagen inkomstenbelasting of premie volksverzekeringen over de kalenderjaren 2017, 2018, 2019 of 2020 die op 24 december 2021 nog niet onherroepelijk vaststonden of nog niet waren vastgesteld; </w:t>
      </w:r>
    </w:p>
    <w:p w:rsidRPr="00492566"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2566">
        <w:rPr>
          <w:rFonts w:ascii="Times New Roman" w:hAnsi="Times New Roman"/>
          <w:sz w:val="24"/>
          <w:szCs w:val="20"/>
        </w:rPr>
        <w:t>b.</w:t>
      </w:r>
      <w:r w:rsidRPr="00492566">
        <w:rPr>
          <w:rFonts w:ascii="Times New Roman" w:hAnsi="Times New Roman"/>
          <w:sz w:val="24"/>
          <w:szCs w:val="20"/>
        </w:rPr>
        <w:tab/>
        <w:t xml:space="preserve">aanslagen inkomstenbelasting of premie volksverzekeringen over de kalenderjaren 2021 of 2022. </w:t>
      </w:r>
    </w:p>
    <w:p w:rsidRPr="00492566"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2566">
        <w:rPr>
          <w:rFonts w:ascii="Times New Roman" w:hAnsi="Times New Roman"/>
          <w:sz w:val="24"/>
          <w:szCs w:val="20"/>
        </w:rPr>
        <w:t xml:space="preserve">3. Het tweede lid is slechts van toepassing voor zover dit met betrekking tot de betreffende aanslag tot een lager voordeel uit sparen en beleggen leidt dan zonder toepassing van deze wet het geval is. </w:t>
      </w:r>
    </w:p>
    <w:p w:rsidRPr="00492566"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2566">
        <w:rPr>
          <w:rFonts w:ascii="Times New Roman" w:hAnsi="Times New Roman"/>
          <w:sz w:val="24"/>
          <w:szCs w:val="20"/>
        </w:rPr>
        <w:t xml:space="preserve">4. Voor zover in deze wet niet wordt afgeweken van de Wet inkomstenbelasting 2001, zijn die wet en de daarop berustende bepalingen mede van toepassing met betrekking tot deze wet. </w:t>
      </w:r>
    </w:p>
    <w:p w:rsidRPr="00492566"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2566">
        <w:rPr>
          <w:rFonts w:ascii="Times New Roman" w:hAnsi="Times New Roman"/>
          <w:sz w:val="24"/>
          <w:szCs w:val="20"/>
        </w:rPr>
        <w:t xml:space="preserve">5. In deze wet worden de artikelen uit de Wet inkomstenbelasting 2001 of van het besluit bedoeld zoals deze luidden in het kalenderjaar waarover het voordeel uit sparen is of wordt vastgesteld. </w:t>
      </w:r>
    </w:p>
    <w:p w:rsidR="00492566" w:rsidP="00492566" w:rsidRDefault="00492566">
      <w:pPr>
        <w:tabs>
          <w:tab w:val="left" w:pos="284"/>
          <w:tab w:val="left" w:pos="567"/>
          <w:tab w:val="left" w:pos="851"/>
        </w:tabs>
        <w:ind w:right="-2"/>
        <w:rPr>
          <w:rFonts w:ascii="Times New Roman" w:hAnsi="Times New Roman"/>
          <w:sz w:val="24"/>
          <w:szCs w:val="20"/>
        </w:rPr>
      </w:pPr>
    </w:p>
    <w:p w:rsidRPr="00492566" w:rsidR="00492566" w:rsidP="00492566" w:rsidRDefault="00492566">
      <w:pPr>
        <w:tabs>
          <w:tab w:val="left" w:pos="284"/>
          <w:tab w:val="left" w:pos="567"/>
          <w:tab w:val="left" w:pos="851"/>
        </w:tabs>
        <w:ind w:right="-2"/>
        <w:rPr>
          <w:rFonts w:ascii="Times New Roman" w:hAnsi="Times New Roman"/>
          <w:sz w:val="24"/>
          <w:szCs w:val="20"/>
        </w:rPr>
      </w:pPr>
    </w:p>
    <w:p w:rsidRPr="00492566" w:rsidR="00492566" w:rsidP="00492566" w:rsidRDefault="00492566">
      <w:pPr>
        <w:tabs>
          <w:tab w:val="left" w:pos="284"/>
          <w:tab w:val="left" w:pos="567"/>
          <w:tab w:val="left" w:pos="851"/>
        </w:tabs>
        <w:ind w:right="-2"/>
        <w:rPr>
          <w:rFonts w:ascii="Times New Roman" w:hAnsi="Times New Roman"/>
          <w:b/>
          <w:sz w:val="24"/>
          <w:szCs w:val="20"/>
        </w:rPr>
      </w:pPr>
      <w:r w:rsidRPr="00492566">
        <w:rPr>
          <w:rFonts w:ascii="Times New Roman" w:hAnsi="Times New Roman"/>
          <w:b/>
          <w:sz w:val="24"/>
          <w:szCs w:val="20"/>
        </w:rPr>
        <w:t>Artikel 2. Voordeel uit sparen en beleggen</w:t>
      </w:r>
    </w:p>
    <w:p w:rsidRPr="00492566" w:rsidR="00492566" w:rsidP="00492566" w:rsidRDefault="00492566">
      <w:pPr>
        <w:tabs>
          <w:tab w:val="left" w:pos="284"/>
          <w:tab w:val="left" w:pos="567"/>
          <w:tab w:val="left" w:pos="851"/>
        </w:tabs>
        <w:ind w:right="-2"/>
        <w:rPr>
          <w:rFonts w:ascii="Times New Roman" w:hAnsi="Times New Roman"/>
          <w:sz w:val="24"/>
          <w:szCs w:val="20"/>
        </w:rPr>
      </w:pPr>
    </w:p>
    <w:p w:rsidRPr="00492566"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2566">
        <w:rPr>
          <w:rFonts w:ascii="Times New Roman" w:hAnsi="Times New Roman"/>
          <w:sz w:val="24"/>
          <w:szCs w:val="20"/>
        </w:rPr>
        <w:t xml:space="preserve">1. Het voordeel uit sparen en beleggen, bedoeld in artikel 5.2 van de Wet inkomstenbelasting 2001, wordt vastgesteld op het bedrag dat volgt uit de berekening, opgenomen in artikel 3. </w:t>
      </w:r>
    </w:p>
    <w:p w:rsidRPr="00492566"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2566">
        <w:rPr>
          <w:rFonts w:ascii="Times New Roman" w:hAnsi="Times New Roman"/>
          <w:sz w:val="24"/>
          <w:szCs w:val="20"/>
        </w:rPr>
        <w:t>2. Het voordeel uit sparen en beleggen wordt gesteld op ten minste nihil.</w:t>
      </w:r>
    </w:p>
    <w:p w:rsidR="00492566" w:rsidP="00492566" w:rsidRDefault="00492566">
      <w:pPr>
        <w:tabs>
          <w:tab w:val="left" w:pos="284"/>
          <w:tab w:val="left" w:pos="567"/>
          <w:tab w:val="left" w:pos="851"/>
        </w:tabs>
        <w:ind w:right="-2"/>
        <w:rPr>
          <w:rFonts w:ascii="Times New Roman" w:hAnsi="Times New Roman"/>
          <w:sz w:val="24"/>
          <w:szCs w:val="20"/>
        </w:rPr>
      </w:pPr>
    </w:p>
    <w:p w:rsidRPr="00492566" w:rsidR="00492566" w:rsidP="00492566" w:rsidRDefault="00492566">
      <w:pPr>
        <w:tabs>
          <w:tab w:val="left" w:pos="284"/>
          <w:tab w:val="left" w:pos="567"/>
          <w:tab w:val="left" w:pos="851"/>
        </w:tabs>
        <w:ind w:right="-2"/>
        <w:rPr>
          <w:rFonts w:ascii="Times New Roman" w:hAnsi="Times New Roman"/>
          <w:sz w:val="24"/>
          <w:szCs w:val="20"/>
        </w:rPr>
      </w:pPr>
    </w:p>
    <w:p w:rsidRPr="00492566" w:rsidR="00492566" w:rsidP="00492566" w:rsidRDefault="00492566">
      <w:pPr>
        <w:tabs>
          <w:tab w:val="left" w:pos="284"/>
          <w:tab w:val="left" w:pos="567"/>
          <w:tab w:val="left" w:pos="851"/>
        </w:tabs>
        <w:ind w:right="-2"/>
        <w:rPr>
          <w:rFonts w:ascii="Times New Roman" w:hAnsi="Times New Roman"/>
          <w:b/>
          <w:sz w:val="24"/>
          <w:szCs w:val="20"/>
        </w:rPr>
      </w:pPr>
      <w:r w:rsidRPr="00492566">
        <w:rPr>
          <w:rFonts w:ascii="Times New Roman" w:hAnsi="Times New Roman"/>
          <w:b/>
          <w:sz w:val="24"/>
          <w:szCs w:val="20"/>
        </w:rPr>
        <w:t>Artikel 3. Berekening voordeel uit sparen en beleggen</w:t>
      </w:r>
    </w:p>
    <w:p w:rsidRPr="00492566" w:rsidR="00492566" w:rsidP="00492566" w:rsidRDefault="00492566">
      <w:pPr>
        <w:tabs>
          <w:tab w:val="left" w:pos="284"/>
          <w:tab w:val="left" w:pos="567"/>
          <w:tab w:val="left" w:pos="851"/>
        </w:tabs>
        <w:ind w:right="-2"/>
        <w:rPr>
          <w:rFonts w:ascii="Times New Roman" w:hAnsi="Times New Roman"/>
          <w:sz w:val="24"/>
          <w:szCs w:val="20"/>
        </w:rPr>
      </w:pPr>
    </w:p>
    <w:p w:rsidRPr="00492566"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2566">
        <w:rPr>
          <w:rFonts w:ascii="Times New Roman" w:hAnsi="Times New Roman"/>
          <w:sz w:val="24"/>
          <w:szCs w:val="20"/>
        </w:rPr>
        <w:t xml:space="preserve">1. Het voordeel uit sparen en beleggen wordt berekend door de vermenigvuldiging van het effectieve rendementspercentage, bedoeld in het tweede lid, met de grondslag sparen en beleggen, bedoeld in artikel 5.2 van de Wet inkomstenbelasting 2001. </w:t>
      </w:r>
    </w:p>
    <w:p w:rsidRPr="00492566"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2566">
        <w:rPr>
          <w:rFonts w:ascii="Times New Roman" w:hAnsi="Times New Roman"/>
          <w:sz w:val="24"/>
          <w:szCs w:val="20"/>
        </w:rPr>
        <w:t xml:space="preserve">2. Het effectieve rendementspercentage wordt gesteld op het rendement, bedoeld in het derde lid, gedeeld door de rendementsgrondslag, bedoeld in artikel 5.3 van de Wet inkomstenbelasting 2001. </w:t>
      </w:r>
    </w:p>
    <w:p w:rsidRPr="00492566"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2566">
        <w:rPr>
          <w:rFonts w:ascii="Times New Roman" w:hAnsi="Times New Roman"/>
          <w:sz w:val="24"/>
          <w:szCs w:val="20"/>
        </w:rPr>
        <w:t xml:space="preserve">3. Het rendement voor het betreffende kalenderjaar is het in kolom I vermelde percentage van de waarde van de banktegoeden aan het begin van het kalenderjaar (peildatum), vermeerderd met het in kolom II vermelde percentage van de waarde van de overige bezittingen op de peildatum, verminderd met het in kolom III vermelde percentage van de waarde van de schulden op de peildatum. </w:t>
      </w:r>
    </w:p>
    <w:p w:rsidRPr="00492566" w:rsidR="00492566" w:rsidP="00492566" w:rsidRDefault="00492566">
      <w:pPr>
        <w:tabs>
          <w:tab w:val="left" w:pos="284"/>
          <w:tab w:val="left" w:pos="567"/>
          <w:tab w:val="left" w:pos="851"/>
        </w:tabs>
        <w:ind w:right="-2"/>
        <w:rPr>
          <w:rFonts w:ascii="Times New Roman" w:hAnsi="Times New Roman"/>
          <w:sz w:val="24"/>
          <w:szCs w:val="20"/>
        </w:rPr>
      </w:pPr>
      <w:r w:rsidRPr="00492566">
        <w:rPr>
          <w:rFonts w:ascii="Times New Roman" w:hAnsi="Times New Roman"/>
          <w:sz w:val="24"/>
          <w:szCs w:val="20"/>
        </w:rPr>
        <w:tab/>
      </w:r>
    </w:p>
    <w:tbl>
      <w:tblPr>
        <w:tblStyle w:val="Tabelraster"/>
        <w:tblW w:w="5000" w:type="pct"/>
        <w:tblLook w:val="04A0" w:firstRow="1" w:lastRow="0" w:firstColumn="1" w:lastColumn="0" w:noHBand="0" w:noVBand="1"/>
      </w:tblPr>
      <w:tblGrid>
        <w:gridCol w:w="1967"/>
        <w:gridCol w:w="2365"/>
        <w:gridCol w:w="2365"/>
        <w:gridCol w:w="2363"/>
      </w:tblGrid>
      <w:tr w:rsidRPr="00492566" w:rsidR="00492566" w:rsidTr="00492566">
        <w:tc>
          <w:tcPr>
            <w:tcW w:w="1086" w:type="pct"/>
          </w:tcPr>
          <w:p w:rsidRPr="00492566" w:rsidR="00492566" w:rsidP="00492566" w:rsidRDefault="00492566">
            <w:pPr>
              <w:tabs>
                <w:tab w:val="left" w:pos="284"/>
                <w:tab w:val="left" w:pos="567"/>
                <w:tab w:val="left" w:pos="851"/>
              </w:tabs>
              <w:ind w:right="-2"/>
              <w:rPr>
                <w:rFonts w:ascii="Times New Roman" w:hAnsi="Times New Roman"/>
                <w:sz w:val="24"/>
                <w:szCs w:val="20"/>
              </w:rPr>
            </w:pPr>
          </w:p>
        </w:tc>
        <w:tc>
          <w:tcPr>
            <w:tcW w:w="1305" w:type="pct"/>
          </w:tcPr>
          <w:p w:rsidRPr="00492566" w:rsidR="00492566" w:rsidP="00492566" w:rsidRDefault="00492566">
            <w:pPr>
              <w:tabs>
                <w:tab w:val="left" w:pos="284"/>
                <w:tab w:val="left" w:pos="567"/>
                <w:tab w:val="left" w:pos="851"/>
              </w:tabs>
              <w:ind w:right="-2"/>
              <w:rPr>
                <w:rFonts w:ascii="Times New Roman" w:hAnsi="Times New Roman"/>
                <w:sz w:val="24"/>
                <w:szCs w:val="20"/>
              </w:rPr>
            </w:pPr>
            <w:r w:rsidRPr="00492566">
              <w:rPr>
                <w:rFonts w:ascii="Times New Roman" w:hAnsi="Times New Roman"/>
                <w:sz w:val="24"/>
                <w:szCs w:val="20"/>
              </w:rPr>
              <w:t>I</w:t>
            </w:r>
          </w:p>
        </w:tc>
        <w:tc>
          <w:tcPr>
            <w:tcW w:w="1305" w:type="pct"/>
          </w:tcPr>
          <w:p w:rsidRPr="00492566" w:rsidR="00492566" w:rsidP="00492566" w:rsidRDefault="00492566">
            <w:pPr>
              <w:tabs>
                <w:tab w:val="left" w:pos="284"/>
                <w:tab w:val="left" w:pos="567"/>
                <w:tab w:val="left" w:pos="851"/>
              </w:tabs>
              <w:ind w:right="-2"/>
              <w:rPr>
                <w:rFonts w:ascii="Times New Roman" w:hAnsi="Times New Roman"/>
                <w:sz w:val="24"/>
                <w:szCs w:val="20"/>
              </w:rPr>
            </w:pPr>
            <w:r w:rsidRPr="00492566">
              <w:rPr>
                <w:rFonts w:ascii="Times New Roman" w:hAnsi="Times New Roman"/>
                <w:sz w:val="24"/>
                <w:szCs w:val="20"/>
              </w:rPr>
              <w:t>II</w:t>
            </w:r>
          </w:p>
        </w:tc>
        <w:tc>
          <w:tcPr>
            <w:tcW w:w="1305" w:type="pct"/>
          </w:tcPr>
          <w:p w:rsidRPr="00492566" w:rsidR="00492566" w:rsidP="00492566" w:rsidRDefault="00492566">
            <w:pPr>
              <w:tabs>
                <w:tab w:val="left" w:pos="284"/>
                <w:tab w:val="left" w:pos="567"/>
                <w:tab w:val="left" w:pos="851"/>
              </w:tabs>
              <w:ind w:right="-2"/>
              <w:rPr>
                <w:rFonts w:ascii="Times New Roman" w:hAnsi="Times New Roman"/>
                <w:sz w:val="24"/>
                <w:szCs w:val="20"/>
              </w:rPr>
            </w:pPr>
            <w:r w:rsidRPr="00492566">
              <w:rPr>
                <w:rFonts w:ascii="Times New Roman" w:hAnsi="Times New Roman"/>
                <w:sz w:val="24"/>
                <w:szCs w:val="20"/>
              </w:rPr>
              <w:t>III</w:t>
            </w:r>
          </w:p>
        </w:tc>
      </w:tr>
      <w:tr w:rsidRPr="00492566" w:rsidR="00492566" w:rsidTr="00492566">
        <w:tc>
          <w:tcPr>
            <w:tcW w:w="1086" w:type="pct"/>
          </w:tcPr>
          <w:p w:rsidRPr="00492566" w:rsidR="00492566" w:rsidP="00492566" w:rsidRDefault="00492566">
            <w:pPr>
              <w:tabs>
                <w:tab w:val="left" w:pos="284"/>
                <w:tab w:val="left" w:pos="567"/>
                <w:tab w:val="left" w:pos="851"/>
              </w:tabs>
              <w:ind w:right="-2"/>
              <w:rPr>
                <w:rFonts w:ascii="Times New Roman" w:hAnsi="Times New Roman"/>
                <w:sz w:val="24"/>
                <w:szCs w:val="20"/>
              </w:rPr>
            </w:pPr>
            <w:r w:rsidRPr="00492566">
              <w:rPr>
                <w:rFonts w:ascii="Times New Roman" w:hAnsi="Times New Roman"/>
                <w:sz w:val="24"/>
                <w:szCs w:val="20"/>
              </w:rPr>
              <w:t>2017</w:t>
            </w:r>
          </w:p>
        </w:tc>
        <w:tc>
          <w:tcPr>
            <w:tcW w:w="1305" w:type="pct"/>
          </w:tcPr>
          <w:p w:rsidRPr="00492566" w:rsidR="00492566" w:rsidP="00492566" w:rsidRDefault="00492566">
            <w:pPr>
              <w:tabs>
                <w:tab w:val="left" w:pos="284"/>
                <w:tab w:val="left" w:pos="567"/>
                <w:tab w:val="left" w:pos="851"/>
              </w:tabs>
              <w:ind w:right="-2"/>
              <w:rPr>
                <w:rFonts w:ascii="Times New Roman" w:hAnsi="Times New Roman"/>
                <w:sz w:val="24"/>
                <w:szCs w:val="20"/>
              </w:rPr>
            </w:pPr>
            <w:r w:rsidRPr="00492566">
              <w:rPr>
                <w:rFonts w:ascii="Times New Roman" w:hAnsi="Times New Roman"/>
                <w:sz w:val="24"/>
                <w:szCs w:val="20"/>
              </w:rPr>
              <w:t>0,25%</w:t>
            </w:r>
          </w:p>
        </w:tc>
        <w:tc>
          <w:tcPr>
            <w:tcW w:w="1305" w:type="pct"/>
            <w:shd w:val="clear" w:color="auto" w:fill="auto"/>
          </w:tcPr>
          <w:p w:rsidRPr="00492566" w:rsidR="00492566" w:rsidP="00492566" w:rsidRDefault="00492566">
            <w:pPr>
              <w:tabs>
                <w:tab w:val="left" w:pos="284"/>
                <w:tab w:val="left" w:pos="567"/>
                <w:tab w:val="left" w:pos="851"/>
              </w:tabs>
              <w:ind w:right="-2"/>
              <w:rPr>
                <w:rFonts w:ascii="Times New Roman" w:hAnsi="Times New Roman"/>
                <w:sz w:val="24"/>
                <w:szCs w:val="20"/>
              </w:rPr>
            </w:pPr>
            <w:r w:rsidRPr="00492566">
              <w:rPr>
                <w:rFonts w:ascii="Times New Roman" w:hAnsi="Times New Roman"/>
                <w:sz w:val="24"/>
                <w:szCs w:val="20"/>
              </w:rPr>
              <w:t>5,39%</w:t>
            </w:r>
          </w:p>
        </w:tc>
        <w:tc>
          <w:tcPr>
            <w:tcW w:w="1305" w:type="pct"/>
            <w:shd w:val="clear" w:color="auto" w:fill="auto"/>
          </w:tcPr>
          <w:p w:rsidRPr="00492566" w:rsidR="00492566" w:rsidP="00492566" w:rsidRDefault="00492566">
            <w:pPr>
              <w:tabs>
                <w:tab w:val="left" w:pos="284"/>
                <w:tab w:val="left" w:pos="567"/>
                <w:tab w:val="left" w:pos="851"/>
              </w:tabs>
              <w:ind w:right="-2"/>
              <w:rPr>
                <w:rFonts w:ascii="Times New Roman" w:hAnsi="Times New Roman"/>
                <w:sz w:val="24"/>
                <w:szCs w:val="20"/>
              </w:rPr>
            </w:pPr>
            <w:r w:rsidRPr="00492566">
              <w:rPr>
                <w:rFonts w:ascii="Times New Roman" w:hAnsi="Times New Roman"/>
                <w:sz w:val="24"/>
                <w:szCs w:val="20"/>
              </w:rPr>
              <w:t>3,43%</w:t>
            </w:r>
          </w:p>
        </w:tc>
      </w:tr>
      <w:tr w:rsidRPr="00492566" w:rsidR="00492566" w:rsidTr="00492566">
        <w:tc>
          <w:tcPr>
            <w:tcW w:w="1086" w:type="pct"/>
          </w:tcPr>
          <w:p w:rsidRPr="00492566" w:rsidR="00492566" w:rsidP="00492566" w:rsidRDefault="00492566">
            <w:pPr>
              <w:tabs>
                <w:tab w:val="left" w:pos="284"/>
                <w:tab w:val="left" w:pos="567"/>
                <w:tab w:val="left" w:pos="851"/>
              </w:tabs>
              <w:ind w:right="-2"/>
              <w:rPr>
                <w:rFonts w:ascii="Times New Roman" w:hAnsi="Times New Roman"/>
                <w:sz w:val="24"/>
                <w:szCs w:val="20"/>
              </w:rPr>
            </w:pPr>
            <w:r w:rsidRPr="00492566">
              <w:rPr>
                <w:rFonts w:ascii="Times New Roman" w:hAnsi="Times New Roman"/>
                <w:sz w:val="24"/>
                <w:szCs w:val="20"/>
              </w:rPr>
              <w:t>2018</w:t>
            </w:r>
          </w:p>
        </w:tc>
        <w:tc>
          <w:tcPr>
            <w:tcW w:w="1305" w:type="pct"/>
          </w:tcPr>
          <w:p w:rsidRPr="00492566" w:rsidR="00492566" w:rsidP="00492566" w:rsidRDefault="00492566">
            <w:pPr>
              <w:tabs>
                <w:tab w:val="left" w:pos="284"/>
                <w:tab w:val="left" w:pos="567"/>
                <w:tab w:val="left" w:pos="851"/>
              </w:tabs>
              <w:ind w:right="-2"/>
              <w:rPr>
                <w:rFonts w:ascii="Times New Roman" w:hAnsi="Times New Roman"/>
                <w:sz w:val="24"/>
                <w:szCs w:val="20"/>
              </w:rPr>
            </w:pPr>
            <w:r w:rsidRPr="00492566">
              <w:rPr>
                <w:rFonts w:ascii="Times New Roman" w:hAnsi="Times New Roman"/>
                <w:sz w:val="24"/>
                <w:szCs w:val="20"/>
              </w:rPr>
              <w:t>0,12%</w:t>
            </w:r>
          </w:p>
        </w:tc>
        <w:tc>
          <w:tcPr>
            <w:tcW w:w="1305" w:type="pct"/>
            <w:shd w:val="clear" w:color="auto" w:fill="auto"/>
          </w:tcPr>
          <w:p w:rsidRPr="00492566" w:rsidR="00492566" w:rsidP="00492566" w:rsidRDefault="00492566">
            <w:pPr>
              <w:tabs>
                <w:tab w:val="left" w:pos="284"/>
                <w:tab w:val="left" w:pos="567"/>
                <w:tab w:val="left" w:pos="851"/>
              </w:tabs>
              <w:ind w:right="-2"/>
              <w:rPr>
                <w:rFonts w:ascii="Times New Roman" w:hAnsi="Times New Roman"/>
                <w:sz w:val="24"/>
                <w:szCs w:val="20"/>
              </w:rPr>
            </w:pPr>
            <w:r w:rsidRPr="00492566">
              <w:rPr>
                <w:rFonts w:ascii="Times New Roman" w:hAnsi="Times New Roman"/>
                <w:sz w:val="24"/>
                <w:szCs w:val="20"/>
              </w:rPr>
              <w:t>5,38%</w:t>
            </w:r>
          </w:p>
        </w:tc>
        <w:tc>
          <w:tcPr>
            <w:tcW w:w="1305" w:type="pct"/>
            <w:shd w:val="clear" w:color="auto" w:fill="auto"/>
          </w:tcPr>
          <w:p w:rsidRPr="00492566" w:rsidR="00492566" w:rsidP="00492566" w:rsidRDefault="00492566">
            <w:pPr>
              <w:tabs>
                <w:tab w:val="left" w:pos="284"/>
                <w:tab w:val="left" w:pos="567"/>
                <w:tab w:val="left" w:pos="851"/>
              </w:tabs>
              <w:ind w:right="-2"/>
              <w:rPr>
                <w:rFonts w:ascii="Times New Roman" w:hAnsi="Times New Roman"/>
                <w:sz w:val="24"/>
                <w:szCs w:val="20"/>
              </w:rPr>
            </w:pPr>
            <w:r w:rsidRPr="00492566">
              <w:rPr>
                <w:rFonts w:ascii="Times New Roman" w:hAnsi="Times New Roman"/>
                <w:sz w:val="24"/>
                <w:szCs w:val="20"/>
              </w:rPr>
              <w:t>3,20%</w:t>
            </w:r>
          </w:p>
        </w:tc>
      </w:tr>
      <w:tr w:rsidRPr="00492566" w:rsidR="00492566" w:rsidTr="00492566">
        <w:tc>
          <w:tcPr>
            <w:tcW w:w="1086" w:type="pct"/>
          </w:tcPr>
          <w:p w:rsidRPr="00492566" w:rsidR="00492566" w:rsidP="00492566" w:rsidRDefault="00492566">
            <w:pPr>
              <w:tabs>
                <w:tab w:val="left" w:pos="284"/>
                <w:tab w:val="left" w:pos="567"/>
                <w:tab w:val="left" w:pos="851"/>
              </w:tabs>
              <w:ind w:right="-2"/>
              <w:rPr>
                <w:rFonts w:ascii="Times New Roman" w:hAnsi="Times New Roman"/>
                <w:sz w:val="24"/>
                <w:szCs w:val="20"/>
              </w:rPr>
            </w:pPr>
            <w:r w:rsidRPr="00492566">
              <w:rPr>
                <w:rFonts w:ascii="Times New Roman" w:hAnsi="Times New Roman"/>
                <w:sz w:val="24"/>
                <w:szCs w:val="20"/>
              </w:rPr>
              <w:t>2019</w:t>
            </w:r>
          </w:p>
        </w:tc>
        <w:tc>
          <w:tcPr>
            <w:tcW w:w="1305" w:type="pct"/>
          </w:tcPr>
          <w:p w:rsidRPr="00492566" w:rsidR="00492566" w:rsidP="00492566" w:rsidRDefault="00492566">
            <w:pPr>
              <w:tabs>
                <w:tab w:val="left" w:pos="284"/>
                <w:tab w:val="left" w:pos="567"/>
                <w:tab w:val="left" w:pos="851"/>
              </w:tabs>
              <w:ind w:right="-2"/>
              <w:rPr>
                <w:rFonts w:ascii="Times New Roman" w:hAnsi="Times New Roman"/>
                <w:sz w:val="24"/>
                <w:szCs w:val="20"/>
              </w:rPr>
            </w:pPr>
            <w:r w:rsidRPr="00492566">
              <w:rPr>
                <w:rFonts w:ascii="Times New Roman" w:hAnsi="Times New Roman"/>
                <w:sz w:val="24"/>
                <w:szCs w:val="20"/>
              </w:rPr>
              <w:t>0,08%</w:t>
            </w:r>
          </w:p>
        </w:tc>
        <w:tc>
          <w:tcPr>
            <w:tcW w:w="1305" w:type="pct"/>
            <w:shd w:val="clear" w:color="auto" w:fill="auto"/>
          </w:tcPr>
          <w:p w:rsidRPr="00492566" w:rsidR="00492566" w:rsidP="00492566" w:rsidRDefault="00492566">
            <w:pPr>
              <w:tabs>
                <w:tab w:val="left" w:pos="284"/>
                <w:tab w:val="left" w:pos="567"/>
                <w:tab w:val="left" w:pos="851"/>
              </w:tabs>
              <w:ind w:right="-2"/>
              <w:rPr>
                <w:rFonts w:ascii="Times New Roman" w:hAnsi="Times New Roman"/>
                <w:sz w:val="24"/>
                <w:szCs w:val="20"/>
              </w:rPr>
            </w:pPr>
            <w:r w:rsidRPr="00492566">
              <w:rPr>
                <w:rFonts w:ascii="Times New Roman" w:hAnsi="Times New Roman"/>
                <w:sz w:val="24"/>
                <w:szCs w:val="20"/>
              </w:rPr>
              <w:t>5,59%</w:t>
            </w:r>
          </w:p>
        </w:tc>
        <w:tc>
          <w:tcPr>
            <w:tcW w:w="1305" w:type="pct"/>
            <w:shd w:val="clear" w:color="auto" w:fill="auto"/>
          </w:tcPr>
          <w:p w:rsidRPr="00492566" w:rsidR="00492566" w:rsidP="00492566" w:rsidRDefault="00492566">
            <w:pPr>
              <w:tabs>
                <w:tab w:val="left" w:pos="284"/>
                <w:tab w:val="left" w:pos="567"/>
                <w:tab w:val="left" w:pos="851"/>
              </w:tabs>
              <w:ind w:right="-2"/>
              <w:rPr>
                <w:rFonts w:ascii="Times New Roman" w:hAnsi="Times New Roman"/>
                <w:sz w:val="24"/>
                <w:szCs w:val="20"/>
              </w:rPr>
            </w:pPr>
            <w:r w:rsidRPr="00492566">
              <w:rPr>
                <w:rFonts w:ascii="Times New Roman" w:hAnsi="Times New Roman"/>
                <w:sz w:val="24"/>
                <w:szCs w:val="20"/>
              </w:rPr>
              <w:t>3,00%</w:t>
            </w:r>
          </w:p>
        </w:tc>
      </w:tr>
      <w:tr w:rsidRPr="00492566" w:rsidR="00492566" w:rsidTr="00492566">
        <w:tc>
          <w:tcPr>
            <w:tcW w:w="1086" w:type="pct"/>
          </w:tcPr>
          <w:p w:rsidRPr="00492566" w:rsidR="00492566" w:rsidP="00492566" w:rsidRDefault="00492566">
            <w:pPr>
              <w:tabs>
                <w:tab w:val="left" w:pos="284"/>
                <w:tab w:val="left" w:pos="567"/>
                <w:tab w:val="left" w:pos="851"/>
              </w:tabs>
              <w:ind w:right="-2"/>
              <w:rPr>
                <w:rFonts w:ascii="Times New Roman" w:hAnsi="Times New Roman"/>
                <w:sz w:val="24"/>
                <w:szCs w:val="20"/>
              </w:rPr>
            </w:pPr>
            <w:r w:rsidRPr="00492566">
              <w:rPr>
                <w:rFonts w:ascii="Times New Roman" w:hAnsi="Times New Roman"/>
                <w:sz w:val="24"/>
                <w:szCs w:val="20"/>
              </w:rPr>
              <w:t>2020</w:t>
            </w:r>
          </w:p>
        </w:tc>
        <w:tc>
          <w:tcPr>
            <w:tcW w:w="1305" w:type="pct"/>
          </w:tcPr>
          <w:p w:rsidRPr="00492566" w:rsidR="00492566" w:rsidP="00492566" w:rsidRDefault="00492566">
            <w:pPr>
              <w:tabs>
                <w:tab w:val="left" w:pos="284"/>
                <w:tab w:val="left" w:pos="567"/>
                <w:tab w:val="left" w:pos="851"/>
              </w:tabs>
              <w:ind w:right="-2"/>
              <w:rPr>
                <w:rFonts w:ascii="Times New Roman" w:hAnsi="Times New Roman"/>
                <w:sz w:val="24"/>
                <w:szCs w:val="20"/>
              </w:rPr>
            </w:pPr>
            <w:r w:rsidRPr="00492566">
              <w:rPr>
                <w:rFonts w:ascii="Times New Roman" w:hAnsi="Times New Roman"/>
                <w:sz w:val="24"/>
                <w:szCs w:val="20"/>
              </w:rPr>
              <w:t>0,04%</w:t>
            </w:r>
          </w:p>
        </w:tc>
        <w:tc>
          <w:tcPr>
            <w:tcW w:w="1305" w:type="pct"/>
            <w:shd w:val="clear" w:color="auto" w:fill="auto"/>
          </w:tcPr>
          <w:p w:rsidRPr="00492566" w:rsidR="00492566" w:rsidP="00492566" w:rsidRDefault="00492566">
            <w:pPr>
              <w:tabs>
                <w:tab w:val="left" w:pos="284"/>
                <w:tab w:val="left" w:pos="567"/>
                <w:tab w:val="left" w:pos="851"/>
              </w:tabs>
              <w:ind w:right="-2"/>
              <w:rPr>
                <w:rFonts w:ascii="Times New Roman" w:hAnsi="Times New Roman"/>
                <w:sz w:val="24"/>
                <w:szCs w:val="20"/>
              </w:rPr>
            </w:pPr>
            <w:r w:rsidRPr="00492566">
              <w:rPr>
                <w:rFonts w:ascii="Times New Roman" w:hAnsi="Times New Roman"/>
                <w:sz w:val="24"/>
                <w:szCs w:val="20"/>
              </w:rPr>
              <w:t>5,28%</w:t>
            </w:r>
          </w:p>
        </w:tc>
        <w:tc>
          <w:tcPr>
            <w:tcW w:w="1305" w:type="pct"/>
            <w:shd w:val="clear" w:color="auto" w:fill="auto"/>
          </w:tcPr>
          <w:p w:rsidRPr="00492566" w:rsidR="00492566" w:rsidP="00492566" w:rsidRDefault="00492566">
            <w:pPr>
              <w:tabs>
                <w:tab w:val="left" w:pos="284"/>
                <w:tab w:val="left" w:pos="567"/>
                <w:tab w:val="left" w:pos="851"/>
              </w:tabs>
              <w:ind w:right="-2"/>
              <w:rPr>
                <w:rFonts w:ascii="Times New Roman" w:hAnsi="Times New Roman"/>
                <w:sz w:val="24"/>
                <w:szCs w:val="20"/>
              </w:rPr>
            </w:pPr>
            <w:r w:rsidRPr="00492566">
              <w:rPr>
                <w:rFonts w:ascii="Times New Roman" w:hAnsi="Times New Roman"/>
                <w:sz w:val="24"/>
                <w:szCs w:val="20"/>
              </w:rPr>
              <w:t>2,74%</w:t>
            </w:r>
          </w:p>
        </w:tc>
      </w:tr>
      <w:tr w:rsidRPr="00492566" w:rsidR="00492566" w:rsidTr="00492566">
        <w:tc>
          <w:tcPr>
            <w:tcW w:w="1086" w:type="pct"/>
          </w:tcPr>
          <w:p w:rsidRPr="00492566" w:rsidR="00492566" w:rsidP="00492566" w:rsidRDefault="00492566">
            <w:pPr>
              <w:tabs>
                <w:tab w:val="left" w:pos="284"/>
                <w:tab w:val="left" w:pos="567"/>
                <w:tab w:val="left" w:pos="851"/>
              </w:tabs>
              <w:ind w:right="-2"/>
              <w:rPr>
                <w:rFonts w:ascii="Times New Roman" w:hAnsi="Times New Roman"/>
                <w:sz w:val="24"/>
                <w:szCs w:val="20"/>
              </w:rPr>
            </w:pPr>
            <w:r w:rsidRPr="00492566">
              <w:rPr>
                <w:rFonts w:ascii="Times New Roman" w:hAnsi="Times New Roman"/>
                <w:sz w:val="24"/>
                <w:szCs w:val="20"/>
              </w:rPr>
              <w:t>2021</w:t>
            </w:r>
          </w:p>
        </w:tc>
        <w:tc>
          <w:tcPr>
            <w:tcW w:w="1305" w:type="pct"/>
          </w:tcPr>
          <w:p w:rsidRPr="00492566" w:rsidR="00492566" w:rsidP="00492566" w:rsidRDefault="00492566">
            <w:pPr>
              <w:tabs>
                <w:tab w:val="left" w:pos="284"/>
                <w:tab w:val="left" w:pos="567"/>
                <w:tab w:val="left" w:pos="851"/>
              </w:tabs>
              <w:ind w:right="-2"/>
              <w:rPr>
                <w:rFonts w:ascii="Times New Roman" w:hAnsi="Times New Roman"/>
                <w:sz w:val="24"/>
                <w:szCs w:val="20"/>
              </w:rPr>
            </w:pPr>
            <w:r w:rsidRPr="00492566">
              <w:rPr>
                <w:rFonts w:ascii="Times New Roman" w:hAnsi="Times New Roman"/>
                <w:sz w:val="24"/>
                <w:szCs w:val="20"/>
              </w:rPr>
              <w:t>0,01%</w:t>
            </w:r>
          </w:p>
        </w:tc>
        <w:tc>
          <w:tcPr>
            <w:tcW w:w="1305" w:type="pct"/>
            <w:shd w:val="clear" w:color="auto" w:fill="auto"/>
          </w:tcPr>
          <w:p w:rsidRPr="00492566" w:rsidR="00492566" w:rsidP="00492566" w:rsidRDefault="00492566">
            <w:pPr>
              <w:tabs>
                <w:tab w:val="left" w:pos="284"/>
                <w:tab w:val="left" w:pos="567"/>
                <w:tab w:val="left" w:pos="851"/>
              </w:tabs>
              <w:ind w:right="-2"/>
              <w:rPr>
                <w:rFonts w:ascii="Times New Roman" w:hAnsi="Times New Roman"/>
                <w:sz w:val="24"/>
                <w:szCs w:val="20"/>
              </w:rPr>
            </w:pPr>
            <w:r w:rsidRPr="00492566">
              <w:rPr>
                <w:rFonts w:ascii="Times New Roman" w:hAnsi="Times New Roman"/>
                <w:sz w:val="24"/>
                <w:szCs w:val="20"/>
              </w:rPr>
              <w:t>5,69%</w:t>
            </w:r>
          </w:p>
        </w:tc>
        <w:tc>
          <w:tcPr>
            <w:tcW w:w="1305" w:type="pct"/>
            <w:shd w:val="clear" w:color="auto" w:fill="auto"/>
          </w:tcPr>
          <w:p w:rsidRPr="00492566" w:rsidR="00492566" w:rsidP="00492566" w:rsidRDefault="00492566">
            <w:pPr>
              <w:tabs>
                <w:tab w:val="left" w:pos="284"/>
                <w:tab w:val="left" w:pos="567"/>
                <w:tab w:val="left" w:pos="851"/>
              </w:tabs>
              <w:ind w:right="-2"/>
              <w:rPr>
                <w:rFonts w:ascii="Times New Roman" w:hAnsi="Times New Roman"/>
                <w:sz w:val="24"/>
                <w:szCs w:val="20"/>
              </w:rPr>
            </w:pPr>
            <w:r w:rsidRPr="00492566">
              <w:rPr>
                <w:rFonts w:ascii="Times New Roman" w:hAnsi="Times New Roman"/>
                <w:sz w:val="24"/>
                <w:szCs w:val="20"/>
              </w:rPr>
              <w:t>2,46%</w:t>
            </w:r>
          </w:p>
        </w:tc>
      </w:tr>
      <w:tr w:rsidRPr="00492566" w:rsidR="00492566" w:rsidTr="00492566">
        <w:tc>
          <w:tcPr>
            <w:tcW w:w="1086" w:type="pct"/>
          </w:tcPr>
          <w:p w:rsidRPr="00492566" w:rsidR="00492566" w:rsidP="00492566" w:rsidRDefault="00492566">
            <w:pPr>
              <w:tabs>
                <w:tab w:val="left" w:pos="284"/>
                <w:tab w:val="left" w:pos="567"/>
                <w:tab w:val="left" w:pos="851"/>
              </w:tabs>
              <w:ind w:right="-2"/>
              <w:rPr>
                <w:rFonts w:ascii="Times New Roman" w:hAnsi="Times New Roman"/>
                <w:sz w:val="24"/>
                <w:szCs w:val="20"/>
              </w:rPr>
            </w:pPr>
            <w:r w:rsidRPr="00492566">
              <w:rPr>
                <w:rFonts w:ascii="Times New Roman" w:hAnsi="Times New Roman"/>
                <w:sz w:val="24"/>
                <w:szCs w:val="20"/>
              </w:rPr>
              <w:t>2022</w:t>
            </w:r>
          </w:p>
        </w:tc>
        <w:tc>
          <w:tcPr>
            <w:tcW w:w="1305" w:type="pct"/>
          </w:tcPr>
          <w:p w:rsidRPr="00492566" w:rsidR="00492566" w:rsidP="00492566" w:rsidRDefault="00492566">
            <w:pPr>
              <w:tabs>
                <w:tab w:val="left" w:pos="284"/>
                <w:tab w:val="left" w:pos="567"/>
                <w:tab w:val="left" w:pos="851"/>
              </w:tabs>
              <w:ind w:right="-2"/>
              <w:rPr>
                <w:rFonts w:ascii="Times New Roman" w:hAnsi="Times New Roman"/>
                <w:sz w:val="24"/>
                <w:szCs w:val="20"/>
              </w:rPr>
            </w:pPr>
            <w:r w:rsidRPr="00492566">
              <w:rPr>
                <w:rFonts w:ascii="Times New Roman" w:hAnsi="Times New Roman"/>
                <w:sz w:val="24"/>
                <w:szCs w:val="20"/>
              </w:rPr>
              <w:t>0,01%</w:t>
            </w:r>
          </w:p>
        </w:tc>
        <w:tc>
          <w:tcPr>
            <w:tcW w:w="1305" w:type="pct"/>
            <w:shd w:val="clear" w:color="auto" w:fill="auto"/>
          </w:tcPr>
          <w:p w:rsidRPr="00492566" w:rsidR="00492566" w:rsidP="00492566" w:rsidRDefault="00492566">
            <w:pPr>
              <w:tabs>
                <w:tab w:val="left" w:pos="284"/>
                <w:tab w:val="left" w:pos="567"/>
                <w:tab w:val="left" w:pos="851"/>
              </w:tabs>
              <w:ind w:right="-2"/>
              <w:rPr>
                <w:rFonts w:ascii="Times New Roman" w:hAnsi="Times New Roman"/>
                <w:sz w:val="24"/>
                <w:szCs w:val="20"/>
              </w:rPr>
            </w:pPr>
            <w:r w:rsidRPr="00492566">
              <w:rPr>
                <w:rFonts w:ascii="Times New Roman" w:hAnsi="Times New Roman"/>
                <w:sz w:val="24"/>
                <w:szCs w:val="20"/>
              </w:rPr>
              <w:t xml:space="preserve">5,53% </w:t>
            </w:r>
          </w:p>
        </w:tc>
        <w:tc>
          <w:tcPr>
            <w:tcW w:w="1305" w:type="pct"/>
            <w:shd w:val="clear" w:color="auto" w:fill="auto"/>
          </w:tcPr>
          <w:p w:rsidRPr="00492566" w:rsidR="00492566" w:rsidP="00492566" w:rsidRDefault="00492566">
            <w:pPr>
              <w:tabs>
                <w:tab w:val="left" w:pos="284"/>
                <w:tab w:val="left" w:pos="567"/>
                <w:tab w:val="left" w:pos="851"/>
              </w:tabs>
              <w:ind w:right="-2"/>
              <w:rPr>
                <w:rFonts w:ascii="Times New Roman" w:hAnsi="Times New Roman"/>
                <w:sz w:val="24"/>
                <w:szCs w:val="20"/>
              </w:rPr>
            </w:pPr>
            <w:r w:rsidRPr="00492566">
              <w:rPr>
                <w:rFonts w:ascii="Times New Roman" w:hAnsi="Times New Roman"/>
                <w:sz w:val="24"/>
                <w:szCs w:val="20"/>
              </w:rPr>
              <w:t>2,46%</w:t>
            </w:r>
          </w:p>
        </w:tc>
      </w:tr>
    </w:tbl>
    <w:p w:rsidRPr="00492566" w:rsidR="00492566" w:rsidP="00492566" w:rsidRDefault="00492566">
      <w:pPr>
        <w:tabs>
          <w:tab w:val="left" w:pos="284"/>
          <w:tab w:val="left" w:pos="567"/>
          <w:tab w:val="left" w:pos="851"/>
        </w:tabs>
        <w:ind w:right="-2"/>
        <w:rPr>
          <w:rFonts w:ascii="Times New Roman" w:hAnsi="Times New Roman"/>
          <w:sz w:val="24"/>
          <w:szCs w:val="20"/>
        </w:rPr>
      </w:pPr>
    </w:p>
    <w:p w:rsidRPr="00492566"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492566">
        <w:rPr>
          <w:rFonts w:ascii="Times New Roman" w:hAnsi="Times New Roman"/>
          <w:sz w:val="24"/>
          <w:szCs w:val="20"/>
        </w:rPr>
        <w:t>4. Indien de belastingplichtige het gehele kalenderjaar dezelfde partner heeft of voor de toepassing van artikel 2.17 van de Wet inkomstenbelasting 2001 geacht wordt te hebben gehad, wordt bij de toepassing van:</w:t>
      </w:r>
    </w:p>
    <w:p w:rsidRPr="00492566"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2566">
        <w:rPr>
          <w:rFonts w:ascii="Times New Roman" w:hAnsi="Times New Roman"/>
          <w:sz w:val="24"/>
          <w:szCs w:val="20"/>
        </w:rPr>
        <w:t>a. het eerste lid uitgegaan van het op grond van dat artikel aan hem toegerekende gedeelte van de gezamenlijke grondslag sparen en beleggen, bedoeld in artikel 5.2, tweede lid, van de Wet inkomstenbelasting 2001;</w:t>
      </w:r>
    </w:p>
    <w:p w:rsidRPr="00492566"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2566">
        <w:rPr>
          <w:rFonts w:ascii="Times New Roman" w:hAnsi="Times New Roman"/>
          <w:sz w:val="24"/>
          <w:szCs w:val="20"/>
        </w:rPr>
        <w:t xml:space="preserve">b. het tweede lid uitgegaan van de gezamenlijke rendementsgrondslag, bedoeld in artikel 5.2, tweede lid, van de Wet inkomstenbelasting 2001; </w:t>
      </w:r>
    </w:p>
    <w:p w:rsidRPr="00492566"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2566">
        <w:rPr>
          <w:rFonts w:ascii="Times New Roman" w:hAnsi="Times New Roman"/>
          <w:sz w:val="24"/>
          <w:szCs w:val="20"/>
        </w:rPr>
        <w:t>c. het derde lid uitgegaan van de waarde van de banktegoeden, de waarde van de overige bezittingen en de waarde van de schulden van de belastingplichtige en zijn partner tezamen.</w:t>
      </w:r>
    </w:p>
    <w:p w:rsidR="00492566" w:rsidP="00492566" w:rsidRDefault="00492566">
      <w:pPr>
        <w:tabs>
          <w:tab w:val="left" w:pos="284"/>
          <w:tab w:val="left" w:pos="567"/>
          <w:tab w:val="left" w:pos="851"/>
        </w:tabs>
        <w:ind w:right="-2"/>
        <w:rPr>
          <w:rFonts w:ascii="Times New Roman" w:hAnsi="Times New Roman"/>
          <w:sz w:val="24"/>
          <w:szCs w:val="20"/>
        </w:rPr>
      </w:pPr>
    </w:p>
    <w:p w:rsidRPr="00492566" w:rsidR="00492566" w:rsidP="00492566" w:rsidRDefault="00492566">
      <w:pPr>
        <w:tabs>
          <w:tab w:val="left" w:pos="284"/>
          <w:tab w:val="left" w:pos="567"/>
          <w:tab w:val="left" w:pos="851"/>
        </w:tabs>
        <w:ind w:right="-2"/>
        <w:rPr>
          <w:rFonts w:ascii="Times New Roman" w:hAnsi="Times New Roman"/>
          <w:sz w:val="24"/>
          <w:szCs w:val="20"/>
        </w:rPr>
      </w:pPr>
    </w:p>
    <w:p w:rsidRPr="00492566" w:rsidR="00492566" w:rsidP="00492566" w:rsidRDefault="00492566">
      <w:pPr>
        <w:tabs>
          <w:tab w:val="left" w:pos="284"/>
          <w:tab w:val="left" w:pos="567"/>
          <w:tab w:val="left" w:pos="851"/>
        </w:tabs>
        <w:ind w:right="-2"/>
        <w:rPr>
          <w:rFonts w:ascii="Times New Roman" w:hAnsi="Times New Roman"/>
          <w:b/>
          <w:sz w:val="24"/>
          <w:szCs w:val="20"/>
        </w:rPr>
      </w:pPr>
      <w:r w:rsidRPr="00492566">
        <w:rPr>
          <w:rFonts w:ascii="Times New Roman" w:hAnsi="Times New Roman"/>
          <w:b/>
          <w:sz w:val="24"/>
          <w:szCs w:val="20"/>
        </w:rPr>
        <w:t>Artikel 4. Forfaitaire percentages 2022</w:t>
      </w:r>
    </w:p>
    <w:p w:rsidRPr="00492566" w:rsidR="00492566" w:rsidP="00492566" w:rsidRDefault="00492566">
      <w:pPr>
        <w:tabs>
          <w:tab w:val="left" w:pos="284"/>
          <w:tab w:val="left" w:pos="567"/>
          <w:tab w:val="left" w:pos="851"/>
        </w:tabs>
        <w:ind w:right="-2"/>
        <w:rPr>
          <w:rFonts w:ascii="Times New Roman" w:hAnsi="Times New Roman"/>
          <w:sz w:val="24"/>
          <w:szCs w:val="20"/>
        </w:rPr>
      </w:pPr>
    </w:p>
    <w:p w:rsidRPr="00492566"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2566">
        <w:rPr>
          <w:rFonts w:ascii="Times New Roman" w:hAnsi="Times New Roman"/>
          <w:sz w:val="24"/>
          <w:szCs w:val="20"/>
        </w:rPr>
        <w:t xml:space="preserve">1. Na afloop van het kalenderjaar 2022 wordt binnen twee maanden het in artikel 3, derde lid, kolom I, laatste regel, vermelde percentage bij ministeriële regeling vervangen door een ander percentage. Dit percentage wordt gesteld op de door twaalf te delen som van de maandelijkse rentepercentages op deposito’s van huishoudens met een opzegtermijn van </w:t>
      </w:r>
      <w:r w:rsidRPr="003C57E6">
        <w:rPr>
          <w:rFonts w:ascii="Times New Roman" w:hAnsi="Times New Roman"/>
          <w:sz w:val="24"/>
        </w:rPr>
        <w:t>maximaal drie maanden, zoals gepubliceerd door De Nederlandsche B</w:t>
      </w:r>
      <w:r w:rsidRPr="003C57E6" w:rsidR="003C57E6">
        <w:rPr>
          <w:rFonts w:ascii="Times New Roman" w:hAnsi="Times New Roman"/>
          <w:sz w:val="24"/>
        </w:rPr>
        <w:t xml:space="preserve">ank, uit een periode van elf </w:t>
      </w:r>
      <w:r w:rsidRPr="003C57E6">
        <w:rPr>
          <w:rFonts w:ascii="Times New Roman" w:hAnsi="Times New Roman"/>
          <w:sz w:val="24"/>
        </w:rPr>
        <w:t>maanden, beginnend op 1 januari en eindigend op 30 november van het kalenderjaar 2022,</w:t>
      </w:r>
      <w:r w:rsidRPr="003C57E6" w:rsidR="003C57E6">
        <w:rPr>
          <w:rFonts w:ascii="Times New Roman" w:hAnsi="Times New Roman"/>
          <w:sz w:val="24"/>
        </w:rPr>
        <w:t xml:space="preserve"> onder dubbeltelling van het percentage over de maand november</w:t>
      </w:r>
      <w:r w:rsidRPr="003C57E6">
        <w:rPr>
          <w:rFonts w:ascii="Times New Roman" w:hAnsi="Times New Roman"/>
          <w:sz w:val="24"/>
        </w:rPr>
        <w:t>.</w:t>
      </w:r>
      <w:r w:rsidRPr="00492566">
        <w:rPr>
          <w:rFonts w:ascii="Times New Roman" w:hAnsi="Times New Roman"/>
          <w:sz w:val="24"/>
          <w:szCs w:val="20"/>
        </w:rPr>
        <w:t xml:space="preserve"> </w:t>
      </w:r>
    </w:p>
    <w:p w:rsidRPr="00492566"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2566">
        <w:rPr>
          <w:rFonts w:ascii="Times New Roman" w:hAnsi="Times New Roman"/>
          <w:sz w:val="24"/>
          <w:szCs w:val="20"/>
        </w:rPr>
        <w:t xml:space="preserve">2. Na afloop van het kalenderjaar 2022 wordt binnen twee maanden het in artikel 3, derde lid, kolom III, laatste regel, vermelde percentage bij ministeriële regeling vervangen door een ander percentage. Dit percentage wordt gesteld op de door twaalf te delen som van de maandelijkse rentes over het totale uitstaande bedrag aan woninghypotheken van huishoudens, zoals gepubliceerd door De Nederlandsche </w:t>
      </w:r>
      <w:r w:rsidR="003C57E6">
        <w:rPr>
          <w:rFonts w:ascii="Times New Roman" w:hAnsi="Times New Roman"/>
          <w:sz w:val="24"/>
          <w:szCs w:val="20"/>
        </w:rPr>
        <w:t>Bank, uit een periode van elf</w:t>
      </w:r>
      <w:r w:rsidRPr="00492566">
        <w:rPr>
          <w:rFonts w:ascii="Times New Roman" w:hAnsi="Times New Roman"/>
          <w:sz w:val="24"/>
          <w:szCs w:val="20"/>
        </w:rPr>
        <w:t xml:space="preserve"> maanden, beginnend op 1 januari en eindigend op 30 november van het kalenderjaar 2022,</w:t>
      </w:r>
      <w:r w:rsidR="003C57E6">
        <w:rPr>
          <w:rFonts w:ascii="Times New Roman" w:hAnsi="Times New Roman"/>
          <w:sz w:val="24"/>
          <w:szCs w:val="20"/>
        </w:rPr>
        <w:t xml:space="preserve"> </w:t>
      </w:r>
      <w:r w:rsidRPr="003C57E6" w:rsidR="003C57E6">
        <w:rPr>
          <w:rFonts w:ascii="Times New Roman" w:hAnsi="Times New Roman"/>
          <w:sz w:val="24"/>
        </w:rPr>
        <w:t>onder dubbeltelling van het percentage over de maand november</w:t>
      </w:r>
      <w:r w:rsidRPr="00492566">
        <w:rPr>
          <w:rFonts w:ascii="Times New Roman" w:hAnsi="Times New Roman"/>
          <w:sz w:val="24"/>
          <w:szCs w:val="20"/>
        </w:rPr>
        <w:t>.</w:t>
      </w:r>
    </w:p>
    <w:p w:rsidR="00492566" w:rsidP="00492566" w:rsidRDefault="00492566">
      <w:pPr>
        <w:tabs>
          <w:tab w:val="left" w:pos="284"/>
          <w:tab w:val="left" w:pos="567"/>
          <w:tab w:val="left" w:pos="851"/>
        </w:tabs>
        <w:ind w:right="-2"/>
        <w:rPr>
          <w:rFonts w:ascii="Times New Roman" w:hAnsi="Times New Roman"/>
          <w:sz w:val="24"/>
          <w:szCs w:val="20"/>
        </w:rPr>
      </w:pPr>
    </w:p>
    <w:p w:rsidRPr="00492566" w:rsidR="00492566" w:rsidP="00492566" w:rsidRDefault="00492566">
      <w:pPr>
        <w:tabs>
          <w:tab w:val="left" w:pos="284"/>
          <w:tab w:val="left" w:pos="567"/>
          <w:tab w:val="left" w:pos="851"/>
        </w:tabs>
        <w:ind w:right="-2"/>
        <w:rPr>
          <w:rFonts w:ascii="Times New Roman" w:hAnsi="Times New Roman"/>
          <w:sz w:val="24"/>
          <w:szCs w:val="20"/>
        </w:rPr>
      </w:pPr>
    </w:p>
    <w:p w:rsidRPr="00492566" w:rsidR="00492566" w:rsidP="00492566" w:rsidRDefault="00492566">
      <w:pPr>
        <w:tabs>
          <w:tab w:val="left" w:pos="284"/>
          <w:tab w:val="left" w:pos="567"/>
          <w:tab w:val="left" w:pos="851"/>
        </w:tabs>
        <w:ind w:right="-2"/>
        <w:rPr>
          <w:rFonts w:ascii="Times New Roman" w:hAnsi="Times New Roman"/>
          <w:b/>
          <w:sz w:val="24"/>
          <w:szCs w:val="20"/>
        </w:rPr>
      </w:pPr>
      <w:r w:rsidRPr="00492566">
        <w:rPr>
          <w:rFonts w:ascii="Times New Roman" w:hAnsi="Times New Roman"/>
          <w:b/>
          <w:sz w:val="24"/>
          <w:szCs w:val="20"/>
        </w:rPr>
        <w:t>Artikel 5. Persoonsgebonden aftrek</w:t>
      </w:r>
    </w:p>
    <w:p w:rsidRPr="00492566" w:rsidR="00492566" w:rsidP="00492566" w:rsidRDefault="00492566">
      <w:pPr>
        <w:tabs>
          <w:tab w:val="left" w:pos="284"/>
          <w:tab w:val="left" w:pos="567"/>
          <w:tab w:val="left" w:pos="851"/>
        </w:tabs>
        <w:ind w:right="-2"/>
        <w:rPr>
          <w:rFonts w:ascii="Times New Roman" w:hAnsi="Times New Roman"/>
          <w:sz w:val="24"/>
          <w:szCs w:val="20"/>
        </w:rPr>
      </w:pPr>
    </w:p>
    <w:p w:rsidRPr="00492566"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2566">
        <w:rPr>
          <w:rFonts w:ascii="Times New Roman" w:hAnsi="Times New Roman"/>
          <w:sz w:val="24"/>
          <w:szCs w:val="20"/>
        </w:rPr>
        <w:t>In afwijking van artikel 2.17, derde lid, van de Wet inkomstenbelasting 2001, wordt voor de persoonsgebonden aftrek, die voortvloeit uit een herrekening van het verzamelinkomen door toepassing van de artikelen 2 en 3, aangesloten bij de door de fiscale partners in de aangifte gekozen verdeling van uitgaven voor specifieke zorgkosten als bedoeld in afdeling 6.5 van de Wet inkomstenbelasting 2001 of aftrekbare giften als bedoeld in afdeling 6.9 van de Wet inkomstenbelasting 2001. Indien de belastingplichtige tezamen met zijn partner op een andere wijze het extra bedrag aan persoonsgebonden aftrek wil verdelen, kunnen zij hiervoor een verzoek om ambtshalve vermindering indienen bij de inspecteur waarin zij hun gezamenlijke keuze kenbaar maken.</w:t>
      </w:r>
    </w:p>
    <w:p w:rsidR="00492566" w:rsidP="00492566" w:rsidRDefault="00492566">
      <w:pPr>
        <w:tabs>
          <w:tab w:val="left" w:pos="284"/>
          <w:tab w:val="left" w:pos="567"/>
          <w:tab w:val="left" w:pos="851"/>
        </w:tabs>
        <w:ind w:right="-2"/>
        <w:rPr>
          <w:rFonts w:ascii="Times New Roman" w:hAnsi="Times New Roman"/>
          <w:sz w:val="24"/>
          <w:szCs w:val="20"/>
        </w:rPr>
      </w:pPr>
    </w:p>
    <w:p w:rsidRPr="00492566" w:rsidR="00492566" w:rsidP="00492566" w:rsidRDefault="00492566">
      <w:pPr>
        <w:tabs>
          <w:tab w:val="left" w:pos="284"/>
          <w:tab w:val="left" w:pos="567"/>
          <w:tab w:val="left" w:pos="851"/>
        </w:tabs>
        <w:ind w:right="-2"/>
        <w:rPr>
          <w:rFonts w:ascii="Times New Roman" w:hAnsi="Times New Roman"/>
          <w:sz w:val="24"/>
          <w:szCs w:val="20"/>
        </w:rPr>
      </w:pPr>
    </w:p>
    <w:p w:rsidRPr="00492566" w:rsidR="00492566" w:rsidP="00492566" w:rsidRDefault="00492566">
      <w:pPr>
        <w:tabs>
          <w:tab w:val="left" w:pos="284"/>
          <w:tab w:val="left" w:pos="567"/>
          <w:tab w:val="left" w:pos="851"/>
        </w:tabs>
        <w:ind w:right="-2"/>
        <w:rPr>
          <w:rFonts w:ascii="Times New Roman" w:hAnsi="Times New Roman"/>
          <w:b/>
          <w:sz w:val="24"/>
          <w:szCs w:val="20"/>
        </w:rPr>
      </w:pPr>
      <w:r w:rsidRPr="00492566">
        <w:rPr>
          <w:rFonts w:ascii="Times New Roman" w:hAnsi="Times New Roman"/>
          <w:b/>
          <w:sz w:val="24"/>
          <w:szCs w:val="20"/>
        </w:rPr>
        <w:t>Artikel 6. Voorkomen van dubbele belasting</w:t>
      </w:r>
    </w:p>
    <w:p w:rsidRPr="00492566" w:rsidR="00492566" w:rsidP="00492566" w:rsidRDefault="00492566">
      <w:pPr>
        <w:tabs>
          <w:tab w:val="left" w:pos="284"/>
          <w:tab w:val="left" w:pos="567"/>
          <w:tab w:val="left" w:pos="851"/>
        </w:tabs>
        <w:ind w:right="-2"/>
        <w:rPr>
          <w:rFonts w:ascii="Times New Roman" w:hAnsi="Times New Roman"/>
          <w:sz w:val="24"/>
          <w:szCs w:val="20"/>
        </w:rPr>
      </w:pPr>
    </w:p>
    <w:p w:rsidRPr="00492566"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492566">
        <w:rPr>
          <w:rFonts w:ascii="Times New Roman" w:hAnsi="Times New Roman"/>
          <w:sz w:val="24"/>
          <w:szCs w:val="20"/>
        </w:rPr>
        <w:t>In afwijking van artikel 24, tweede lid, van het besluit, wordt de vermindering, bedoeld in het eerste lid van dat artikel, berekend met inachtneming van de inkomstenbelasting die over het belastbare inkomen uit sparen en beleggen na toepassing van deze wet, maar vóór de vermindering ter voorkoming van dubbele belasting, verschuldigd zou zijn.</w:t>
      </w:r>
    </w:p>
    <w:p w:rsidRPr="00492566"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492566">
        <w:rPr>
          <w:rFonts w:ascii="Times New Roman" w:hAnsi="Times New Roman"/>
          <w:sz w:val="24"/>
          <w:szCs w:val="20"/>
        </w:rPr>
        <w:t xml:space="preserve">2. In afwijking van artikel 24, vijfde lid, onderdelen a en b, van het besluit wordt verstaan onder: </w:t>
      </w:r>
    </w:p>
    <w:p w:rsidRPr="00492566"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2566">
        <w:rPr>
          <w:rFonts w:ascii="Times New Roman" w:hAnsi="Times New Roman"/>
          <w:sz w:val="24"/>
          <w:szCs w:val="20"/>
        </w:rPr>
        <w:t>a. het forfaitaire rendement van de rendementsgrondslag in het buitenland: het rendement van de bezittingen in het buitenland, bedoeld in artikel 23, tweede lid, van het besluit, verminderd met het rendement van de schulden in verband met die bezittingen;</w:t>
      </w:r>
    </w:p>
    <w:p w:rsidRPr="00492566"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2566">
        <w:rPr>
          <w:rFonts w:ascii="Times New Roman" w:hAnsi="Times New Roman"/>
          <w:sz w:val="24"/>
          <w:szCs w:val="20"/>
        </w:rPr>
        <w:t xml:space="preserve">b. het noemerinkomen: het belastbare inkomen uit sparen </w:t>
      </w:r>
      <w:r w:rsidR="00F25C42">
        <w:rPr>
          <w:rFonts w:ascii="Times New Roman" w:hAnsi="Times New Roman"/>
          <w:sz w:val="24"/>
          <w:szCs w:val="20"/>
        </w:rPr>
        <w:t xml:space="preserve">en </w:t>
      </w:r>
      <w:r w:rsidRPr="00492566">
        <w:rPr>
          <w:rFonts w:ascii="Times New Roman" w:hAnsi="Times New Roman"/>
          <w:sz w:val="24"/>
          <w:szCs w:val="20"/>
        </w:rPr>
        <w:t>beleggen zoals dat na toepassing van deze wet is vastgesteld.</w:t>
      </w:r>
    </w:p>
    <w:p w:rsidRPr="00492566"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2566">
        <w:rPr>
          <w:rFonts w:ascii="Times New Roman" w:hAnsi="Times New Roman"/>
          <w:sz w:val="24"/>
          <w:szCs w:val="20"/>
        </w:rPr>
        <w:t>3. Voor de toepassing van het tweede lid, onderdeel a, wordt het rendement van de bezittingen in het buitenland en het rendement van de schulden in verband met die bezittingen bepaald met inachtneming van artikel 3, derde lid.</w:t>
      </w:r>
    </w:p>
    <w:p w:rsidR="00492566" w:rsidP="00492566" w:rsidRDefault="00492566">
      <w:pPr>
        <w:tabs>
          <w:tab w:val="left" w:pos="284"/>
          <w:tab w:val="left" w:pos="567"/>
          <w:tab w:val="left" w:pos="851"/>
        </w:tabs>
        <w:ind w:right="-2"/>
        <w:rPr>
          <w:rFonts w:ascii="Times New Roman" w:hAnsi="Times New Roman"/>
          <w:sz w:val="24"/>
          <w:szCs w:val="20"/>
        </w:rPr>
      </w:pPr>
    </w:p>
    <w:p w:rsidRPr="00492566" w:rsidR="00492566" w:rsidP="00492566" w:rsidRDefault="00492566">
      <w:pPr>
        <w:tabs>
          <w:tab w:val="left" w:pos="284"/>
          <w:tab w:val="left" w:pos="567"/>
          <w:tab w:val="left" w:pos="851"/>
        </w:tabs>
        <w:ind w:right="-2"/>
        <w:rPr>
          <w:rFonts w:ascii="Times New Roman" w:hAnsi="Times New Roman"/>
          <w:sz w:val="24"/>
          <w:szCs w:val="20"/>
        </w:rPr>
      </w:pPr>
    </w:p>
    <w:p w:rsidRPr="00492566" w:rsidR="00492566" w:rsidP="00492566" w:rsidRDefault="00492566">
      <w:pPr>
        <w:tabs>
          <w:tab w:val="left" w:pos="284"/>
          <w:tab w:val="left" w:pos="567"/>
          <w:tab w:val="left" w:pos="851"/>
        </w:tabs>
        <w:ind w:right="-2"/>
        <w:rPr>
          <w:rFonts w:ascii="Times New Roman" w:hAnsi="Times New Roman"/>
          <w:b/>
          <w:sz w:val="24"/>
          <w:szCs w:val="20"/>
        </w:rPr>
      </w:pPr>
      <w:r w:rsidRPr="00492566">
        <w:rPr>
          <w:rFonts w:ascii="Times New Roman" w:hAnsi="Times New Roman"/>
          <w:b/>
          <w:sz w:val="24"/>
          <w:szCs w:val="20"/>
        </w:rPr>
        <w:t>Artikel 7. Inwerkingtreding</w:t>
      </w:r>
    </w:p>
    <w:p w:rsidRPr="00492566" w:rsidR="00492566" w:rsidP="00492566" w:rsidRDefault="00492566">
      <w:pPr>
        <w:tabs>
          <w:tab w:val="left" w:pos="284"/>
          <w:tab w:val="left" w:pos="567"/>
          <w:tab w:val="left" w:pos="851"/>
        </w:tabs>
        <w:ind w:right="-2"/>
        <w:rPr>
          <w:rFonts w:ascii="Times New Roman" w:hAnsi="Times New Roman"/>
          <w:sz w:val="24"/>
          <w:szCs w:val="20"/>
        </w:rPr>
      </w:pPr>
    </w:p>
    <w:p w:rsidRPr="00492566"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2566">
        <w:rPr>
          <w:rFonts w:ascii="Times New Roman" w:hAnsi="Times New Roman"/>
          <w:sz w:val="24"/>
          <w:szCs w:val="20"/>
        </w:rPr>
        <w:t>Deze wet treedt in werking met ingang van de dag na de datum van uitgifte van het Staatsblad waarin zij wordt geplaatst en we</w:t>
      </w:r>
      <w:r w:rsidR="00F25C42">
        <w:rPr>
          <w:rFonts w:ascii="Times New Roman" w:hAnsi="Times New Roman"/>
          <w:sz w:val="24"/>
          <w:szCs w:val="20"/>
        </w:rPr>
        <w:t>rkt terug tot en met 1 januari 2017</w:t>
      </w:r>
      <w:r w:rsidRPr="00492566">
        <w:rPr>
          <w:rFonts w:ascii="Times New Roman" w:hAnsi="Times New Roman"/>
          <w:sz w:val="24"/>
          <w:szCs w:val="20"/>
        </w:rPr>
        <w:t>.</w:t>
      </w:r>
    </w:p>
    <w:p w:rsidR="00492566" w:rsidP="00492566" w:rsidRDefault="00492566">
      <w:pPr>
        <w:tabs>
          <w:tab w:val="left" w:pos="284"/>
          <w:tab w:val="left" w:pos="567"/>
          <w:tab w:val="left" w:pos="851"/>
        </w:tabs>
        <w:ind w:right="-2"/>
        <w:rPr>
          <w:rFonts w:ascii="Times New Roman" w:hAnsi="Times New Roman"/>
          <w:sz w:val="24"/>
          <w:szCs w:val="20"/>
        </w:rPr>
      </w:pPr>
    </w:p>
    <w:p w:rsidRPr="00492566" w:rsidR="00492566" w:rsidP="00492566" w:rsidRDefault="00492566">
      <w:pPr>
        <w:tabs>
          <w:tab w:val="left" w:pos="284"/>
          <w:tab w:val="left" w:pos="567"/>
          <w:tab w:val="left" w:pos="851"/>
        </w:tabs>
        <w:ind w:right="-2"/>
        <w:rPr>
          <w:rFonts w:ascii="Times New Roman" w:hAnsi="Times New Roman"/>
          <w:sz w:val="24"/>
          <w:szCs w:val="20"/>
        </w:rPr>
      </w:pPr>
    </w:p>
    <w:p w:rsidRPr="00492566" w:rsidR="00492566" w:rsidP="00492566" w:rsidRDefault="00492566">
      <w:pPr>
        <w:tabs>
          <w:tab w:val="left" w:pos="284"/>
          <w:tab w:val="left" w:pos="567"/>
          <w:tab w:val="left" w:pos="851"/>
        </w:tabs>
        <w:ind w:right="-2"/>
        <w:rPr>
          <w:rFonts w:ascii="Times New Roman" w:hAnsi="Times New Roman"/>
          <w:b/>
          <w:sz w:val="24"/>
          <w:szCs w:val="20"/>
        </w:rPr>
      </w:pPr>
      <w:r w:rsidRPr="00492566">
        <w:rPr>
          <w:rFonts w:ascii="Times New Roman" w:hAnsi="Times New Roman"/>
          <w:b/>
          <w:sz w:val="24"/>
          <w:szCs w:val="20"/>
        </w:rPr>
        <w:t>Artikel 8. Citeertitel</w:t>
      </w:r>
    </w:p>
    <w:p w:rsidRPr="00492566" w:rsidR="00492566" w:rsidP="00492566" w:rsidRDefault="00492566">
      <w:pPr>
        <w:tabs>
          <w:tab w:val="left" w:pos="284"/>
          <w:tab w:val="left" w:pos="567"/>
          <w:tab w:val="left" w:pos="851"/>
        </w:tabs>
        <w:ind w:right="-2"/>
        <w:rPr>
          <w:rFonts w:ascii="Times New Roman" w:hAnsi="Times New Roman"/>
          <w:sz w:val="24"/>
          <w:szCs w:val="20"/>
        </w:rPr>
      </w:pPr>
    </w:p>
    <w:p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2566">
        <w:rPr>
          <w:rFonts w:ascii="Times New Roman" w:hAnsi="Times New Roman"/>
          <w:sz w:val="24"/>
          <w:szCs w:val="20"/>
        </w:rPr>
        <w:t>Deze wet wordt aangehaald als: Wet rechtsherstel box 3.</w:t>
      </w:r>
    </w:p>
    <w:p w:rsidR="00492566" w:rsidP="00492566" w:rsidRDefault="00492566">
      <w:pPr>
        <w:tabs>
          <w:tab w:val="left" w:pos="284"/>
          <w:tab w:val="left" w:pos="567"/>
          <w:tab w:val="left" w:pos="851"/>
        </w:tabs>
        <w:ind w:right="-2"/>
        <w:rPr>
          <w:rFonts w:ascii="Times New Roman" w:hAnsi="Times New Roman"/>
          <w:sz w:val="24"/>
          <w:szCs w:val="20"/>
        </w:rPr>
      </w:pPr>
    </w:p>
    <w:p w:rsidR="00492566" w:rsidP="00492566" w:rsidRDefault="00492566">
      <w:pPr>
        <w:tabs>
          <w:tab w:val="left" w:pos="284"/>
          <w:tab w:val="left" w:pos="567"/>
          <w:tab w:val="left" w:pos="851"/>
        </w:tabs>
        <w:ind w:right="-2"/>
        <w:rPr>
          <w:rFonts w:ascii="Times New Roman" w:hAnsi="Times New Roman"/>
          <w:sz w:val="24"/>
          <w:szCs w:val="20"/>
        </w:rPr>
      </w:pPr>
    </w:p>
    <w:p w:rsidR="00492566" w:rsidP="00492566" w:rsidRDefault="00492566">
      <w:pPr>
        <w:ind w:firstLine="284"/>
        <w:rPr>
          <w:rFonts w:ascii="Times New Roman" w:hAnsi="Times New Roman"/>
          <w:sz w:val="24"/>
        </w:rPr>
      </w:pPr>
      <w:r w:rsidRPr="00913767">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00492566" w:rsidP="00492566" w:rsidRDefault="00492566">
      <w:pPr>
        <w:tabs>
          <w:tab w:val="left" w:pos="284"/>
          <w:tab w:val="left" w:pos="567"/>
          <w:tab w:val="left" w:pos="851"/>
        </w:tabs>
        <w:ind w:right="-2"/>
        <w:rPr>
          <w:rFonts w:ascii="Times New Roman" w:hAnsi="Times New Roman"/>
          <w:sz w:val="24"/>
          <w:szCs w:val="20"/>
        </w:rPr>
      </w:pPr>
    </w:p>
    <w:p w:rsidRPr="00492566" w:rsidR="00492566" w:rsidP="00492566" w:rsidRDefault="00492566">
      <w:pPr>
        <w:tabs>
          <w:tab w:val="left" w:pos="284"/>
          <w:tab w:val="left" w:pos="567"/>
          <w:tab w:val="left" w:pos="851"/>
        </w:tabs>
        <w:ind w:right="-2"/>
        <w:rPr>
          <w:rFonts w:ascii="Times New Roman" w:hAnsi="Times New Roman"/>
          <w:sz w:val="24"/>
          <w:szCs w:val="20"/>
        </w:rPr>
      </w:pPr>
      <w:r w:rsidRPr="00492566">
        <w:rPr>
          <w:rFonts w:ascii="Times New Roman" w:hAnsi="Times New Roman"/>
          <w:sz w:val="24"/>
          <w:szCs w:val="20"/>
        </w:rPr>
        <w:t xml:space="preserve">Gegeven, </w:t>
      </w:r>
    </w:p>
    <w:p w:rsidR="00492566" w:rsidP="00492566" w:rsidRDefault="00492566">
      <w:pPr>
        <w:tabs>
          <w:tab w:val="left" w:pos="284"/>
          <w:tab w:val="left" w:pos="567"/>
          <w:tab w:val="left" w:pos="851"/>
        </w:tabs>
        <w:ind w:right="-2"/>
        <w:rPr>
          <w:rFonts w:ascii="Times New Roman" w:hAnsi="Times New Roman"/>
          <w:sz w:val="24"/>
          <w:szCs w:val="20"/>
        </w:rPr>
      </w:pPr>
    </w:p>
    <w:p w:rsidR="00492566" w:rsidP="00492566" w:rsidRDefault="00492566">
      <w:pPr>
        <w:tabs>
          <w:tab w:val="left" w:pos="284"/>
          <w:tab w:val="left" w:pos="567"/>
          <w:tab w:val="left" w:pos="851"/>
        </w:tabs>
        <w:ind w:right="-2"/>
        <w:rPr>
          <w:rFonts w:ascii="Times New Roman" w:hAnsi="Times New Roman"/>
          <w:sz w:val="24"/>
          <w:szCs w:val="20"/>
        </w:rPr>
      </w:pPr>
    </w:p>
    <w:p w:rsidR="00492566" w:rsidP="00492566" w:rsidRDefault="00492566">
      <w:pPr>
        <w:tabs>
          <w:tab w:val="left" w:pos="284"/>
          <w:tab w:val="left" w:pos="567"/>
          <w:tab w:val="left" w:pos="851"/>
        </w:tabs>
        <w:ind w:right="-2"/>
        <w:rPr>
          <w:rFonts w:ascii="Times New Roman" w:hAnsi="Times New Roman"/>
          <w:sz w:val="24"/>
          <w:szCs w:val="20"/>
        </w:rPr>
      </w:pPr>
    </w:p>
    <w:p w:rsidR="00492566" w:rsidP="00492566" w:rsidRDefault="00492566">
      <w:pPr>
        <w:tabs>
          <w:tab w:val="left" w:pos="284"/>
          <w:tab w:val="left" w:pos="567"/>
          <w:tab w:val="left" w:pos="851"/>
        </w:tabs>
        <w:ind w:right="-2"/>
        <w:rPr>
          <w:rFonts w:ascii="Times New Roman" w:hAnsi="Times New Roman"/>
          <w:sz w:val="24"/>
          <w:szCs w:val="20"/>
        </w:rPr>
      </w:pPr>
    </w:p>
    <w:p w:rsidR="00492566" w:rsidP="00492566" w:rsidRDefault="00492566">
      <w:pPr>
        <w:tabs>
          <w:tab w:val="left" w:pos="284"/>
          <w:tab w:val="left" w:pos="567"/>
          <w:tab w:val="left" w:pos="851"/>
        </w:tabs>
        <w:ind w:right="-2"/>
        <w:rPr>
          <w:rFonts w:ascii="Times New Roman" w:hAnsi="Times New Roman"/>
          <w:sz w:val="24"/>
          <w:szCs w:val="20"/>
        </w:rPr>
      </w:pPr>
    </w:p>
    <w:p w:rsidR="00492566" w:rsidP="00492566" w:rsidRDefault="00492566">
      <w:pPr>
        <w:tabs>
          <w:tab w:val="left" w:pos="284"/>
          <w:tab w:val="left" w:pos="567"/>
          <w:tab w:val="left" w:pos="851"/>
        </w:tabs>
        <w:ind w:right="-2"/>
        <w:rPr>
          <w:rFonts w:ascii="Times New Roman" w:hAnsi="Times New Roman"/>
          <w:sz w:val="24"/>
          <w:szCs w:val="20"/>
        </w:rPr>
      </w:pPr>
    </w:p>
    <w:p w:rsidR="00492566" w:rsidP="00492566" w:rsidRDefault="00492566">
      <w:pPr>
        <w:tabs>
          <w:tab w:val="left" w:pos="284"/>
          <w:tab w:val="left" w:pos="567"/>
          <w:tab w:val="left" w:pos="851"/>
        </w:tabs>
        <w:ind w:right="-2"/>
        <w:rPr>
          <w:rFonts w:ascii="Times New Roman" w:hAnsi="Times New Roman"/>
          <w:sz w:val="24"/>
          <w:szCs w:val="20"/>
        </w:rPr>
      </w:pPr>
    </w:p>
    <w:p w:rsidR="00492566" w:rsidP="00492566" w:rsidRDefault="00492566">
      <w:pPr>
        <w:tabs>
          <w:tab w:val="left" w:pos="284"/>
          <w:tab w:val="left" w:pos="567"/>
          <w:tab w:val="left" w:pos="851"/>
        </w:tabs>
        <w:ind w:right="-2"/>
        <w:rPr>
          <w:rFonts w:ascii="Times New Roman" w:hAnsi="Times New Roman"/>
          <w:sz w:val="24"/>
          <w:szCs w:val="20"/>
        </w:rPr>
      </w:pPr>
    </w:p>
    <w:p w:rsidRPr="00492566" w:rsidR="00492566" w:rsidP="00492566" w:rsidRDefault="00492566">
      <w:pPr>
        <w:tabs>
          <w:tab w:val="left" w:pos="284"/>
          <w:tab w:val="left" w:pos="567"/>
          <w:tab w:val="left" w:pos="851"/>
        </w:tabs>
        <w:ind w:right="-2"/>
        <w:rPr>
          <w:rFonts w:ascii="Times New Roman" w:hAnsi="Times New Roman"/>
          <w:sz w:val="24"/>
          <w:szCs w:val="20"/>
        </w:rPr>
      </w:pPr>
    </w:p>
    <w:p w:rsidR="00492566" w:rsidP="00492566" w:rsidRDefault="00492566">
      <w:pPr>
        <w:tabs>
          <w:tab w:val="left" w:pos="284"/>
          <w:tab w:val="left" w:pos="567"/>
          <w:tab w:val="left" w:pos="851"/>
        </w:tabs>
        <w:ind w:right="-2"/>
        <w:rPr>
          <w:rFonts w:ascii="Times New Roman" w:hAnsi="Times New Roman"/>
          <w:sz w:val="24"/>
          <w:szCs w:val="20"/>
        </w:rPr>
      </w:pPr>
      <w:r w:rsidRPr="00492566">
        <w:rPr>
          <w:rFonts w:ascii="Times New Roman" w:hAnsi="Times New Roman"/>
          <w:sz w:val="24"/>
          <w:szCs w:val="20"/>
        </w:rPr>
        <w:t>De Staatssecretaris van Financiën</w:t>
      </w:r>
      <w:r w:rsidR="00FD5A66">
        <w:rPr>
          <w:rFonts w:ascii="Times New Roman" w:hAnsi="Times New Roman"/>
          <w:sz w:val="24"/>
          <w:szCs w:val="20"/>
        </w:rPr>
        <w:t>,</w:t>
      </w:r>
    </w:p>
    <w:p w:rsidR="00FD5A66" w:rsidP="00492566" w:rsidRDefault="00FD5A66">
      <w:pPr>
        <w:tabs>
          <w:tab w:val="left" w:pos="284"/>
          <w:tab w:val="left" w:pos="567"/>
          <w:tab w:val="left" w:pos="851"/>
        </w:tabs>
        <w:ind w:right="-2"/>
        <w:rPr>
          <w:rFonts w:ascii="Times New Roman" w:hAnsi="Times New Roman"/>
          <w:sz w:val="24"/>
          <w:szCs w:val="20"/>
        </w:rPr>
      </w:pPr>
    </w:p>
    <w:p w:rsidR="00FD5A66" w:rsidP="00492566" w:rsidRDefault="00FD5A66">
      <w:pPr>
        <w:tabs>
          <w:tab w:val="left" w:pos="284"/>
          <w:tab w:val="left" w:pos="567"/>
          <w:tab w:val="left" w:pos="851"/>
        </w:tabs>
        <w:ind w:right="-2"/>
        <w:rPr>
          <w:rFonts w:ascii="Times New Roman" w:hAnsi="Times New Roman"/>
          <w:sz w:val="24"/>
          <w:szCs w:val="20"/>
        </w:rPr>
      </w:pPr>
    </w:p>
    <w:p w:rsidR="00FD5A66" w:rsidP="00492566" w:rsidRDefault="00FD5A66">
      <w:pPr>
        <w:tabs>
          <w:tab w:val="left" w:pos="284"/>
          <w:tab w:val="left" w:pos="567"/>
          <w:tab w:val="left" w:pos="851"/>
        </w:tabs>
        <w:ind w:right="-2"/>
        <w:rPr>
          <w:rFonts w:ascii="Times New Roman" w:hAnsi="Times New Roman"/>
          <w:sz w:val="24"/>
          <w:szCs w:val="20"/>
        </w:rPr>
      </w:pPr>
    </w:p>
    <w:p w:rsidR="00FD5A66" w:rsidP="00492566" w:rsidRDefault="00FD5A66">
      <w:pPr>
        <w:tabs>
          <w:tab w:val="left" w:pos="284"/>
          <w:tab w:val="left" w:pos="567"/>
          <w:tab w:val="left" w:pos="851"/>
        </w:tabs>
        <w:ind w:right="-2"/>
        <w:rPr>
          <w:rFonts w:ascii="Times New Roman" w:hAnsi="Times New Roman"/>
          <w:sz w:val="24"/>
          <w:szCs w:val="20"/>
        </w:rPr>
      </w:pPr>
    </w:p>
    <w:p w:rsidR="00FD5A66" w:rsidP="00492566" w:rsidRDefault="00FD5A66">
      <w:pPr>
        <w:tabs>
          <w:tab w:val="left" w:pos="284"/>
          <w:tab w:val="left" w:pos="567"/>
          <w:tab w:val="left" w:pos="851"/>
        </w:tabs>
        <w:ind w:right="-2"/>
        <w:rPr>
          <w:rFonts w:ascii="Times New Roman" w:hAnsi="Times New Roman"/>
          <w:sz w:val="24"/>
          <w:szCs w:val="20"/>
        </w:rPr>
      </w:pPr>
    </w:p>
    <w:p w:rsidR="00FD5A66" w:rsidP="00492566" w:rsidRDefault="00FD5A66">
      <w:pPr>
        <w:tabs>
          <w:tab w:val="left" w:pos="284"/>
          <w:tab w:val="left" w:pos="567"/>
          <w:tab w:val="left" w:pos="851"/>
        </w:tabs>
        <w:ind w:right="-2"/>
        <w:rPr>
          <w:rFonts w:ascii="Times New Roman" w:hAnsi="Times New Roman"/>
          <w:sz w:val="24"/>
          <w:szCs w:val="20"/>
        </w:rPr>
      </w:pPr>
    </w:p>
    <w:p w:rsidR="00FD5A66" w:rsidP="00492566" w:rsidRDefault="00FD5A66">
      <w:pPr>
        <w:tabs>
          <w:tab w:val="left" w:pos="284"/>
          <w:tab w:val="left" w:pos="567"/>
          <w:tab w:val="left" w:pos="851"/>
        </w:tabs>
        <w:ind w:right="-2"/>
        <w:rPr>
          <w:rFonts w:ascii="Times New Roman" w:hAnsi="Times New Roman"/>
          <w:sz w:val="24"/>
          <w:szCs w:val="20"/>
        </w:rPr>
      </w:pPr>
    </w:p>
    <w:p w:rsidR="00FD5A66" w:rsidP="00492566" w:rsidRDefault="00FD5A66">
      <w:pPr>
        <w:tabs>
          <w:tab w:val="left" w:pos="284"/>
          <w:tab w:val="left" w:pos="567"/>
          <w:tab w:val="left" w:pos="851"/>
        </w:tabs>
        <w:ind w:right="-2"/>
        <w:rPr>
          <w:rFonts w:ascii="Times New Roman" w:hAnsi="Times New Roman"/>
          <w:sz w:val="24"/>
          <w:szCs w:val="20"/>
        </w:rPr>
      </w:pPr>
    </w:p>
    <w:p w:rsidRPr="00492566" w:rsidR="00FD5A66" w:rsidP="00FD5A66" w:rsidRDefault="00FD5A66">
      <w:pPr>
        <w:tabs>
          <w:tab w:val="left" w:pos="284"/>
          <w:tab w:val="left" w:pos="567"/>
          <w:tab w:val="left" w:pos="851"/>
        </w:tabs>
        <w:ind w:right="-2"/>
        <w:rPr>
          <w:rFonts w:ascii="Times New Roman" w:hAnsi="Times New Roman"/>
          <w:sz w:val="24"/>
          <w:szCs w:val="20"/>
        </w:rPr>
      </w:pPr>
      <w:bookmarkStart w:name="_GoBack" w:id="0"/>
      <w:bookmarkEnd w:id="0"/>
    </w:p>
    <w:p w:rsidRPr="002168F4" w:rsidR="00FD5A66" w:rsidP="00FD5A66" w:rsidRDefault="00FD5A66">
      <w:pPr>
        <w:tabs>
          <w:tab w:val="left" w:pos="284"/>
          <w:tab w:val="left" w:pos="567"/>
          <w:tab w:val="left" w:pos="851"/>
        </w:tabs>
        <w:ind w:right="-2"/>
        <w:rPr>
          <w:rFonts w:ascii="Times New Roman" w:hAnsi="Times New Roman"/>
          <w:sz w:val="24"/>
          <w:szCs w:val="20"/>
        </w:rPr>
      </w:pPr>
      <w:r w:rsidRPr="00492566">
        <w:rPr>
          <w:rFonts w:ascii="Times New Roman" w:hAnsi="Times New Roman"/>
          <w:sz w:val="24"/>
          <w:szCs w:val="20"/>
        </w:rPr>
        <w:t>De Staatssecretaris van Financiën</w:t>
      </w:r>
      <w:r>
        <w:rPr>
          <w:rFonts w:ascii="Times New Roman" w:hAnsi="Times New Roman"/>
          <w:sz w:val="24"/>
          <w:szCs w:val="20"/>
        </w:rPr>
        <w:t>,</w:t>
      </w:r>
    </w:p>
    <w:p w:rsidRPr="002168F4" w:rsidR="00FD5A66" w:rsidP="00492566" w:rsidRDefault="00FD5A66">
      <w:pPr>
        <w:tabs>
          <w:tab w:val="left" w:pos="284"/>
          <w:tab w:val="left" w:pos="567"/>
          <w:tab w:val="left" w:pos="851"/>
        </w:tabs>
        <w:ind w:right="-2"/>
        <w:rPr>
          <w:rFonts w:ascii="Times New Roman" w:hAnsi="Times New Roman"/>
          <w:sz w:val="24"/>
          <w:szCs w:val="20"/>
        </w:rPr>
      </w:pPr>
    </w:p>
    <w:sectPr w:rsidRPr="002168F4" w:rsidR="00FD5A66"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2566" w:rsidRDefault="00492566">
      <w:pPr>
        <w:spacing w:line="20" w:lineRule="exact"/>
      </w:pPr>
    </w:p>
  </w:endnote>
  <w:endnote w:type="continuationSeparator" w:id="0">
    <w:p w:rsidR="00492566" w:rsidRDefault="00492566">
      <w:pPr>
        <w:pStyle w:val="Amendement"/>
      </w:pPr>
      <w:r>
        <w:rPr>
          <w:b w:val="0"/>
          <w:bCs w:val="0"/>
        </w:rPr>
        <w:t xml:space="preserve"> </w:t>
      </w:r>
    </w:p>
  </w:endnote>
  <w:endnote w:type="continuationNotice" w:id="1">
    <w:p w:rsidR="00492566" w:rsidRDefault="0049256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D5A66">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2566" w:rsidRDefault="00492566">
      <w:pPr>
        <w:pStyle w:val="Amendement"/>
      </w:pPr>
      <w:r>
        <w:rPr>
          <w:b w:val="0"/>
          <w:bCs w:val="0"/>
        </w:rPr>
        <w:separator/>
      </w:r>
    </w:p>
  </w:footnote>
  <w:footnote w:type="continuationSeparator" w:id="0">
    <w:p w:rsidR="00492566" w:rsidRDefault="004925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566"/>
    <w:rsid w:val="00012DBE"/>
    <w:rsid w:val="000A1D81"/>
    <w:rsid w:val="00111ED3"/>
    <w:rsid w:val="001C190E"/>
    <w:rsid w:val="002168F4"/>
    <w:rsid w:val="00255AF5"/>
    <w:rsid w:val="002A727C"/>
    <w:rsid w:val="003C57E6"/>
    <w:rsid w:val="00492566"/>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55648"/>
    <w:rsid w:val="00D97D94"/>
    <w:rsid w:val="00E16443"/>
    <w:rsid w:val="00E36EE9"/>
    <w:rsid w:val="00F13442"/>
    <w:rsid w:val="00F25C42"/>
    <w:rsid w:val="00F956D4"/>
    <w:rsid w:val="00FD5A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F267F4"/>
  <w15:docId w15:val="{62E07CF4-0CA9-4718-8855-F07C56532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table" w:styleId="Tabelraster">
    <w:name w:val="Table Grid"/>
    <w:basedOn w:val="Standaardtabel"/>
    <w:rsid w:val="004925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vmp">
    <w:name w:val="avmp"/>
    <w:rsid w:val="00FD5A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1385</ap:Words>
  <ap:Characters>7661</ap:Characters>
  <ap:DocSecurity>0</ap:DocSecurity>
  <ap:Lines>63</ap:Lines>
  <ap:Paragraphs>18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9028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2022-11-10T13:09:00.0000000Z</dcterms:created>
  <dcterms:modified xsi:type="dcterms:W3CDTF">2022-11-10T13:12:00.0000000Z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