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A6E13" w:rsidR="00CB3578" w:rsidP="002A6E13" w:rsidRDefault="002A6E13">
            <w:pPr>
              <w:pStyle w:val="Amendement"/>
              <w:rPr>
                <w:rFonts w:ascii="Times New Roman" w:hAnsi="Times New Roman" w:cs="Times New Roman"/>
                <w:b w:val="0"/>
              </w:rPr>
            </w:pPr>
            <w:r w:rsidRPr="002A6E13">
              <w:rPr>
                <w:rFonts w:ascii="Times New Roman" w:hAnsi="Times New Roman" w:cs="Times New Roman"/>
                <w:b w:val="0"/>
              </w:rPr>
              <w:t>Bijgewerkt t/m nr. 10 (</w:t>
            </w:r>
            <w:proofErr w:type="spellStart"/>
            <w:r w:rsidRPr="002A6E13">
              <w:rPr>
                <w:rFonts w:ascii="Times New Roman" w:hAnsi="Times New Roman" w:cs="Times New Roman"/>
                <w:b w:val="0"/>
              </w:rPr>
              <w:t>NvW</w:t>
            </w:r>
            <w:proofErr w:type="spellEnd"/>
            <w:r w:rsidRPr="002A6E13">
              <w:rPr>
                <w:rFonts w:ascii="Times New Roman" w:hAnsi="Times New Roman" w:cs="Times New Roman"/>
                <w:b w:val="0"/>
              </w:rPr>
              <w:t xml:space="preserve"> d.d. 15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B70F2" w:rsidRDefault="006B70F2">
            <w:pPr>
              <w:rPr>
                <w:rFonts w:ascii="Times New Roman" w:hAnsi="Times New Roman"/>
                <w:b/>
                <w:sz w:val="24"/>
              </w:rPr>
            </w:pPr>
            <w:r>
              <w:rPr>
                <w:rFonts w:ascii="Times New Roman" w:hAnsi="Times New Roman"/>
                <w:b/>
                <w:sz w:val="24"/>
              </w:rPr>
              <w:t>36 200</w:t>
            </w:r>
            <w:r w:rsidR="00F13442">
              <w:rPr>
                <w:rFonts w:ascii="Times New Roman" w:hAnsi="Times New Roman"/>
                <w:b/>
                <w:sz w:val="24"/>
              </w:rPr>
              <w:t xml:space="preserve"> </w:t>
            </w:r>
            <w:r>
              <w:rPr>
                <w:rFonts w:ascii="Times New Roman" w:hAnsi="Times New Roman"/>
                <w:b/>
                <w:sz w:val="24"/>
              </w:rPr>
              <w:t>IX</w:t>
            </w:r>
          </w:p>
        </w:tc>
        <w:tc>
          <w:tcPr>
            <w:tcW w:w="6590" w:type="dxa"/>
            <w:tcBorders>
              <w:top w:val="nil"/>
              <w:left w:val="nil"/>
              <w:bottom w:val="nil"/>
              <w:right w:val="nil"/>
            </w:tcBorders>
          </w:tcPr>
          <w:p w:rsidRPr="006B70F2" w:rsidR="002A727C" w:rsidP="000D5BC4" w:rsidRDefault="006B70F2">
            <w:pPr>
              <w:rPr>
                <w:rFonts w:ascii="Times New Roman" w:hAnsi="Times New Roman"/>
                <w:b/>
                <w:sz w:val="24"/>
              </w:rPr>
            </w:pPr>
            <w:r w:rsidRPr="006B70F2">
              <w:rPr>
                <w:rFonts w:ascii="Times New Roman" w:hAnsi="Times New Roman"/>
                <w:b/>
                <w:sz w:val="24"/>
              </w:rPr>
              <w:t>Vaststelling van de begrotingsstaat van het Ministerie van Financiën (IXB) en de begrotingsstaat van Nationale Schuld (IXA)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6B70F2">
              <w:rPr>
                <w:rFonts w:ascii="Times New Roman" w:hAnsi="Times New Roman" w:cs="Times New Roman"/>
              </w:rPr>
              <w:t>1</w:t>
            </w:r>
          </w:p>
        </w:tc>
        <w:tc>
          <w:tcPr>
            <w:tcW w:w="6590" w:type="dxa"/>
            <w:tcBorders>
              <w:top w:val="nil"/>
              <w:left w:val="nil"/>
              <w:bottom w:val="nil"/>
              <w:right w:val="nil"/>
            </w:tcBorders>
          </w:tcPr>
          <w:p w:rsidRPr="002168F4" w:rsidR="00CB3578" w:rsidP="00D07922" w:rsidRDefault="00CB3578">
            <w:pPr>
              <w:pStyle w:val="Amendement"/>
              <w:rPr>
                <w:rFonts w:ascii="Times New Roman" w:hAnsi="Times New Roman" w:cs="Times New Roman"/>
              </w:rPr>
            </w:pPr>
            <w:bookmarkStart w:name="_GoBack" w:id="0"/>
            <w:bookmarkEnd w:id="0"/>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Wij Willem-Alexander, bij de gratie Gods, Koning der Nederlanden, Prins van Oranje-Nassau, enz. enz. enz.</w:t>
      </w:r>
    </w:p>
    <w:p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Allen, die deze zullen zien of horen lezen, saluut! doen te weten:</w:t>
      </w: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B70F2" w:rsidP="006B70F2" w:rsidRDefault="006B70F2">
      <w:pPr>
        <w:tabs>
          <w:tab w:val="left" w:pos="284"/>
          <w:tab w:val="left" w:pos="567"/>
          <w:tab w:val="left" w:pos="851"/>
        </w:tabs>
        <w:ind w:right="-2"/>
        <w:rPr>
          <w:rFonts w:ascii="Times New Roman" w:hAnsi="Times New Roman"/>
          <w:b/>
          <w:sz w:val="24"/>
          <w:szCs w:val="20"/>
        </w:rPr>
      </w:pPr>
    </w:p>
    <w:p w:rsidRPr="006B70F2" w:rsidR="006B70F2" w:rsidP="006B70F2" w:rsidRDefault="006B70F2">
      <w:pPr>
        <w:tabs>
          <w:tab w:val="left" w:pos="284"/>
          <w:tab w:val="left" w:pos="567"/>
          <w:tab w:val="left" w:pos="851"/>
        </w:tabs>
        <w:ind w:right="-2"/>
        <w:rPr>
          <w:rFonts w:ascii="Times New Roman" w:hAnsi="Times New Roman"/>
          <w:b/>
          <w:sz w:val="24"/>
          <w:szCs w:val="20"/>
        </w:rPr>
      </w:pPr>
      <w:r w:rsidRPr="006B70F2">
        <w:rPr>
          <w:rFonts w:ascii="Times New Roman" w:hAnsi="Times New Roman"/>
          <w:b/>
          <w:sz w:val="24"/>
          <w:szCs w:val="20"/>
        </w:rPr>
        <w:t>Artikel 1</w:t>
      </w:r>
    </w:p>
    <w:p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De bij deze wet behorende departementale begrotingsstaat van het Ministerie van Financiën (IXB) voor het jaar 2023 wordt vastgesteld.</w:t>
      </w:r>
    </w:p>
    <w:p w:rsidR="006B70F2" w:rsidP="006B70F2" w:rsidRDefault="006B70F2">
      <w:pPr>
        <w:tabs>
          <w:tab w:val="left" w:pos="284"/>
          <w:tab w:val="left" w:pos="567"/>
          <w:tab w:val="left" w:pos="851"/>
        </w:tabs>
        <w:ind w:right="-2"/>
        <w:rPr>
          <w:rFonts w:ascii="Times New Roman" w:hAnsi="Times New Roman"/>
          <w:b/>
          <w:sz w:val="24"/>
          <w:szCs w:val="20"/>
        </w:rPr>
      </w:pPr>
    </w:p>
    <w:p w:rsidRPr="006B70F2" w:rsidR="006B70F2" w:rsidP="006B70F2" w:rsidRDefault="006B70F2">
      <w:pPr>
        <w:tabs>
          <w:tab w:val="left" w:pos="284"/>
          <w:tab w:val="left" w:pos="567"/>
          <w:tab w:val="left" w:pos="851"/>
        </w:tabs>
        <w:ind w:right="-2"/>
        <w:rPr>
          <w:rFonts w:ascii="Times New Roman" w:hAnsi="Times New Roman"/>
          <w:b/>
          <w:sz w:val="24"/>
          <w:szCs w:val="20"/>
        </w:rPr>
      </w:pPr>
      <w:r w:rsidRPr="006B70F2">
        <w:rPr>
          <w:rFonts w:ascii="Times New Roman" w:hAnsi="Times New Roman"/>
          <w:b/>
          <w:sz w:val="24"/>
          <w:szCs w:val="20"/>
        </w:rPr>
        <w:t>Artikel 2</w:t>
      </w:r>
    </w:p>
    <w:p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De bij deze wet behorende begrotingsstaat van Nationale Schuld (IXA) voor het jaar 2023 wordt vastgesteld.</w:t>
      </w:r>
    </w:p>
    <w:p w:rsidR="006B70F2" w:rsidP="006B70F2" w:rsidRDefault="006B70F2">
      <w:pPr>
        <w:tabs>
          <w:tab w:val="left" w:pos="284"/>
          <w:tab w:val="left" w:pos="567"/>
          <w:tab w:val="left" w:pos="851"/>
        </w:tabs>
        <w:ind w:right="-2"/>
        <w:rPr>
          <w:rFonts w:ascii="Times New Roman" w:hAnsi="Times New Roman"/>
          <w:b/>
          <w:sz w:val="24"/>
          <w:szCs w:val="20"/>
        </w:rPr>
      </w:pPr>
    </w:p>
    <w:p w:rsidRPr="006B70F2" w:rsidR="006B70F2" w:rsidP="006B70F2" w:rsidRDefault="006B70F2">
      <w:pPr>
        <w:tabs>
          <w:tab w:val="left" w:pos="284"/>
          <w:tab w:val="left" w:pos="567"/>
          <w:tab w:val="left" w:pos="851"/>
        </w:tabs>
        <w:ind w:right="-2"/>
        <w:rPr>
          <w:rFonts w:ascii="Times New Roman" w:hAnsi="Times New Roman"/>
          <w:b/>
          <w:sz w:val="24"/>
          <w:szCs w:val="20"/>
        </w:rPr>
      </w:pPr>
      <w:r w:rsidRPr="006B70F2">
        <w:rPr>
          <w:rFonts w:ascii="Times New Roman" w:hAnsi="Times New Roman"/>
          <w:b/>
          <w:sz w:val="24"/>
          <w:szCs w:val="20"/>
        </w:rPr>
        <w:t>Artikel 3</w:t>
      </w:r>
    </w:p>
    <w:p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De vaststelling van de begrotingsstaten geschiedt in duizenden euro’s.</w:t>
      </w:r>
    </w:p>
    <w:p w:rsidR="006B70F2" w:rsidP="006B70F2" w:rsidRDefault="006B70F2">
      <w:pPr>
        <w:tabs>
          <w:tab w:val="left" w:pos="284"/>
          <w:tab w:val="left" w:pos="567"/>
          <w:tab w:val="left" w:pos="851"/>
        </w:tabs>
        <w:ind w:right="-2"/>
        <w:rPr>
          <w:rFonts w:ascii="Times New Roman" w:hAnsi="Times New Roman"/>
          <w:b/>
          <w:sz w:val="24"/>
          <w:szCs w:val="20"/>
        </w:rPr>
      </w:pPr>
    </w:p>
    <w:p w:rsidRPr="006B70F2" w:rsidR="006B70F2" w:rsidP="006B70F2" w:rsidRDefault="006B70F2">
      <w:pPr>
        <w:tabs>
          <w:tab w:val="left" w:pos="284"/>
          <w:tab w:val="left" w:pos="567"/>
          <w:tab w:val="left" w:pos="851"/>
        </w:tabs>
        <w:ind w:right="-2"/>
        <w:rPr>
          <w:rFonts w:ascii="Times New Roman" w:hAnsi="Times New Roman"/>
          <w:b/>
          <w:sz w:val="24"/>
          <w:szCs w:val="20"/>
        </w:rPr>
      </w:pPr>
      <w:r w:rsidRPr="006B70F2">
        <w:rPr>
          <w:rFonts w:ascii="Times New Roman" w:hAnsi="Times New Roman"/>
          <w:b/>
          <w:sz w:val="24"/>
          <w:szCs w:val="20"/>
        </w:rPr>
        <w:t>Artikel 4</w:t>
      </w:r>
    </w:p>
    <w:p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B70F2">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AB2A6F" w:rsidP="006B70F2" w:rsidRDefault="006B7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AB2A6F" w:rsidRDefault="00AB2A6F">
      <w:pPr>
        <w:rPr>
          <w:rFonts w:ascii="Times New Roman" w:hAnsi="Times New Roman"/>
          <w:sz w:val="24"/>
          <w:szCs w:val="20"/>
        </w:rPr>
      </w:pPr>
      <w:r>
        <w:rPr>
          <w:rFonts w:ascii="Times New Roman" w:hAnsi="Times New Roman"/>
          <w:sz w:val="24"/>
          <w:szCs w:val="20"/>
        </w:rPr>
        <w:br w:type="page"/>
      </w:r>
    </w:p>
    <w:p w:rsidRPr="006B70F2" w:rsidR="006B70F2" w:rsidP="006B70F2" w:rsidRDefault="00946B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B70F2" w:rsidR="006B70F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B70F2" w:rsidR="006B70F2" w:rsidP="006B70F2" w:rsidRDefault="006B70F2">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sidRPr="006B70F2">
        <w:rPr>
          <w:rFonts w:ascii="Times New Roman" w:hAnsi="Times New Roman"/>
          <w:sz w:val="24"/>
          <w:szCs w:val="20"/>
        </w:rPr>
        <w:t>Gegeven</w:t>
      </w: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006B70F2" w:rsidP="006B70F2" w:rsidRDefault="006B70F2">
      <w:pPr>
        <w:tabs>
          <w:tab w:val="left" w:pos="284"/>
          <w:tab w:val="left" w:pos="567"/>
          <w:tab w:val="left" w:pos="851"/>
        </w:tabs>
        <w:ind w:right="-2"/>
        <w:rPr>
          <w:rFonts w:ascii="Times New Roman" w:hAnsi="Times New Roman"/>
          <w:sz w:val="24"/>
          <w:szCs w:val="20"/>
        </w:rPr>
      </w:pPr>
    </w:p>
    <w:p w:rsidRPr="006B70F2" w:rsidR="005D2D95" w:rsidP="006B70F2" w:rsidRDefault="005D2D95">
      <w:pPr>
        <w:tabs>
          <w:tab w:val="left" w:pos="284"/>
          <w:tab w:val="left" w:pos="567"/>
          <w:tab w:val="left" w:pos="851"/>
        </w:tabs>
        <w:ind w:right="-2"/>
        <w:rPr>
          <w:rFonts w:ascii="Times New Roman" w:hAnsi="Times New Roman"/>
          <w:sz w:val="24"/>
          <w:szCs w:val="20"/>
        </w:rPr>
      </w:pPr>
    </w:p>
    <w:p w:rsidRPr="006B70F2" w:rsidR="006B70F2" w:rsidP="006B70F2" w:rsidRDefault="006B70F2">
      <w:pPr>
        <w:tabs>
          <w:tab w:val="left" w:pos="284"/>
          <w:tab w:val="left" w:pos="567"/>
          <w:tab w:val="left" w:pos="851"/>
        </w:tabs>
        <w:ind w:right="-2"/>
        <w:rPr>
          <w:rFonts w:ascii="Times New Roman" w:hAnsi="Times New Roman"/>
          <w:sz w:val="24"/>
          <w:szCs w:val="20"/>
        </w:rPr>
      </w:pPr>
      <w:r w:rsidRPr="006B70F2">
        <w:rPr>
          <w:rFonts w:ascii="Times New Roman" w:hAnsi="Times New Roman"/>
          <w:sz w:val="24"/>
          <w:szCs w:val="20"/>
        </w:rPr>
        <w:t>De Minister van Financiën</w:t>
      </w:r>
    </w:p>
    <w:p w:rsidR="006B70F2" w:rsidP="006B70F2" w:rsidRDefault="006B70F2">
      <w:pPr>
        <w:tabs>
          <w:tab w:val="left" w:pos="284"/>
          <w:tab w:val="left" w:pos="567"/>
          <w:tab w:val="left" w:pos="851"/>
        </w:tabs>
        <w:ind w:right="-2"/>
        <w:rPr>
          <w:rFonts w:ascii="Times New Roman" w:hAnsi="Times New Roman"/>
          <w:sz w:val="24"/>
          <w:szCs w:val="20"/>
        </w:rPr>
        <w:sectPr w:rsidR="006B70F2" w:rsidSect="00A11E73">
          <w:footerReference w:type="even" r:id="rId7"/>
          <w:footerReference w:type="default" r:id="rId8"/>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91"/>
        <w:gridCol w:w="7679"/>
        <w:gridCol w:w="2240"/>
        <w:gridCol w:w="2013"/>
        <w:gridCol w:w="1579"/>
      </w:tblGrid>
      <w:tr w:rsidRPr="00CA5FDC" w:rsidR="006B70F2" w:rsidTr="00CA5FDC">
        <w:trPr>
          <w:tblHeader/>
        </w:trPr>
        <w:tc>
          <w:tcPr>
            <w:tcW w:w="5000" w:type="pct"/>
            <w:gridSpan w:val="5"/>
            <w:shd w:val="clear" w:color="auto" w:fill="009EE0"/>
            <w:tcMar>
              <w:top w:w="22" w:type="dxa"/>
              <w:left w:w="113" w:type="dxa"/>
              <w:bottom w:w="22" w:type="dxa"/>
            </w:tcMar>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lastRenderedPageBreak/>
              <w:t>Vastgestelde departementale begrotingsstaat van het Ministerie van Financiën (IXB) voor het jaar 2023 (bedragen x € 1.000)</w:t>
            </w:r>
          </w:p>
        </w:tc>
      </w:tr>
      <w:tr w:rsidRPr="00CA5FDC" w:rsidR="006B70F2" w:rsidTr="00CA5FDC">
        <w:trPr>
          <w:tblHeader/>
        </w:trPr>
        <w:tc>
          <w:tcPr>
            <w:tcW w:w="175" w:type="pct"/>
            <w:tcBorders>
              <w:top w:val="single" w:color="000000" w:sz="2" w:space="0"/>
              <w:bottom w:val="single" w:color="009EE0" w:sz="2" w:space="0"/>
            </w:tcBorders>
            <w:shd w:val="clear" w:color="auto" w:fill="auto"/>
            <w:tcMar>
              <w:top w:w="28" w:type="dxa"/>
              <w:bottom w:w="28"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Art.</w:t>
            </w:r>
          </w:p>
        </w:tc>
        <w:tc>
          <w:tcPr>
            <w:tcW w:w="2742"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Omschrijving</w:t>
            </w:r>
          </w:p>
        </w:tc>
        <w:tc>
          <w:tcPr>
            <w:tcW w:w="208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A5FDC" w:rsidR="006B70F2" w:rsidP="006B70F2" w:rsidRDefault="006B70F2">
            <w:pPr>
              <w:tabs>
                <w:tab w:val="left" w:pos="284"/>
                <w:tab w:val="left" w:pos="567"/>
                <w:tab w:val="left" w:pos="851"/>
              </w:tabs>
              <w:ind w:right="-2"/>
              <w:jc w:val="center"/>
              <w:rPr>
                <w:rFonts w:ascii="Times New Roman" w:hAnsi="Times New Roman"/>
                <w:szCs w:val="20"/>
              </w:rPr>
            </w:pPr>
            <w:r w:rsidRPr="00CA5FDC">
              <w:rPr>
                <w:rFonts w:ascii="Times New Roman" w:hAnsi="Times New Roman"/>
                <w:szCs w:val="20"/>
              </w:rPr>
              <w:t>Oorspronkelijk vastgestelde begroting</w:t>
            </w:r>
          </w:p>
        </w:tc>
      </w:tr>
      <w:tr w:rsidRPr="00CA5FDC" w:rsidR="006B70F2" w:rsidTr="00CA5FDC">
        <w:tc>
          <w:tcPr>
            <w:tcW w:w="175"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800" w:type="pct"/>
            <w:shd w:val="clear" w:color="auto" w:fill="auto"/>
            <w:tcMar>
              <w:top w:w="22" w:type="dxa"/>
              <w:left w:w="28" w:type="dxa"/>
              <w:bottom w:w="22" w:type="dxa"/>
              <w:right w:w="28" w:type="dxa"/>
            </w:tcMar>
            <w:vAlign w:val="bottom"/>
          </w:tcPr>
          <w:p w:rsidRPr="00CA5FDC" w:rsidR="006B70F2" w:rsidP="00FB34D5"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Verplichtingen</w:t>
            </w:r>
          </w:p>
        </w:tc>
        <w:tc>
          <w:tcPr>
            <w:tcW w:w="719" w:type="pct"/>
            <w:shd w:val="clear" w:color="auto" w:fill="auto"/>
            <w:tcMar>
              <w:top w:w="22" w:type="dxa"/>
              <w:left w:w="28" w:type="dxa"/>
              <w:bottom w:w="22" w:type="dxa"/>
              <w:right w:w="28" w:type="dxa"/>
            </w:tcMar>
            <w:vAlign w:val="bottom"/>
          </w:tcPr>
          <w:p w:rsidRPr="00CA5FDC" w:rsidR="006B70F2" w:rsidP="00FB34D5"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Uitgaven</w:t>
            </w:r>
          </w:p>
        </w:tc>
        <w:tc>
          <w:tcPr>
            <w:tcW w:w="565" w:type="pct"/>
            <w:shd w:val="clear" w:color="auto" w:fill="auto"/>
            <w:tcMar>
              <w:top w:w="22" w:type="dxa"/>
              <w:left w:w="28" w:type="dxa"/>
              <w:bottom w:w="22" w:type="dxa"/>
              <w:right w:w="28" w:type="dxa"/>
            </w:tcMar>
            <w:vAlign w:val="bottom"/>
          </w:tcPr>
          <w:p w:rsidRPr="00CA5FDC" w:rsidR="006B70F2" w:rsidP="00FB34D5"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Ontvangsten</w:t>
            </w:r>
          </w:p>
        </w:tc>
      </w:tr>
      <w:tr w:rsidRPr="00CA5FDC" w:rsidR="006B70F2" w:rsidTr="00CA5FDC">
        <w:tc>
          <w:tcPr>
            <w:tcW w:w="175"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Totaal</w:t>
            </w:r>
          </w:p>
        </w:tc>
        <w:tc>
          <w:tcPr>
            <w:tcW w:w="800" w:type="pct"/>
            <w:shd w:val="clear" w:color="auto" w:fill="auto"/>
            <w:tcMar>
              <w:top w:w="22" w:type="dxa"/>
              <w:left w:w="28" w:type="dxa"/>
              <w:bottom w:w="22" w:type="dxa"/>
              <w:right w:w="28" w:type="dxa"/>
            </w:tcMar>
            <w:vAlign w:val="bottom"/>
          </w:tcPr>
          <w:p w:rsidRPr="00CA5FDC" w:rsidR="006B70F2" w:rsidP="00FB34D5"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25.188.576</w:t>
            </w:r>
          </w:p>
        </w:tc>
        <w:tc>
          <w:tcPr>
            <w:tcW w:w="719" w:type="pct"/>
            <w:shd w:val="clear" w:color="auto" w:fill="auto"/>
            <w:tcMar>
              <w:top w:w="22" w:type="dxa"/>
              <w:left w:w="28" w:type="dxa"/>
              <w:bottom w:w="22" w:type="dxa"/>
              <w:right w:w="28" w:type="dxa"/>
            </w:tcMar>
            <w:vAlign w:val="bottom"/>
          </w:tcPr>
          <w:p w:rsidRPr="00CA5FDC" w:rsidR="006B70F2" w:rsidP="00FB34D5"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14.154.542</w:t>
            </w:r>
          </w:p>
        </w:tc>
        <w:tc>
          <w:tcPr>
            <w:tcW w:w="565" w:type="pct"/>
            <w:shd w:val="clear" w:color="auto" w:fill="auto"/>
            <w:tcMar>
              <w:top w:w="22" w:type="dxa"/>
              <w:left w:w="28" w:type="dxa"/>
              <w:bottom w:w="22" w:type="dxa"/>
              <w:right w:w="28" w:type="dxa"/>
            </w:tcMar>
            <w:vAlign w:val="bottom"/>
          </w:tcPr>
          <w:p w:rsidRPr="00CA5FDC" w:rsidR="006B70F2" w:rsidP="00FB34D5"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201.164.293</w:t>
            </w:r>
          </w:p>
        </w:tc>
      </w:tr>
      <w:tr w:rsidRPr="00CA5FDC" w:rsidR="006B70F2" w:rsidTr="00CA5FDC">
        <w:tc>
          <w:tcPr>
            <w:tcW w:w="175"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800"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719"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565"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r>
      <w:tr w:rsidRPr="00CA5FDC" w:rsidR="006B70F2" w:rsidTr="00CA5FDC">
        <w:tc>
          <w:tcPr>
            <w:tcW w:w="175"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Beleidsartikelen</w:t>
            </w:r>
          </w:p>
        </w:tc>
        <w:tc>
          <w:tcPr>
            <w:tcW w:w="800"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719"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565"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1</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Belastingen</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3.059.245</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3.197.340</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196.089.253</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2</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Financiële markten</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1.031.101</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1.031.101</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8.459</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3</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Financieringsactiviteiten publiek-private sector</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2.411.862</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2.411.862</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1.124.850</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4</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Internationale financiële betrekkingen</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2.969.354</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595.227</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16.534</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5</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Exportkredietverzekeringen, -garanties en investeringsverzekeringen</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11"/>
              <w:rPr>
                <w:rFonts w:ascii="Times New Roman" w:hAnsi="Times New Roman" w:cs="Times New Roman"/>
                <w:sz w:val="20"/>
                <w:szCs w:val="20"/>
              </w:rPr>
            </w:pPr>
          </w:p>
          <w:p w:rsidRPr="00CA5FDC" w:rsidR="00AB218A" w:rsidP="00FB34D5" w:rsidRDefault="00AB218A">
            <w:pPr>
              <w:pStyle w:val="TableParagraph"/>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10.089.366</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11"/>
              <w:rPr>
                <w:rFonts w:ascii="Times New Roman" w:hAnsi="Times New Roman" w:cs="Times New Roman"/>
                <w:sz w:val="20"/>
                <w:szCs w:val="20"/>
              </w:rPr>
            </w:pPr>
          </w:p>
          <w:p w:rsidRPr="00CA5FDC" w:rsidR="00AB218A" w:rsidP="00FB34D5" w:rsidRDefault="00AB218A">
            <w:pPr>
              <w:pStyle w:val="TableParagraph"/>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176.366</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11"/>
              <w:jc w:val="both"/>
              <w:rPr>
                <w:rFonts w:ascii="Times New Roman" w:hAnsi="Times New Roman" w:cs="Times New Roman"/>
                <w:sz w:val="20"/>
                <w:szCs w:val="20"/>
              </w:rPr>
            </w:pPr>
          </w:p>
          <w:p w:rsidRPr="00CA5FDC" w:rsidR="00AB218A" w:rsidP="00FB34D5" w:rsidRDefault="00AB218A">
            <w:pPr>
              <w:pStyle w:val="TableParagraph"/>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109.182</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6</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Btw-Compensatiefonds</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3.760.838</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3.760.838</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3.760.838</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9</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Douane</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736.312</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736.312</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5"/>
                <w:sz w:val="20"/>
                <w:szCs w:val="20"/>
              </w:rPr>
              <w:t>605</w:t>
            </w: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13</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Toeslagen</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898.568</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1.798.176</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w w:val="101"/>
                <w:sz w:val="20"/>
                <w:szCs w:val="20"/>
              </w:rPr>
              <w:t>0</w:t>
            </w:r>
          </w:p>
        </w:tc>
      </w:tr>
      <w:tr w:rsidRPr="00CA5FDC" w:rsidR="00AB218A" w:rsidTr="00CA5FDC">
        <w:tc>
          <w:tcPr>
            <w:tcW w:w="175" w:type="pct"/>
            <w:shd w:val="clear" w:color="auto" w:fill="auto"/>
            <w:tcMar>
              <w:top w:w="22" w:type="dxa"/>
              <w:bottom w:w="22" w:type="dxa"/>
              <w:right w:w="28" w:type="dxa"/>
            </w:tcMar>
          </w:tcPr>
          <w:p w:rsidRPr="00CA5FDC" w:rsidR="00AB218A" w:rsidP="00AB218A" w:rsidRDefault="00AB218A">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tcPr>
          <w:p w:rsidRPr="00CA5FDC" w:rsidR="00AB218A" w:rsidP="00AB218A" w:rsidRDefault="00AB218A">
            <w:pPr>
              <w:tabs>
                <w:tab w:val="left" w:pos="284"/>
                <w:tab w:val="left" w:pos="567"/>
                <w:tab w:val="left" w:pos="851"/>
              </w:tabs>
              <w:ind w:right="-2"/>
              <w:rPr>
                <w:rFonts w:ascii="Times New Roman" w:hAnsi="Times New Roman"/>
                <w:szCs w:val="20"/>
              </w:rPr>
            </w:pPr>
          </w:p>
        </w:tc>
        <w:tc>
          <w:tcPr>
            <w:tcW w:w="800"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rPr>
                <w:szCs w:val="20"/>
              </w:rPr>
            </w:pPr>
          </w:p>
        </w:tc>
        <w:tc>
          <w:tcPr>
            <w:tcW w:w="719"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rPr>
                <w:szCs w:val="20"/>
              </w:rPr>
            </w:pPr>
          </w:p>
        </w:tc>
        <w:tc>
          <w:tcPr>
            <w:tcW w:w="565"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jc w:val="both"/>
              <w:rPr>
                <w:szCs w:val="20"/>
              </w:rPr>
            </w:pPr>
          </w:p>
        </w:tc>
      </w:tr>
      <w:tr w:rsidRPr="00CA5FDC" w:rsidR="00AB218A" w:rsidTr="00CA5FDC">
        <w:tc>
          <w:tcPr>
            <w:tcW w:w="175" w:type="pct"/>
            <w:shd w:val="clear" w:color="auto" w:fill="auto"/>
            <w:tcMar>
              <w:top w:w="22" w:type="dxa"/>
              <w:bottom w:w="22" w:type="dxa"/>
              <w:right w:w="28" w:type="dxa"/>
            </w:tcMar>
          </w:tcPr>
          <w:p w:rsidRPr="00CA5FDC" w:rsidR="00AB218A" w:rsidP="00AB218A" w:rsidRDefault="00AB218A">
            <w:pPr>
              <w:tabs>
                <w:tab w:val="left" w:pos="284"/>
                <w:tab w:val="left" w:pos="567"/>
                <w:tab w:val="left" w:pos="851"/>
              </w:tabs>
              <w:ind w:right="-2"/>
              <w:rPr>
                <w:rFonts w:ascii="Times New Roman" w:hAnsi="Times New Roman"/>
                <w:szCs w:val="20"/>
              </w:rPr>
            </w:pP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b/>
                <w:szCs w:val="20"/>
              </w:rPr>
              <w:t>Niet-beleidsartikelen</w:t>
            </w:r>
          </w:p>
        </w:tc>
        <w:tc>
          <w:tcPr>
            <w:tcW w:w="800"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rPr>
                <w:szCs w:val="20"/>
              </w:rPr>
            </w:pPr>
          </w:p>
        </w:tc>
        <w:tc>
          <w:tcPr>
            <w:tcW w:w="719"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rPr>
                <w:szCs w:val="20"/>
              </w:rPr>
            </w:pPr>
          </w:p>
        </w:tc>
        <w:tc>
          <w:tcPr>
            <w:tcW w:w="565" w:type="pct"/>
            <w:shd w:val="clear" w:color="auto" w:fill="auto"/>
            <w:tcMar>
              <w:top w:w="22" w:type="dxa"/>
              <w:left w:w="28" w:type="dxa"/>
              <w:bottom w:w="22" w:type="dxa"/>
              <w:right w:w="28" w:type="dxa"/>
            </w:tcMar>
          </w:tcPr>
          <w:p w:rsidRPr="00CA5FDC" w:rsidR="00AB218A" w:rsidP="00FB34D5" w:rsidRDefault="00AB218A">
            <w:pPr>
              <w:tabs>
                <w:tab w:val="left" w:pos="284"/>
                <w:tab w:val="left" w:pos="567"/>
                <w:tab w:val="left" w:pos="851"/>
              </w:tabs>
              <w:ind w:right="-2"/>
              <w:jc w:val="both"/>
              <w:rPr>
                <w:szCs w:val="20"/>
              </w:rPr>
            </w:pPr>
          </w:p>
        </w:tc>
      </w:tr>
      <w:tr w:rsidRPr="00CA5FDC" w:rsidR="00AB218A" w:rsidTr="00CA5FDC">
        <w:tc>
          <w:tcPr>
            <w:tcW w:w="175" w:type="pct"/>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8</w:t>
            </w:r>
          </w:p>
        </w:tc>
        <w:tc>
          <w:tcPr>
            <w:tcW w:w="2742" w:type="pct"/>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Apparaat</w:t>
            </w:r>
          </w:p>
        </w:tc>
        <w:tc>
          <w:tcPr>
            <w:tcW w:w="800"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374.166</w:t>
            </w:r>
          </w:p>
        </w:tc>
        <w:tc>
          <w:tcPr>
            <w:tcW w:w="719"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374.166</w:t>
            </w:r>
          </w:p>
        </w:tc>
        <w:tc>
          <w:tcPr>
            <w:tcW w:w="565" w:type="pct"/>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spacing w:val="-2"/>
                <w:sz w:val="20"/>
                <w:szCs w:val="20"/>
              </w:rPr>
              <w:t>54.572</w:t>
            </w:r>
          </w:p>
        </w:tc>
      </w:tr>
      <w:tr w:rsidRPr="00CA5FDC" w:rsidR="00AB218A" w:rsidTr="00CA5FDC">
        <w:tc>
          <w:tcPr>
            <w:tcW w:w="175" w:type="pct"/>
            <w:tcBorders>
              <w:bottom w:val="single" w:color="009EE0" w:sz="2" w:space="0"/>
            </w:tcBorders>
            <w:shd w:val="clear" w:color="auto" w:fill="auto"/>
            <w:tcMar>
              <w:top w:w="22"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10</w:t>
            </w:r>
          </w:p>
        </w:tc>
        <w:tc>
          <w:tcPr>
            <w:tcW w:w="2742" w:type="pct"/>
            <w:tcBorders>
              <w:bottom w:val="single" w:color="009EE0" w:sz="2" w:space="0"/>
            </w:tcBorders>
            <w:shd w:val="clear" w:color="auto" w:fill="auto"/>
            <w:tcMar>
              <w:top w:w="22" w:type="dxa"/>
              <w:left w:w="28" w:type="dxa"/>
              <w:bottom w:w="22" w:type="dxa"/>
              <w:right w:w="28" w:type="dxa"/>
            </w:tcMar>
            <w:vAlign w:val="bottom"/>
          </w:tcPr>
          <w:p w:rsidRPr="00CA5FDC" w:rsidR="00AB218A" w:rsidP="00AB218A" w:rsidRDefault="00AB218A">
            <w:pPr>
              <w:tabs>
                <w:tab w:val="left" w:pos="284"/>
                <w:tab w:val="left" w:pos="567"/>
                <w:tab w:val="left" w:pos="851"/>
              </w:tabs>
              <w:ind w:right="-2"/>
              <w:rPr>
                <w:rFonts w:ascii="Times New Roman" w:hAnsi="Times New Roman"/>
                <w:szCs w:val="20"/>
              </w:rPr>
            </w:pPr>
            <w:r w:rsidRPr="00CA5FDC">
              <w:rPr>
                <w:rFonts w:ascii="Times New Roman" w:hAnsi="Times New Roman"/>
                <w:szCs w:val="20"/>
              </w:rPr>
              <w:t>Nog onverdeeld</w:t>
            </w:r>
          </w:p>
        </w:tc>
        <w:tc>
          <w:tcPr>
            <w:tcW w:w="800" w:type="pct"/>
            <w:tcBorders>
              <w:bottom w:val="single" w:color="009EE0" w:sz="2" w:space="0"/>
            </w:tcBorders>
            <w:shd w:val="clear" w:color="auto" w:fill="auto"/>
            <w:tcMar>
              <w:top w:w="22" w:type="dxa"/>
              <w:left w:w="28" w:type="dxa"/>
              <w:bottom w:w="22" w:type="dxa"/>
              <w:right w:w="28" w:type="dxa"/>
            </w:tcMar>
          </w:tcPr>
          <w:p w:rsidRPr="00CA5FDC" w:rsidR="00AB218A" w:rsidP="00FB34D5" w:rsidRDefault="00AB218A">
            <w:pPr>
              <w:pStyle w:val="TableParagraph"/>
              <w:spacing w:before="22"/>
              <w:ind w:right="687"/>
              <w:rPr>
                <w:rFonts w:ascii="Times New Roman" w:hAnsi="Times New Roman" w:cs="Times New Roman"/>
                <w:sz w:val="20"/>
                <w:szCs w:val="20"/>
              </w:rPr>
            </w:pPr>
            <w:r w:rsidRPr="00CA5FDC">
              <w:rPr>
                <w:rFonts w:ascii="Times New Roman" w:hAnsi="Times New Roman" w:cs="Times New Roman"/>
                <w:color w:val="231F20"/>
                <w:spacing w:val="-2"/>
                <w:sz w:val="20"/>
                <w:szCs w:val="20"/>
              </w:rPr>
              <w:t>98.154</w:t>
            </w:r>
          </w:p>
        </w:tc>
        <w:tc>
          <w:tcPr>
            <w:tcW w:w="719" w:type="pct"/>
            <w:tcBorders>
              <w:bottom w:val="single" w:color="009EE0" w:sz="2" w:space="0"/>
            </w:tcBorders>
            <w:shd w:val="clear" w:color="auto" w:fill="auto"/>
            <w:tcMar>
              <w:top w:w="22" w:type="dxa"/>
              <w:left w:w="28" w:type="dxa"/>
              <w:bottom w:w="22" w:type="dxa"/>
              <w:right w:w="28" w:type="dxa"/>
            </w:tcMar>
          </w:tcPr>
          <w:p w:rsidRPr="00CA5FDC" w:rsidR="00AB218A" w:rsidP="00FB34D5" w:rsidRDefault="00AB218A">
            <w:pPr>
              <w:pStyle w:val="TableParagraph"/>
              <w:spacing w:before="22"/>
              <w:ind w:right="621"/>
              <w:rPr>
                <w:rFonts w:ascii="Times New Roman" w:hAnsi="Times New Roman" w:cs="Times New Roman"/>
                <w:sz w:val="20"/>
                <w:szCs w:val="20"/>
              </w:rPr>
            </w:pPr>
            <w:r w:rsidRPr="00CA5FDC">
              <w:rPr>
                <w:rFonts w:ascii="Times New Roman" w:hAnsi="Times New Roman" w:cs="Times New Roman"/>
                <w:color w:val="231F20"/>
                <w:spacing w:val="-2"/>
                <w:sz w:val="20"/>
                <w:szCs w:val="20"/>
              </w:rPr>
              <w:t>98.154</w:t>
            </w:r>
          </w:p>
        </w:tc>
        <w:tc>
          <w:tcPr>
            <w:tcW w:w="565" w:type="pct"/>
            <w:tcBorders>
              <w:bottom w:val="single" w:color="009EE0" w:sz="2" w:space="0"/>
            </w:tcBorders>
            <w:shd w:val="clear" w:color="auto" w:fill="auto"/>
            <w:tcMar>
              <w:top w:w="22" w:type="dxa"/>
              <w:left w:w="28" w:type="dxa"/>
              <w:bottom w:w="22" w:type="dxa"/>
              <w:right w:w="28" w:type="dxa"/>
            </w:tcMar>
          </w:tcPr>
          <w:p w:rsidRPr="00CA5FDC" w:rsidR="00AB218A" w:rsidP="00FB34D5" w:rsidRDefault="00AB218A">
            <w:pPr>
              <w:pStyle w:val="TableParagraph"/>
              <w:spacing w:before="22"/>
              <w:ind w:right="1"/>
              <w:jc w:val="both"/>
              <w:rPr>
                <w:rFonts w:ascii="Times New Roman" w:hAnsi="Times New Roman" w:cs="Times New Roman"/>
                <w:sz w:val="20"/>
                <w:szCs w:val="20"/>
              </w:rPr>
            </w:pPr>
            <w:r w:rsidRPr="00CA5FDC">
              <w:rPr>
                <w:rFonts w:ascii="Times New Roman" w:hAnsi="Times New Roman" w:cs="Times New Roman"/>
                <w:color w:val="231F20"/>
                <w:w w:val="101"/>
                <w:sz w:val="20"/>
                <w:szCs w:val="20"/>
              </w:rPr>
              <w:t>0</w:t>
            </w:r>
          </w:p>
        </w:tc>
      </w:tr>
    </w:tbl>
    <w:p w:rsidR="006B70F2" w:rsidP="006B70F2" w:rsidRDefault="006B70F2">
      <w:pPr>
        <w:tabs>
          <w:tab w:val="left" w:pos="284"/>
          <w:tab w:val="left" w:pos="567"/>
          <w:tab w:val="left" w:pos="851"/>
        </w:tabs>
        <w:ind w:right="-2"/>
        <w:rPr>
          <w:rFonts w:ascii="Times New Roman" w:hAnsi="Times New Roman"/>
          <w:sz w:val="24"/>
          <w:szCs w:val="20"/>
        </w:rPr>
      </w:pPr>
    </w:p>
    <w:p w:rsidR="00CA5FDC" w:rsidP="006B70F2" w:rsidRDefault="00CA5FDC">
      <w:pPr>
        <w:tabs>
          <w:tab w:val="left" w:pos="284"/>
          <w:tab w:val="left" w:pos="567"/>
          <w:tab w:val="left" w:pos="851"/>
        </w:tabs>
        <w:ind w:right="-2"/>
        <w:rPr>
          <w:rFonts w:ascii="Times New Roman" w:hAnsi="Times New Roman"/>
          <w:sz w:val="24"/>
          <w:szCs w:val="20"/>
        </w:rPr>
      </w:pPr>
    </w:p>
    <w:p w:rsidR="00CA5FDC" w:rsidP="006B70F2" w:rsidRDefault="00CA5FDC">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829"/>
        <w:gridCol w:w="5038"/>
        <w:gridCol w:w="3164"/>
        <w:gridCol w:w="2260"/>
        <w:gridCol w:w="2711"/>
      </w:tblGrid>
      <w:tr w:rsidRPr="00CA5FDC" w:rsidR="006B70F2" w:rsidTr="006B70F2">
        <w:trPr>
          <w:tblHeader/>
        </w:trPr>
        <w:tc>
          <w:tcPr>
            <w:tcW w:w="5000" w:type="pct"/>
            <w:gridSpan w:val="5"/>
            <w:shd w:val="clear" w:color="auto" w:fill="009EE0"/>
            <w:tcMar>
              <w:top w:w="22" w:type="dxa"/>
              <w:left w:w="113" w:type="dxa"/>
              <w:bottom w:w="22" w:type="dxa"/>
            </w:tcMar>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lastRenderedPageBreak/>
              <w:t>Vastgestelde begrotingsstaat van Nationale Schuld (IXA) voor het jaar 2023 (bedragen x € 1.000)</w:t>
            </w:r>
          </w:p>
        </w:tc>
      </w:tr>
      <w:tr w:rsidRPr="00CA5FDC" w:rsidR="006B70F2" w:rsidTr="006B70F2">
        <w:trPr>
          <w:tblHeader/>
        </w:trPr>
        <w:tc>
          <w:tcPr>
            <w:tcW w:w="296" w:type="pct"/>
            <w:tcBorders>
              <w:top w:val="single" w:color="000000" w:sz="2" w:space="0"/>
              <w:bottom w:val="single" w:color="009EE0" w:sz="2" w:space="0"/>
            </w:tcBorders>
            <w:shd w:val="clear" w:color="auto" w:fill="auto"/>
            <w:tcMar>
              <w:top w:w="28" w:type="dxa"/>
              <w:bottom w:w="28"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Art.</w:t>
            </w:r>
          </w:p>
        </w:tc>
        <w:tc>
          <w:tcPr>
            <w:tcW w:w="1799"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Omschrijving</w:t>
            </w:r>
          </w:p>
        </w:tc>
        <w:tc>
          <w:tcPr>
            <w:tcW w:w="2905"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A5FDC" w:rsidR="006B70F2" w:rsidP="006B70F2" w:rsidRDefault="006B70F2">
            <w:pPr>
              <w:tabs>
                <w:tab w:val="left" w:pos="284"/>
                <w:tab w:val="left" w:pos="567"/>
                <w:tab w:val="left" w:pos="851"/>
              </w:tabs>
              <w:ind w:right="-2"/>
              <w:jc w:val="center"/>
              <w:rPr>
                <w:rFonts w:ascii="Times New Roman" w:hAnsi="Times New Roman"/>
                <w:szCs w:val="20"/>
              </w:rPr>
            </w:pPr>
            <w:r w:rsidRPr="00CA5FDC">
              <w:rPr>
                <w:rFonts w:ascii="Times New Roman" w:hAnsi="Times New Roman"/>
                <w:szCs w:val="20"/>
              </w:rPr>
              <w:t>Oorspronkelijk vastgestelde begroting</w:t>
            </w:r>
          </w:p>
        </w:tc>
      </w:tr>
      <w:tr w:rsidRPr="00CA5FDC" w:rsidR="006B70F2" w:rsidTr="006B70F2">
        <w:tc>
          <w:tcPr>
            <w:tcW w:w="296"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799"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130"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Verplichtingen</w:t>
            </w:r>
          </w:p>
        </w:tc>
        <w:tc>
          <w:tcPr>
            <w:tcW w:w="807"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Uitgaven</w:t>
            </w:r>
          </w:p>
        </w:tc>
        <w:tc>
          <w:tcPr>
            <w:tcW w:w="968"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Ontvangsten</w:t>
            </w:r>
          </w:p>
        </w:tc>
      </w:tr>
      <w:tr w:rsidRPr="00CA5FDC" w:rsidR="006B70F2" w:rsidTr="006B70F2">
        <w:tc>
          <w:tcPr>
            <w:tcW w:w="296"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799"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Totaal</w:t>
            </w:r>
          </w:p>
        </w:tc>
        <w:tc>
          <w:tcPr>
            <w:tcW w:w="1130"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38.885.297</w:t>
            </w:r>
          </w:p>
        </w:tc>
        <w:tc>
          <w:tcPr>
            <w:tcW w:w="807"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38.885.297</w:t>
            </w:r>
          </w:p>
        </w:tc>
        <w:tc>
          <w:tcPr>
            <w:tcW w:w="968"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b/>
                <w:szCs w:val="20"/>
              </w:rPr>
              <w:t>69.374.958</w:t>
            </w:r>
          </w:p>
        </w:tc>
      </w:tr>
      <w:tr w:rsidRPr="00CA5FDC" w:rsidR="006B70F2" w:rsidTr="006B70F2">
        <w:tc>
          <w:tcPr>
            <w:tcW w:w="296"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799"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130"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807"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968"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r>
      <w:tr w:rsidRPr="00CA5FDC" w:rsidR="006B70F2" w:rsidTr="006B70F2">
        <w:tc>
          <w:tcPr>
            <w:tcW w:w="296" w:type="pct"/>
            <w:shd w:val="clear" w:color="auto" w:fill="auto"/>
            <w:tcMar>
              <w:top w:w="22" w:type="dxa"/>
              <w:bottom w:w="22" w:type="dxa"/>
              <w:right w:w="28" w:type="dxa"/>
            </w:tcMar>
          </w:tcPr>
          <w:p w:rsidRPr="00CA5FDC" w:rsidR="006B70F2" w:rsidP="006B70F2" w:rsidRDefault="006B70F2">
            <w:pPr>
              <w:tabs>
                <w:tab w:val="left" w:pos="284"/>
                <w:tab w:val="left" w:pos="567"/>
                <w:tab w:val="left" w:pos="851"/>
              </w:tabs>
              <w:ind w:right="-2"/>
              <w:rPr>
                <w:rFonts w:ascii="Times New Roman" w:hAnsi="Times New Roman"/>
                <w:szCs w:val="20"/>
              </w:rPr>
            </w:pPr>
          </w:p>
        </w:tc>
        <w:tc>
          <w:tcPr>
            <w:tcW w:w="1799"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b/>
                <w:szCs w:val="20"/>
              </w:rPr>
              <w:t>Beleidsartikelen</w:t>
            </w:r>
          </w:p>
        </w:tc>
        <w:tc>
          <w:tcPr>
            <w:tcW w:w="1130"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807"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c>
          <w:tcPr>
            <w:tcW w:w="968" w:type="pct"/>
            <w:shd w:val="clear" w:color="auto" w:fill="auto"/>
            <w:tcMar>
              <w:top w:w="22" w:type="dxa"/>
              <w:left w:w="28" w:type="dxa"/>
              <w:bottom w:w="22" w:type="dxa"/>
              <w:right w:w="28" w:type="dxa"/>
            </w:tcMar>
          </w:tcPr>
          <w:p w:rsidRPr="00CA5FDC" w:rsidR="006B70F2" w:rsidP="006B70F2" w:rsidRDefault="006B70F2">
            <w:pPr>
              <w:tabs>
                <w:tab w:val="left" w:pos="284"/>
                <w:tab w:val="left" w:pos="567"/>
                <w:tab w:val="left" w:pos="851"/>
              </w:tabs>
              <w:ind w:right="-2"/>
              <w:jc w:val="right"/>
              <w:rPr>
                <w:rFonts w:ascii="Times New Roman" w:hAnsi="Times New Roman"/>
                <w:szCs w:val="20"/>
              </w:rPr>
            </w:pPr>
          </w:p>
        </w:tc>
      </w:tr>
      <w:tr w:rsidRPr="00CA5FDC" w:rsidR="006B70F2" w:rsidTr="006B70F2">
        <w:tc>
          <w:tcPr>
            <w:tcW w:w="296" w:type="pct"/>
            <w:shd w:val="clear" w:color="auto" w:fill="auto"/>
            <w:tcMar>
              <w:top w:w="22"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11</w:t>
            </w:r>
          </w:p>
        </w:tc>
        <w:tc>
          <w:tcPr>
            <w:tcW w:w="1799"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Financiering Staatsschuld</w:t>
            </w:r>
          </w:p>
        </w:tc>
        <w:tc>
          <w:tcPr>
            <w:tcW w:w="1130"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36.165.977</w:t>
            </w:r>
          </w:p>
        </w:tc>
        <w:tc>
          <w:tcPr>
            <w:tcW w:w="807"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36.165.977</w:t>
            </w:r>
          </w:p>
        </w:tc>
        <w:tc>
          <w:tcPr>
            <w:tcW w:w="968" w:type="pct"/>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58.125.953</w:t>
            </w:r>
          </w:p>
        </w:tc>
      </w:tr>
      <w:tr w:rsidRPr="00CA5FDC" w:rsidR="006B70F2" w:rsidTr="006B70F2">
        <w:tc>
          <w:tcPr>
            <w:tcW w:w="296" w:type="pct"/>
            <w:tcBorders>
              <w:bottom w:val="single" w:color="009EE0" w:sz="2" w:space="0"/>
            </w:tcBorders>
            <w:shd w:val="clear" w:color="auto" w:fill="auto"/>
            <w:tcMar>
              <w:top w:w="22"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12</w:t>
            </w:r>
          </w:p>
        </w:tc>
        <w:tc>
          <w:tcPr>
            <w:tcW w:w="1799" w:type="pct"/>
            <w:tcBorders>
              <w:bottom w:val="single" w:color="009EE0" w:sz="2" w:space="0"/>
            </w:tcBorders>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rPr>
                <w:rFonts w:ascii="Times New Roman" w:hAnsi="Times New Roman"/>
                <w:szCs w:val="20"/>
              </w:rPr>
            </w:pPr>
            <w:r w:rsidRPr="00CA5FDC">
              <w:rPr>
                <w:rFonts w:ascii="Times New Roman" w:hAnsi="Times New Roman"/>
                <w:szCs w:val="20"/>
              </w:rPr>
              <w:t>Kasbeheer</w:t>
            </w:r>
          </w:p>
        </w:tc>
        <w:tc>
          <w:tcPr>
            <w:tcW w:w="1130" w:type="pct"/>
            <w:tcBorders>
              <w:bottom w:val="single" w:color="009EE0" w:sz="2" w:space="0"/>
            </w:tcBorders>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2.719.320</w:t>
            </w:r>
          </w:p>
        </w:tc>
        <w:tc>
          <w:tcPr>
            <w:tcW w:w="807" w:type="pct"/>
            <w:tcBorders>
              <w:bottom w:val="single" w:color="009EE0" w:sz="2" w:space="0"/>
            </w:tcBorders>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2.719.320</w:t>
            </w:r>
          </w:p>
        </w:tc>
        <w:tc>
          <w:tcPr>
            <w:tcW w:w="968" w:type="pct"/>
            <w:tcBorders>
              <w:bottom w:val="single" w:color="009EE0" w:sz="2" w:space="0"/>
            </w:tcBorders>
            <w:shd w:val="clear" w:color="auto" w:fill="auto"/>
            <w:tcMar>
              <w:top w:w="22" w:type="dxa"/>
              <w:left w:w="28" w:type="dxa"/>
              <w:bottom w:w="22" w:type="dxa"/>
              <w:right w:w="28" w:type="dxa"/>
            </w:tcMar>
            <w:vAlign w:val="bottom"/>
          </w:tcPr>
          <w:p w:rsidRPr="00CA5FDC" w:rsidR="006B70F2" w:rsidP="006B70F2" w:rsidRDefault="006B70F2">
            <w:pPr>
              <w:tabs>
                <w:tab w:val="left" w:pos="284"/>
                <w:tab w:val="left" w:pos="567"/>
                <w:tab w:val="left" w:pos="851"/>
              </w:tabs>
              <w:ind w:right="-2"/>
              <w:jc w:val="right"/>
              <w:rPr>
                <w:rFonts w:ascii="Times New Roman" w:hAnsi="Times New Roman"/>
                <w:szCs w:val="20"/>
              </w:rPr>
            </w:pPr>
            <w:r w:rsidRPr="00CA5FDC">
              <w:rPr>
                <w:rFonts w:ascii="Times New Roman" w:hAnsi="Times New Roman"/>
                <w:szCs w:val="20"/>
              </w:rPr>
              <w:t>11.249.005</w:t>
            </w:r>
          </w:p>
        </w:tc>
      </w:tr>
    </w:tbl>
    <w:p w:rsidRPr="002168F4" w:rsidR="006B70F2" w:rsidP="006B70F2" w:rsidRDefault="006B70F2">
      <w:pPr>
        <w:tabs>
          <w:tab w:val="left" w:pos="284"/>
          <w:tab w:val="left" w:pos="567"/>
          <w:tab w:val="left" w:pos="851"/>
        </w:tabs>
        <w:ind w:right="-2"/>
        <w:rPr>
          <w:rFonts w:ascii="Times New Roman" w:hAnsi="Times New Roman"/>
          <w:sz w:val="24"/>
          <w:szCs w:val="20"/>
        </w:rPr>
      </w:pPr>
    </w:p>
    <w:sectPr w:rsidRPr="002168F4" w:rsidR="006B70F2" w:rsidSect="006B70F2">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0F2" w:rsidRDefault="006B70F2">
      <w:pPr>
        <w:spacing w:line="20" w:lineRule="exact"/>
      </w:pPr>
    </w:p>
  </w:endnote>
  <w:endnote w:type="continuationSeparator" w:id="0">
    <w:p w:rsidR="006B70F2" w:rsidRDefault="006B70F2">
      <w:pPr>
        <w:pStyle w:val="Amendement"/>
      </w:pPr>
      <w:r>
        <w:rPr>
          <w:b w:val="0"/>
          <w:bCs w:val="0"/>
        </w:rPr>
        <w:t xml:space="preserve"> </w:t>
      </w:r>
    </w:p>
  </w:endnote>
  <w:endnote w:type="continuationNotice" w:id="1">
    <w:p w:rsidR="006B70F2" w:rsidRDefault="006B70F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07922">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0F2" w:rsidRDefault="006B70F2">
      <w:pPr>
        <w:pStyle w:val="Amendement"/>
      </w:pPr>
      <w:r>
        <w:rPr>
          <w:b w:val="0"/>
          <w:bCs w:val="0"/>
        </w:rPr>
        <w:separator/>
      </w:r>
    </w:p>
  </w:footnote>
  <w:footnote w:type="continuationSeparator" w:id="0">
    <w:p w:rsidR="006B70F2" w:rsidRDefault="006B7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0F2"/>
    <w:rsid w:val="00012DBE"/>
    <w:rsid w:val="000960A1"/>
    <w:rsid w:val="000A1D81"/>
    <w:rsid w:val="00111ED3"/>
    <w:rsid w:val="00137255"/>
    <w:rsid w:val="0017376C"/>
    <w:rsid w:val="001C190E"/>
    <w:rsid w:val="002168F4"/>
    <w:rsid w:val="002A6E13"/>
    <w:rsid w:val="002A727C"/>
    <w:rsid w:val="00445458"/>
    <w:rsid w:val="00475119"/>
    <w:rsid w:val="005D2707"/>
    <w:rsid w:val="005D2D95"/>
    <w:rsid w:val="00606255"/>
    <w:rsid w:val="006B607A"/>
    <w:rsid w:val="006B70F2"/>
    <w:rsid w:val="007D451C"/>
    <w:rsid w:val="00826224"/>
    <w:rsid w:val="00847617"/>
    <w:rsid w:val="00930A23"/>
    <w:rsid w:val="00946BD7"/>
    <w:rsid w:val="009C7354"/>
    <w:rsid w:val="009E6D7F"/>
    <w:rsid w:val="00A11E73"/>
    <w:rsid w:val="00A2521E"/>
    <w:rsid w:val="00AB218A"/>
    <w:rsid w:val="00AB2A6F"/>
    <w:rsid w:val="00AE436A"/>
    <w:rsid w:val="00C135B1"/>
    <w:rsid w:val="00C92DF8"/>
    <w:rsid w:val="00CA5FDC"/>
    <w:rsid w:val="00CB3578"/>
    <w:rsid w:val="00D07922"/>
    <w:rsid w:val="00D20AFA"/>
    <w:rsid w:val="00D55648"/>
    <w:rsid w:val="00E16443"/>
    <w:rsid w:val="00E36EE9"/>
    <w:rsid w:val="00E43FAE"/>
    <w:rsid w:val="00E70A51"/>
    <w:rsid w:val="00F13442"/>
    <w:rsid w:val="00F956D4"/>
    <w:rsid w:val="00FB34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CA267"/>
  <w15:docId w15:val="{F4059758-68E1-4233-9134-79D6FA39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TableParagraph">
    <w:name w:val="Table Paragraph"/>
    <w:basedOn w:val="Standaard"/>
    <w:uiPriority w:val="1"/>
    <w:qFormat/>
    <w:rsid w:val="00AB218A"/>
    <w:pPr>
      <w:widowControl w:val="0"/>
      <w:autoSpaceDE w:val="0"/>
      <w:autoSpaceDN w:val="0"/>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414</ap:Words>
  <ap:Characters>2654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2022-09-21T08:35:00.0000000Z</dcterms:created>
  <dcterms:modified xsi:type="dcterms:W3CDTF">2022-11-16T09:56:00.0000000Z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