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60A" w:rsidP="00DD160A" w:rsidRDefault="00DD160A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Heij, Jacco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2 november 2022 15:17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EZK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CC:</w:t>
      </w:r>
      <w:r>
        <w:rPr>
          <w:rFonts w:eastAsia="Times New Roman"/>
          <w:lang w:eastAsia="nl-NL"/>
        </w:rPr>
        <w:t xml:space="preserve"> Amhaouc</w:t>
      </w:r>
      <w:r>
        <w:rPr>
          <w:rFonts w:eastAsia="Times New Roman"/>
          <w:lang w:eastAsia="nl-NL"/>
        </w:rPr>
        <w:t>h, M.</w:t>
      </w:r>
      <w:r>
        <w:rPr>
          <w:rFonts w:eastAsia="Times New Roman"/>
          <w:lang w:eastAsia="nl-NL"/>
        </w:rPr>
        <w:t>; Bo</w:t>
      </w:r>
      <w:r>
        <w:rPr>
          <w:rFonts w:eastAsia="Times New Roman"/>
          <w:lang w:eastAsia="nl-NL"/>
        </w:rPr>
        <w:t>ntenbal, H. (Henri)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Verzoek e-mailprocedure</w:t>
      </w:r>
    </w:p>
    <w:p w:rsidR="00DD160A" w:rsidP="00DD160A" w:rsidRDefault="00DD160A"/>
    <w:p w:rsidR="00DD160A" w:rsidP="00DD160A" w:rsidRDefault="00DD160A">
      <w:r>
        <w:t>Geachte griffie,</w:t>
      </w:r>
    </w:p>
    <w:p w:rsidR="00DD160A" w:rsidP="00DD160A" w:rsidRDefault="00DD160A"/>
    <w:p w:rsidR="00DD160A" w:rsidP="00DD160A" w:rsidRDefault="00DD160A">
      <w:r>
        <w:t>Via deze weg wil ik graag het verzoek van de leden Amhaouch en Bontenbal (CDA) bij u onder de aandacht brengen:</w:t>
      </w:r>
    </w:p>
    <w:p w:rsidR="00DD160A" w:rsidP="00DD160A" w:rsidRDefault="00DD160A"/>
    <w:p w:rsidR="00DD160A" w:rsidP="00DD160A" w:rsidRDefault="00DD160A">
      <w:r>
        <w:t>Geachte griffie,</w:t>
      </w:r>
    </w:p>
    <w:p w:rsidR="00DD160A" w:rsidP="00DD160A" w:rsidRDefault="00DD160A"/>
    <w:p w:rsidR="00DD160A" w:rsidP="00DD160A" w:rsidRDefault="00DD160A">
      <w:r>
        <w:t xml:space="preserve">Graag willen de leden Amhaouch en Bontenbal (CDA) het verzoek doen om namens de commissie de minister te verzoeken om uiterlijk maandag 6 november de onderbouwing van de berekeningen en aannames over het aantal bedrijven dat volgens de kamerbrief van 28 oktober onder de TEK-regeling valt naar de Kamer te sturen. Dit ten eerste in verband met het commissiedebat/notaoverleg van 10 november </w:t>
      </w:r>
      <w:proofErr w:type="spellStart"/>
      <w:r>
        <w:t>a.s</w:t>
      </w:r>
      <w:proofErr w:type="spellEnd"/>
      <w:r>
        <w:t xml:space="preserve"> over het Prijsplafond Energie, waarbij ook de brieven over de TEK-regeling betrokken worden, en ten tweede in verband met de berichten dat veel energie-intensieve MKB-bedrijven niet in aanmerking lijken te komen voor de regeling. </w:t>
      </w:r>
    </w:p>
    <w:p w:rsidR="00DD160A" w:rsidP="00DD160A" w:rsidRDefault="00DD160A"/>
    <w:p w:rsidR="00DD160A" w:rsidP="00DD160A" w:rsidRDefault="00DD160A">
      <w:r>
        <w:t>Specifiek zien wij graag dat de volgende aanvullende informatie over de brief van 28 oktober jl. naar de Kamer wordt gestuurd:</w:t>
      </w:r>
    </w:p>
    <w:p w:rsidR="00DD160A" w:rsidP="00DD160A" w:rsidRDefault="00DD160A">
      <w:pPr>
        <w:pStyle w:val="Lijstalinea"/>
        <w:numPr>
          <w:ilvl w:val="0"/>
          <w:numId w:val="1"/>
        </w:numPr>
      </w:pPr>
      <w:r>
        <w:t>De onderbouwing en berekeningen die hebben geleid tot de twee aannames die zijn gedaan om de energie-intensiteit van bedrijven vast te stellen:</w:t>
      </w:r>
    </w:p>
    <w:p w:rsidR="00DD160A" w:rsidP="00DD160A" w:rsidRDefault="00DD160A">
      <w:pPr>
        <w:pStyle w:val="Lijstalinea"/>
        <w:numPr>
          <w:ilvl w:val="1"/>
          <w:numId w:val="2"/>
        </w:numPr>
      </w:pPr>
      <w:r>
        <w:t>“De energiekosten van bedrijven zijn van 2019 t/m 2022 naar schatting met minimaal 800% gestegen. Het beeld dat de energieprijzen sterk stijgen komt ook naar voren in de Macro Economische Verkenning van het CPB4;”</w:t>
      </w:r>
    </w:p>
    <w:p w:rsidR="00DD160A" w:rsidP="00DD160A" w:rsidRDefault="00DD160A">
      <w:pPr>
        <w:pStyle w:val="Lijstalinea"/>
        <w:numPr>
          <w:ilvl w:val="1"/>
          <w:numId w:val="2"/>
        </w:numPr>
      </w:pPr>
      <w:r>
        <w:t>“volgens CBS-cijfers zijn de omzet- en bedrijfskosten (exclusief energiekosten) van bedrijven van 2019 t/m 2022 met gemiddeld 8,5% gestegen;”</w:t>
      </w:r>
    </w:p>
    <w:p w:rsidR="00DD160A" w:rsidP="00DD160A" w:rsidRDefault="00DD160A">
      <w:pPr>
        <w:pStyle w:val="Lijstalinea"/>
        <w:numPr>
          <w:ilvl w:val="0"/>
          <w:numId w:val="2"/>
        </w:numPr>
      </w:pPr>
      <w:r>
        <w:t xml:space="preserve">De microdataset van het CBS voor specifiek de bakkers (SBI 107) als meest representatieve en zichtbare groep energie-intensieve MKB-bedrijven, en de </w:t>
      </w:r>
      <w:r>
        <w:rPr>
          <w:color w:val="000000"/>
          <w:u w:val="single"/>
        </w:rPr>
        <w:t>complete</w:t>
      </w:r>
      <w:r>
        <w:rPr>
          <w:color w:val="000000"/>
        </w:rPr>
        <w:t xml:space="preserve"> </w:t>
      </w:r>
      <w:r>
        <w:t>berekeningen die hebben geleid tot de percentages van 84% respectievelijk 91% (zie tabel 1) van het aantal bakkers dat boven de verbruiksdrempel komt.</w:t>
      </w:r>
    </w:p>
    <w:p w:rsidR="00DD160A" w:rsidP="00DD160A" w:rsidRDefault="00DD160A"/>
    <w:p w:rsidR="00DD160A" w:rsidP="00DD160A" w:rsidRDefault="00DD160A">
      <w:r>
        <w:t>Met vriendelijke groet,</w:t>
      </w:r>
    </w:p>
    <w:p w:rsidR="00DD160A" w:rsidP="00DD160A" w:rsidRDefault="00DD160A">
      <w:r>
        <w:t>Mustafa Amhaouch (CDA)</w:t>
      </w:r>
    </w:p>
    <w:p w:rsidR="00DD160A" w:rsidP="00DD160A" w:rsidRDefault="00DD160A">
      <w:r>
        <w:t>Henri Bontenbal (CDA)</w:t>
      </w:r>
    </w:p>
    <w:p w:rsidR="00DD160A" w:rsidP="00DD160A" w:rsidRDefault="00DD160A"/>
    <w:p w:rsidR="00DD160A" w:rsidP="00DD160A" w:rsidRDefault="00DD160A">
      <w:pPr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DD160A" w:rsidP="00DD160A" w:rsidRDefault="00DD160A">
      <w:pPr>
        <w:rPr>
          <w:color w:val="1F497D"/>
          <w:lang w:eastAsia="nl-NL"/>
        </w:rPr>
      </w:pPr>
    </w:p>
    <w:p w:rsidR="00DD160A" w:rsidP="00DD160A" w:rsidRDefault="00DD160A">
      <w:pPr>
        <w:rPr>
          <w:color w:val="1F497D"/>
          <w:lang w:eastAsia="nl-NL"/>
        </w:rPr>
      </w:pPr>
      <w:r>
        <w:rPr>
          <w:color w:val="1F497D"/>
          <w:lang w:eastAsia="nl-NL"/>
        </w:rPr>
        <w:t>Jacco Heij</w:t>
      </w:r>
    </w:p>
    <w:p w:rsidR="00DD160A" w:rsidP="00DD160A" w:rsidRDefault="00DD160A">
      <w:pPr>
        <w:rPr>
          <w:color w:val="1F497D"/>
          <w:lang w:eastAsia="nl-NL"/>
        </w:rPr>
      </w:pPr>
    </w:p>
    <w:p w:rsidR="00DD160A" w:rsidP="00DD160A" w:rsidRDefault="00DD160A">
      <w:pPr>
        <w:rPr>
          <w:color w:val="1F497D"/>
          <w:lang w:eastAsia="nl-NL"/>
        </w:rPr>
      </w:pPr>
      <w:r>
        <w:rPr>
          <w:color w:val="1F497D"/>
          <w:lang w:eastAsia="nl-NL"/>
        </w:rPr>
        <w:t>Beleidsmedewerker Economische Zaken en Digitale Zaken</w:t>
      </w:r>
    </w:p>
    <w:p w:rsidR="00DD160A" w:rsidP="00DD160A" w:rsidRDefault="00DD160A">
      <w:pPr>
        <w:rPr>
          <w:color w:val="1F497D"/>
          <w:lang w:eastAsia="nl-NL"/>
        </w:rPr>
      </w:pPr>
      <w:r>
        <w:rPr>
          <w:b/>
          <w:bCs/>
          <w:color w:val="007033"/>
          <w:lang w:eastAsia="nl-NL"/>
        </w:rPr>
        <w:t xml:space="preserve">CDA </w:t>
      </w:r>
      <w:r>
        <w:rPr>
          <w:color w:val="1F497D"/>
          <w:lang w:eastAsia="nl-NL"/>
        </w:rPr>
        <w:t>Tweede Kamerfractie</w:t>
      </w:r>
      <w:bookmarkStart w:name="_GoBack" w:id="1"/>
      <w:bookmarkEnd w:id="1"/>
    </w:p>
    <w:bookmarkEnd w:id="0"/>
    <w:sectPr w:rsidR="00DD160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F65FE"/>
    <w:multiLevelType w:val="hybridMultilevel"/>
    <w:tmpl w:val="16BED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B0469"/>
    <w:multiLevelType w:val="hybridMultilevel"/>
    <w:tmpl w:val="DECA6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60A"/>
    <w:rsid w:val="00170EDC"/>
    <w:rsid w:val="00DD160A"/>
    <w:rsid w:val="00F9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9EFB7"/>
  <w15:chartTrackingRefBased/>
  <w15:docId w15:val="{86F5B13D-395D-4F2D-B24D-9E637936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D160A"/>
    <w:rPr>
      <w:color w:val="0563C1"/>
      <w:u w:val="single"/>
    </w:rPr>
  </w:style>
  <w:style w:type="paragraph" w:styleId="Lijstalinea">
    <w:name w:val="List Paragraph"/>
    <w:basedOn w:val="Standaard"/>
    <w:uiPriority w:val="34"/>
    <w:qFormat/>
    <w:rsid w:val="00DD16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316</ap:Words>
  <ap:Characters>1738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2022-11-02T15:15:00.0000000Z</dcterms:created>
  <dcterms:modified xsi:type="dcterms:W3CDTF">2022-11-02T15:16:00.0000000Z</dcterms:modified>
  <version/>
  <category/>
</coreProperties>
</file>