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980570636"/>
        <w:lock w:val="contentLocked"/>
        <w:placeholder>
          <w:docPart w:val="DefaultPlaceholder_1082065158"/>
        </w:placeholder>
        <w:group/>
      </w:sdtPr>
      <w:sdtEndPr/>
      <w:sdtContent>
        <w:p w:rsidR="002C6867" w:rsidP="0017188E" w:rsidRDefault="00FF6790" w14:paraId="19BFCC2C" w14:textId="77777777">
          <w:pPr>
            <w:tabs>
              <w:tab w:val="left" w:pos="3686"/>
            </w:tabs>
          </w:pPr>
          <w:r>
            <w:rPr>
              <w:noProof/>
            </w:rPr>
            <mc:AlternateContent>
              <mc:Choice Requires="wps">
                <w:drawing>
                  <wp:anchor distT="0" distB="0" distL="114300" distR="114300" simplePos="0" relativeHeight="251657728" behindDoc="0" locked="0" layoutInCell="1" allowOverlap="1" wp14:editId="6AADDDB2" wp14:anchorId="578D818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2B89F930"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78D818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">
                    <v:textbox style="mso-fit-shape-to-text:t">
                      <w:txbxContent>
                        <w:p w:rsidRPr="00A4487D" w:rsidR="00503044" w:rsidP="00A349AF" w:rsidRDefault="00503044" w14:paraId="2B89F930"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5989A855" wp14:anchorId="2B1ED978">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W16.22.0061/II/K</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6 juli 2022</w:t>
              </w:r>
            </w:sdtContent>
          </w:sdt>
        </w:p>
        <w:p w:rsidR="00503044" w:rsidP="00503044" w:rsidRDefault="00503044" w14:paraId="6E088282" w14:textId="77777777">
          <w:pPr>
            <w:tabs>
              <w:tab w:val="left" w:pos="3685"/>
            </w:tabs>
          </w:pPr>
        </w:p>
        <w:p w:rsidR="00503044" w:rsidP="00503044" w:rsidRDefault="00503044" w14:paraId="5783B3DB"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863A01" w:rsidRDefault="00242C11" w14:paraId="7297B17F" w14:textId="77777777">
              <w:r>
                <w:t>Bij Kabinetsmissive van 21 april 2022, nr. 2022000909, heeft Uwe Majesteit, op voorstel van de minister van Buitenlandse Zaken, mede namens de minister van Justitie en Veiligheid, bij de Afdeling advisering van de Raad van State van het Koninkrijk ter over</w:t>
              </w:r>
              <w:r>
                <w:t xml:space="preserve">weging aanhangig gemaakt een voorstel van Rijkswet houdende goedkeuring van het op 29 augustus 2021 te Abu Dhabi tot stand gekomen Verdrag tussen het Koninkrijk der Nederlanden en de Verenigde Arabische Emiraten inzake wederzijdse rechtshulp in strafzaken </w:t>
              </w:r>
              <w:r>
                <w:t>(Trb. 2021, 116), met memorie van toelichting.</w:t>
              </w:r>
            </w:p>
          </w:sdtContent>
        </w:sdt>
        <w:p w:rsidR="0071031E" w:rsidRDefault="0071031E" w14:paraId="40814647" w14:textId="77777777"/>
        <w:sdt>
          <w:sdtPr>
            <w:rPr>
              <w:rFonts w:asciiTheme="minorHAnsi" w:hAnsiTheme="minorHAnsi" w:eastAsiaTheme="minorEastAsia"/>
              <w:sz w:val="20"/>
              <w:szCs w:val="20"/>
            </w:rPr>
            <w:alias w:val="VrijeTekst1"/>
            <w:tag w:val="VrijeTekst1"/>
            <w:id w:val="-437221631"/>
            <w:lock w:val="sdtLocked"/>
          </w:sdtPr>
          <w:sdtEndPr/>
          <w:sdtContent>
            <w:sdt>
              <w:sdtPr>
                <w:rPr>
                  <w:rFonts w:asciiTheme="minorHAnsi" w:hAnsiTheme="minorHAnsi" w:eastAsiaTheme="minorEastAsia"/>
                  <w:sz w:val="20"/>
                  <w:szCs w:val="20"/>
                </w:rPr>
                <w:alias w:val="VrijeTekst1"/>
                <w:tag w:val="VrijeTekst1"/>
                <w:id w:val="-794282200"/>
              </w:sdtPr>
              <w:sdtEndPr/>
              <w:sdtContent>
                <w:p w:rsidR="0043580C" w:rsidP="0064444F" w:rsidRDefault="00242C11" w14:paraId="3A71F66C" w14:textId="77777777">
                  <w:pPr>
                    <w:contextualSpacing/>
                    <w:rPr>
                      <w:rFonts w:cstheme="minorHAnsi"/>
                      <w:szCs w:val="22"/>
                    </w:rPr>
                  </w:pPr>
                  <w:r>
                    <w:rPr>
                      <w:rFonts w:cstheme="minorHAnsi"/>
                      <w:szCs w:val="22"/>
                    </w:rPr>
                    <w:t xml:space="preserve">Het verdrag regelt het verlenen van wederzijdse rechtshulp in strafzaken tussen de Verenigde Arabische Emiraten (VAE) en het Koninkrijk der Nederlanden (het Koninkrijk). </w:t>
                  </w:r>
                  <w:r>
                    <w:rPr>
                      <w:szCs w:val="22"/>
                    </w:rPr>
                    <w:t>Het verdrag maakt het mogelijk om vo</w:t>
                  </w:r>
                  <w:r>
                    <w:rPr>
                      <w:szCs w:val="22"/>
                    </w:rPr>
                    <w:t xml:space="preserve">or alle delicten om wederzijdse rechtshulp te verzoeken indien de gevraagde </w:t>
                  </w:r>
                  <w:proofErr w:type="spellStart"/>
                  <w:r>
                    <w:rPr>
                      <w:szCs w:val="22"/>
                    </w:rPr>
                    <w:t>onderzoekshandelingen</w:t>
                  </w:r>
                  <w:proofErr w:type="spellEnd"/>
                  <w:r>
                    <w:rPr>
                      <w:szCs w:val="22"/>
                    </w:rPr>
                    <w:t xml:space="preserve"> ten dienste staan aan het in de verzoekende staat gevoerde strafrechtelijke onderzoek en mits deze </w:t>
                  </w:r>
                  <w:proofErr w:type="spellStart"/>
                  <w:r>
                    <w:rPr>
                      <w:szCs w:val="22"/>
                    </w:rPr>
                    <w:t>onderzoekshandelingen</w:t>
                  </w:r>
                  <w:proofErr w:type="spellEnd"/>
                  <w:r>
                    <w:rPr>
                      <w:szCs w:val="22"/>
                    </w:rPr>
                    <w:t xml:space="preserve"> mogelijk zijn volgens nationaal straf</w:t>
                  </w:r>
                  <w:r>
                    <w:rPr>
                      <w:szCs w:val="22"/>
                    </w:rPr>
                    <w:t>procesrecht. V</w:t>
                  </w:r>
                  <w:r>
                    <w:rPr>
                      <w:rFonts w:cstheme="minorHAnsi"/>
                      <w:szCs w:val="22"/>
                    </w:rPr>
                    <w:t>oorts wordt beoogd de samenwerking met de autoriteiten van de VAE soepeler en sneller te laten verlopen. Het voorstel van rijkswet strekt tot goedkeuring van dit verdrag.</w:t>
                  </w:r>
                </w:p>
                <w:p w:rsidR="0043580C" w:rsidP="0064444F" w:rsidRDefault="00242C11" w14:paraId="410764E7" w14:textId="77777777">
                  <w:pPr>
                    <w:pStyle w:val="NormalWeb"/>
                    <w:shd w:val="clear" w:color="auto" w:fill="FFFFFF"/>
                    <w:spacing w:before="0" w:beforeAutospacing="0" w:after="0" w:afterAutospacing="0"/>
                    <w:contextualSpacing/>
                    <w:rPr>
                      <w:rFonts w:ascii="Univers" w:hAnsi="Univers" w:cstheme="minorHAnsi"/>
                      <w:sz w:val="22"/>
                      <w:szCs w:val="22"/>
                    </w:rPr>
                  </w:pPr>
                </w:p>
                <w:p w:rsidR="0043580C" w:rsidP="0064444F" w:rsidRDefault="00242C11" w14:paraId="53B6B953" w14:textId="77777777">
                  <w:pPr>
                    <w:pStyle w:val="NormalWeb"/>
                    <w:shd w:val="clear" w:color="auto" w:fill="FFFFFF"/>
                    <w:spacing w:before="0" w:beforeAutospacing="0" w:after="0" w:afterAutospacing="0"/>
                    <w:contextualSpacing/>
                    <w:rPr>
                      <w:rFonts w:ascii="Univers" w:hAnsi="Univers" w:cstheme="minorHAnsi"/>
                      <w:sz w:val="22"/>
                      <w:szCs w:val="22"/>
                    </w:rPr>
                  </w:pPr>
                  <w:r>
                    <w:rPr>
                      <w:rFonts w:ascii="Univers" w:hAnsi="Univers" w:cs="Arial"/>
                      <w:sz w:val="22"/>
                      <w:szCs w:val="22"/>
                      <w:shd w:val="clear" w:color="auto" w:fill="FFFFFF"/>
                    </w:rPr>
                    <w:t xml:space="preserve">De Afdeling advisering van de Raad van State van het Koninkrijk </w:t>
                  </w:r>
                  <w:r>
                    <w:rPr>
                      <w:rFonts w:ascii="Univers" w:hAnsi="Univers" w:cs="Arial"/>
                      <w:sz w:val="22"/>
                      <w:szCs w:val="22"/>
                      <w:shd w:val="clear" w:color="auto" w:fill="FFFFFF"/>
                    </w:rPr>
                    <w:t>wijs</w:t>
                  </w:r>
                  <w:r>
                    <w:rPr>
                      <w:rFonts w:ascii="Univers" w:hAnsi="Univers" w:cs="Arial"/>
                      <w:sz w:val="22"/>
                      <w:szCs w:val="22"/>
                      <w:shd w:val="clear" w:color="auto" w:fill="FFFFFF"/>
                    </w:rPr>
                    <w:t xml:space="preserve">t </w:t>
                  </w:r>
                  <w:r>
                    <w:rPr>
                      <w:rFonts w:ascii="Univers" w:hAnsi="Univers" w:cs="Arial"/>
                      <w:sz w:val="22"/>
                      <w:szCs w:val="22"/>
                      <w:shd w:val="clear" w:color="auto" w:fill="FFFFFF"/>
                    </w:rPr>
                    <w:t>er</w:t>
                  </w:r>
                  <w:r>
                    <w:rPr>
                      <w:rFonts w:ascii="Univers" w:hAnsi="Univers" w:cs="Arial"/>
                      <w:sz w:val="22"/>
                      <w:szCs w:val="22"/>
                      <w:shd w:val="clear" w:color="auto" w:fill="FFFFFF"/>
                    </w:rPr>
                    <w:t xml:space="preserve">op dat </w:t>
                  </w:r>
                  <w:r>
                    <w:rPr>
                      <w:rFonts w:ascii="Univers" w:hAnsi="Univers" w:cstheme="minorHAnsi"/>
                      <w:sz w:val="22"/>
                      <w:szCs w:val="22"/>
                    </w:rPr>
                    <w:t>g</w:t>
                  </w:r>
                  <w:r>
                    <w:rPr>
                      <w:rFonts w:ascii="Univers" w:hAnsi="Univers" w:cstheme="minorHAnsi"/>
                      <w:sz w:val="22"/>
                      <w:szCs w:val="22"/>
                    </w:rPr>
                    <w:t xml:space="preserve">oedkeuring van een verdrag inzake wederzijdse rechtshulp onder meer </w:t>
                  </w:r>
                  <w:r>
                    <w:rPr>
                      <w:rFonts w:ascii="Univers" w:hAnsi="Univers" w:cstheme="minorHAnsi"/>
                      <w:sz w:val="22"/>
                      <w:szCs w:val="22"/>
                    </w:rPr>
                    <w:t xml:space="preserve">veronderstelt </w:t>
                  </w:r>
                  <w:r>
                    <w:rPr>
                      <w:rFonts w:ascii="Univers" w:hAnsi="Univers" w:cstheme="minorHAnsi"/>
                      <w:sz w:val="22"/>
                      <w:szCs w:val="22"/>
                    </w:rPr>
                    <w:t xml:space="preserve">dat het vertrouwen bestaat dat de fundamentele mensenrechten van betrokkenen in de </w:t>
                  </w:r>
                  <w:r>
                    <w:rPr>
                      <w:rFonts w:ascii="Univers" w:hAnsi="Univers" w:cstheme="minorHAnsi"/>
                      <w:sz w:val="22"/>
                      <w:szCs w:val="22"/>
                    </w:rPr>
                    <w:t>andere staat worden gerespecteerd. Dit vertrouwen werkt door in de terughoudende beoordeling door de rechter die in dit verband een beroep op het risico van een mensenrechtenschending beoordeelt.</w:t>
                  </w:r>
                </w:p>
                <w:p w:rsidR="0043580C" w:rsidP="0064444F" w:rsidRDefault="00242C11" w14:paraId="23F082F7" w14:textId="77777777">
                  <w:pPr>
                    <w:pStyle w:val="NormalWeb"/>
                    <w:shd w:val="clear" w:color="auto" w:fill="FFFFFF"/>
                    <w:spacing w:before="0" w:beforeAutospacing="0" w:after="0" w:afterAutospacing="0"/>
                    <w:contextualSpacing/>
                    <w:rPr>
                      <w:rFonts w:ascii="Univers" w:hAnsi="Univers" w:cstheme="minorHAnsi"/>
                      <w:sz w:val="22"/>
                      <w:szCs w:val="22"/>
                    </w:rPr>
                  </w:pPr>
                </w:p>
                <w:p w:rsidR="0043580C" w:rsidP="0064444F" w:rsidRDefault="00242C11" w14:paraId="5CDD0117" w14:textId="77777777">
                  <w:pPr>
                    <w:pStyle w:val="NormalWeb"/>
                    <w:shd w:val="clear" w:color="auto" w:fill="FFFFFF"/>
                    <w:spacing w:before="0" w:beforeAutospacing="0" w:after="0" w:afterAutospacing="0"/>
                    <w:contextualSpacing/>
                    <w:rPr>
                      <w:rFonts w:ascii="Univers" w:hAnsi="Univers" w:cstheme="minorHAnsi"/>
                      <w:sz w:val="22"/>
                      <w:szCs w:val="22"/>
                    </w:rPr>
                  </w:pPr>
                  <w:r>
                    <w:rPr>
                      <w:rFonts w:ascii="Univers" w:hAnsi="Univers" w:cstheme="minorHAnsi"/>
                      <w:sz w:val="22"/>
                      <w:szCs w:val="22"/>
                    </w:rPr>
                    <w:t>I</w:t>
                  </w:r>
                  <w:r>
                    <w:rPr>
                      <w:rFonts w:ascii="Univers" w:hAnsi="Univers" w:cstheme="minorHAnsi"/>
                      <w:sz w:val="22"/>
                      <w:szCs w:val="22"/>
                    </w:rPr>
                    <w:t xml:space="preserve">n het licht daarvan </w:t>
                  </w:r>
                  <w:r>
                    <w:rPr>
                      <w:rFonts w:ascii="Univers" w:hAnsi="Univers" w:cstheme="minorHAnsi"/>
                      <w:sz w:val="22"/>
                      <w:szCs w:val="22"/>
                    </w:rPr>
                    <w:t xml:space="preserve">is het </w:t>
                  </w:r>
                  <w:r>
                    <w:rPr>
                      <w:rFonts w:ascii="Univers" w:hAnsi="Univers" w:cstheme="minorHAnsi"/>
                      <w:sz w:val="22"/>
                      <w:szCs w:val="22"/>
                    </w:rPr>
                    <w:t xml:space="preserve">van belang dat de regering bij </w:t>
                  </w:r>
                  <w:r>
                    <w:rPr>
                      <w:rFonts w:ascii="Univers" w:hAnsi="Univers" w:cstheme="minorHAnsi"/>
                      <w:sz w:val="22"/>
                      <w:szCs w:val="22"/>
                    </w:rPr>
                    <w:t>het aangaan van een bilateraal verdrag als het onderhavige zorgvuldig de mensenrechtensituatie in de andere staat beoordeelt. Deze afweging dient met het oog op de parlementaire goedkeuring van het verdrag tot uitdrukking te komen in de memorie van toelich</w:t>
                  </w:r>
                  <w:r>
                    <w:rPr>
                      <w:rFonts w:ascii="Univers" w:hAnsi="Univers" w:cstheme="minorHAnsi"/>
                      <w:sz w:val="22"/>
                      <w:szCs w:val="22"/>
                    </w:rPr>
                    <w:t xml:space="preserve">ting. De toelichting geeft er geen blijk van dat een dergelijke beoordeling heeft plaatsgevonden. Nu er vragen </w:t>
                  </w:r>
                  <w:r>
                    <w:rPr>
                      <w:rFonts w:ascii="Univers" w:hAnsi="Univers" w:cstheme="minorHAnsi"/>
                      <w:sz w:val="22"/>
                      <w:szCs w:val="22"/>
                    </w:rPr>
                    <w:t xml:space="preserve">kunnen worden gesteld </w:t>
                  </w:r>
                  <w:r>
                    <w:rPr>
                      <w:rFonts w:ascii="Univers" w:hAnsi="Univers" w:cstheme="minorHAnsi"/>
                      <w:sz w:val="22"/>
                      <w:szCs w:val="22"/>
                    </w:rPr>
                    <w:t xml:space="preserve">over de mensenrechtensituatie in de VAE, adviseert </w:t>
                  </w:r>
                  <w:r>
                    <w:rPr>
                      <w:rFonts w:ascii="Univers" w:hAnsi="Univers" w:cstheme="minorHAnsi"/>
                      <w:sz w:val="22"/>
                      <w:szCs w:val="22"/>
                    </w:rPr>
                    <w:t>de Afdeling</w:t>
                  </w:r>
                  <w:r>
                    <w:rPr>
                      <w:rFonts w:ascii="Univers" w:hAnsi="Univers" w:cstheme="minorHAnsi"/>
                      <w:sz w:val="22"/>
                      <w:szCs w:val="22"/>
                    </w:rPr>
                    <w:t xml:space="preserve"> </w:t>
                  </w:r>
                  <w:r>
                    <w:rPr>
                      <w:rFonts w:ascii="Univers" w:hAnsi="Univers"/>
                      <w:sz w:val="22"/>
                      <w:szCs w:val="22"/>
                    </w:rPr>
                    <w:t xml:space="preserve">in de toelichting </w:t>
                  </w:r>
                  <w:r>
                    <w:rPr>
                      <w:rFonts w:ascii="Univers" w:hAnsi="Univers"/>
                      <w:sz w:val="22"/>
                      <w:szCs w:val="22"/>
                    </w:rPr>
                    <w:t xml:space="preserve">alsnog </w:t>
                  </w:r>
                  <w:r>
                    <w:rPr>
                      <w:rFonts w:ascii="Univers" w:hAnsi="Univers"/>
                      <w:sz w:val="22"/>
                      <w:szCs w:val="22"/>
                    </w:rPr>
                    <w:t>aandacht te besteden aan de mensenr</w:t>
                  </w:r>
                  <w:r>
                    <w:rPr>
                      <w:rFonts w:ascii="Univers" w:hAnsi="Univers"/>
                      <w:sz w:val="22"/>
                      <w:szCs w:val="22"/>
                    </w:rPr>
                    <w:t xml:space="preserve">echtensituatie in de VAE. </w:t>
                  </w:r>
                </w:p>
                <w:p w:rsidR="0043580C" w:rsidP="0064444F" w:rsidRDefault="00242C11" w14:paraId="257FB483" w14:textId="77777777">
                  <w:pPr>
                    <w:contextualSpacing/>
                    <w:rPr>
                      <w:szCs w:val="22"/>
                    </w:rPr>
                  </w:pPr>
                </w:p>
                <w:p w:rsidR="0043580C" w:rsidP="0064444F" w:rsidRDefault="00242C11" w14:paraId="2F3CC14F" w14:textId="77777777">
                  <w:pPr>
                    <w:pStyle w:val="NormalWeb"/>
                    <w:shd w:val="clear" w:color="auto" w:fill="FFFFFF"/>
                    <w:spacing w:before="0" w:beforeAutospacing="0" w:after="0" w:afterAutospacing="0"/>
                    <w:contextualSpacing/>
                    <w:rPr>
                      <w:rFonts w:ascii="Univers" w:hAnsi="Univers"/>
                      <w:sz w:val="22"/>
                      <w:szCs w:val="22"/>
                    </w:rPr>
                  </w:pPr>
                  <w:r>
                    <w:rPr>
                      <w:rStyle w:val="Strong"/>
                      <w:rFonts w:ascii="Univers" w:hAnsi="Univers"/>
                      <w:b w:val="0"/>
                      <w:bCs w:val="0"/>
                      <w:sz w:val="22"/>
                      <w:szCs w:val="22"/>
                    </w:rPr>
                    <w:t>1.</w:t>
                  </w:r>
                  <w:r>
                    <w:rPr>
                      <w:rFonts w:ascii="Univers" w:hAnsi="Univers"/>
                      <w:sz w:val="22"/>
                      <w:szCs w:val="22"/>
                    </w:rPr>
                    <w:tab/>
                  </w:r>
                  <w:r>
                    <w:rPr>
                      <w:rFonts w:ascii="Univers" w:hAnsi="Univers"/>
                      <w:sz w:val="22"/>
                      <w:szCs w:val="22"/>
                      <w:u w:val="single"/>
                    </w:rPr>
                    <w:t>Inhoud en achtergrond voorstel</w:t>
                  </w:r>
                  <w:r>
                    <w:rPr>
                      <w:rFonts w:ascii="Univers" w:hAnsi="Univers"/>
                      <w:sz w:val="22"/>
                      <w:szCs w:val="22"/>
                      <w:u w:val="single"/>
                    </w:rPr>
                    <w:br/>
                  </w:r>
                </w:p>
                <w:p w:rsidR="0043580C" w:rsidP="0064444F" w:rsidRDefault="00242C11" w14:paraId="48D0C49F" w14:textId="77777777">
                  <w:pPr>
                    <w:contextualSpacing/>
                    <w:rPr>
                      <w:szCs w:val="22"/>
                    </w:rPr>
                  </w:pPr>
                  <w:r>
                    <w:rPr>
                      <w:rFonts w:cstheme="minorHAnsi"/>
                      <w:szCs w:val="22"/>
                    </w:rPr>
                    <w:t>Het voorstel strekt tot goedkeuring van het op 29 augustus 2021 te Abu Dhabi tot stand gekomen Verdrag tussen het Koninkrijk en de VAE inzake wederzijdse rechtshulp in strafzaken.</w:t>
                  </w:r>
                  <w:r>
                    <w:rPr>
                      <w:rStyle w:val="FootnoteReference"/>
                      <w:szCs w:val="22"/>
                    </w:rPr>
                    <w:footnoteReference w:id="1"/>
                  </w:r>
                  <w:r>
                    <w:rPr>
                      <w:rFonts w:cstheme="minorHAnsi"/>
                      <w:szCs w:val="22"/>
                    </w:rPr>
                    <w:t xml:space="preserve"> Het verdrag</w:t>
                  </w:r>
                  <w:r>
                    <w:rPr>
                      <w:rFonts w:cstheme="minorHAnsi"/>
                      <w:szCs w:val="22"/>
                    </w:rPr>
                    <w:t xml:space="preserve"> bevat de verplichting </w:t>
                  </w:r>
                  <w:r>
                    <w:rPr>
                      <w:szCs w:val="22"/>
                    </w:rPr>
                    <w:t xml:space="preserve">tot het in zo ruim </w:t>
                  </w:r>
                  <w:r>
                    <w:rPr>
                      <w:szCs w:val="22"/>
                    </w:rPr>
                    <w:lastRenderedPageBreak/>
                    <w:t>mogelijke mate verlenen van wederzijdse rechtshulp bij strafrechtelijke onderzoeken, vervolgingen of procedures in strafzaken.</w:t>
                  </w:r>
                  <w:r>
                    <w:rPr>
                      <w:rStyle w:val="FootnoteReference"/>
                      <w:szCs w:val="22"/>
                    </w:rPr>
                    <w:footnoteReference w:id="2"/>
                  </w:r>
                  <w:r>
                    <w:rPr>
                      <w:szCs w:val="22"/>
                    </w:rPr>
                    <w:t xml:space="preserve"> Rechtshulp houdt in dat strafrechtelijke </w:t>
                  </w:r>
                  <w:proofErr w:type="spellStart"/>
                  <w:r>
                    <w:rPr>
                      <w:szCs w:val="22"/>
                    </w:rPr>
                    <w:t>onderzoekshandelingen</w:t>
                  </w:r>
                  <w:proofErr w:type="spellEnd"/>
                  <w:r>
                    <w:rPr>
                      <w:szCs w:val="22"/>
                    </w:rPr>
                    <w:t xml:space="preserve"> worden verricht op ver</w:t>
                  </w:r>
                  <w:r>
                    <w:rPr>
                      <w:szCs w:val="22"/>
                    </w:rPr>
                    <w:t>zoek van een justitiële autoriteit van de verzoekende staat.</w:t>
                  </w:r>
                  <w:r>
                    <w:rPr>
                      <w:rFonts w:cstheme="minorHAnsi"/>
                      <w:szCs w:val="22"/>
                    </w:rPr>
                    <w:t xml:space="preserve"> Gedacht kan worden aan het horen van de verdachte of van getuigen onder ede, het betekenen van gerechtelijke documenten en het uitvoeren van verzoeken om doorzoeking, inbeslagneming of bevriezing</w:t>
                  </w:r>
                  <w:r>
                    <w:rPr>
                      <w:rFonts w:cstheme="minorHAnsi"/>
                      <w:szCs w:val="22"/>
                    </w:rPr>
                    <w:t>.</w:t>
                  </w:r>
                  <w:r>
                    <w:rPr>
                      <w:rStyle w:val="FootnoteReference"/>
                      <w:rFonts w:cstheme="minorHAnsi"/>
                      <w:szCs w:val="22"/>
                    </w:rPr>
                    <w:footnoteReference w:id="3"/>
                  </w:r>
                  <w:r>
                    <w:rPr>
                      <w:rFonts w:cstheme="minorHAnsi"/>
                      <w:szCs w:val="22"/>
                    </w:rPr>
                    <w:t xml:space="preserve"> </w:t>
                  </w:r>
                  <w:r>
                    <w:rPr>
                      <w:szCs w:val="22"/>
                    </w:rPr>
                    <w:t>Bij de uitvoering van een verzoek tot wederzijdse rechtshulp gelden grotendeels de regels van intern strafprocesrecht.</w:t>
                  </w:r>
                  <w:r>
                    <w:rPr>
                      <w:rStyle w:val="FootnoteReference"/>
                      <w:szCs w:val="22"/>
                    </w:rPr>
                    <w:footnoteReference w:id="4"/>
                  </w:r>
                  <w:r>
                    <w:rPr>
                      <w:szCs w:val="22"/>
                    </w:rPr>
                    <w:t xml:space="preserve"> </w:t>
                  </w:r>
                  <w:r>
                    <w:rPr>
                      <w:rFonts w:cstheme="minorHAnsi"/>
                      <w:szCs w:val="22"/>
                    </w:rPr>
                    <w:t xml:space="preserve">De verplichting tot het verlenen van rechtshulp is niet absoluut en het verdrag voorziet in (de gebruikelijke) gronden om de </w:t>
                  </w:r>
                  <w:r>
                    <w:rPr>
                      <w:rFonts w:cstheme="minorHAnsi"/>
                      <w:szCs w:val="22"/>
                    </w:rPr>
                    <w:t>rechtshulp te weigeren.</w:t>
                  </w:r>
                  <w:r>
                    <w:rPr>
                      <w:rStyle w:val="FootnoteReference"/>
                      <w:rFonts w:cstheme="minorHAnsi"/>
                      <w:szCs w:val="22"/>
                    </w:rPr>
                    <w:footnoteReference w:id="5"/>
                  </w:r>
                  <w:r>
                    <w:rPr>
                      <w:rFonts w:cstheme="minorHAnsi"/>
                      <w:szCs w:val="22"/>
                    </w:rPr>
                    <w:t xml:space="preserve"> </w:t>
                  </w:r>
                </w:p>
                <w:p w:rsidR="0043580C" w:rsidP="0064444F" w:rsidRDefault="00242C11" w14:paraId="0C13E833" w14:textId="77777777">
                  <w:pPr>
                    <w:contextualSpacing/>
                    <w:rPr>
                      <w:rFonts w:cstheme="minorHAnsi"/>
                      <w:szCs w:val="22"/>
                    </w:rPr>
                  </w:pPr>
                </w:p>
                <w:p w:rsidR="0043580C" w:rsidP="0064444F" w:rsidRDefault="00242C11" w14:paraId="72BF973C" w14:textId="77777777">
                  <w:pPr>
                    <w:contextualSpacing/>
                    <w:rPr>
                      <w:rFonts w:cstheme="minorHAnsi"/>
                      <w:szCs w:val="22"/>
                    </w:rPr>
                  </w:pPr>
                  <w:r>
                    <w:rPr>
                      <w:rFonts w:cstheme="minorHAnsi"/>
                      <w:szCs w:val="22"/>
                    </w:rPr>
                    <w:t>Tussen de VAE en het Koninkrijk bestaat thans op grond van diverse multilaterale verdragen een rechtshulprelatie.</w:t>
                  </w:r>
                  <w:r>
                    <w:rPr>
                      <w:rStyle w:val="FootnoteReference"/>
                      <w:szCs w:val="22"/>
                    </w:rPr>
                    <w:footnoteReference w:id="6"/>
                  </w:r>
                  <w:r>
                    <w:rPr>
                      <w:rFonts w:cstheme="minorHAnsi"/>
                      <w:szCs w:val="22"/>
                    </w:rPr>
                    <w:t xml:space="preserve"> De desbetreffende verdragen zijn evenwel voor specifieke doeleinden gesloten. Deze rechtshulprelatie kent daardo</w:t>
                  </w:r>
                  <w:r>
                    <w:rPr>
                      <w:rFonts w:cstheme="minorHAnsi"/>
                      <w:szCs w:val="22"/>
                    </w:rPr>
                    <w:t>or volgens de toelichting beperkingen. Wederzijdse rechtshulp is niet altijd mogelijk. Vanwege de intensivering van het personenverkeer en de zakelijke betrekkingen tussen de VAE en het Koninkrijk en hun inwoners neemt de behoefte aan een beter op de relat</w:t>
                  </w:r>
                  <w:r>
                    <w:rPr>
                      <w:rFonts w:cstheme="minorHAnsi"/>
                      <w:szCs w:val="22"/>
                    </w:rPr>
                    <w:t>ie tussen staten toegesneden juridische samenwerking toe, aldus de toelichting. Met de intensivering gaat immers ook een verplaatsing van criminaliteit gepaard.</w:t>
                  </w:r>
                  <w:r>
                    <w:rPr>
                      <w:rStyle w:val="FootnoteReference"/>
                      <w:rFonts w:cstheme="minorHAnsi"/>
                      <w:szCs w:val="22"/>
                    </w:rPr>
                    <w:footnoteReference w:id="7"/>
                  </w:r>
                  <w:r>
                    <w:rPr>
                      <w:rFonts w:cstheme="minorHAnsi"/>
                      <w:szCs w:val="22"/>
                    </w:rPr>
                    <w:t xml:space="preserve"> </w:t>
                  </w:r>
                </w:p>
                <w:p w:rsidR="0043580C" w:rsidP="0064444F" w:rsidRDefault="00242C11" w14:paraId="3B19C72B" w14:textId="77777777">
                  <w:pPr>
                    <w:pStyle w:val="NormalWeb"/>
                    <w:shd w:val="clear" w:color="auto" w:fill="FFFFFF"/>
                    <w:spacing w:before="0" w:beforeAutospacing="0" w:after="0" w:afterAutospacing="0"/>
                    <w:contextualSpacing/>
                    <w:rPr>
                      <w:rFonts w:ascii="Univers" w:hAnsi="Univers" w:cstheme="minorHAnsi"/>
                      <w:sz w:val="22"/>
                      <w:szCs w:val="22"/>
                    </w:rPr>
                  </w:pPr>
                </w:p>
                <w:p w:rsidR="0043580C" w:rsidP="0064444F" w:rsidRDefault="00242C11" w14:paraId="66FA8586" w14:textId="77777777">
                  <w:pPr>
                    <w:pStyle w:val="NormalWeb"/>
                    <w:shd w:val="clear" w:color="auto" w:fill="FFFFFF"/>
                    <w:spacing w:before="0" w:beforeAutospacing="0" w:after="0" w:afterAutospacing="0"/>
                    <w:contextualSpacing/>
                    <w:rPr>
                      <w:rFonts w:ascii="Univers" w:hAnsi="Univers" w:cstheme="minorHAnsi"/>
                      <w:sz w:val="22"/>
                      <w:szCs w:val="22"/>
                    </w:rPr>
                  </w:pPr>
                  <w:r>
                    <w:rPr>
                      <w:rFonts w:ascii="Univers" w:hAnsi="Univers" w:cstheme="minorHAnsi"/>
                      <w:sz w:val="22"/>
                      <w:szCs w:val="22"/>
                    </w:rPr>
                    <w:t>Met het voorliggende bilaterale verdrag kan in veel meer gevallen dan thans om rechtshulp w</w:t>
                  </w:r>
                  <w:r>
                    <w:rPr>
                      <w:rFonts w:ascii="Univers" w:hAnsi="Univers" w:cstheme="minorHAnsi"/>
                      <w:sz w:val="22"/>
                      <w:szCs w:val="22"/>
                    </w:rPr>
                    <w:t xml:space="preserve">orden verzocht. Het verdrag maakt het mogelijk om voor alle delicten om </w:t>
                  </w:r>
                  <w:r w:rsidRPr="00A63655">
                    <w:rPr>
                      <w:rFonts w:ascii="Univers" w:hAnsi="Univers" w:cstheme="minorHAnsi"/>
                      <w:sz w:val="22"/>
                      <w:szCs w:val="22"/>
                    </w:rPr>
                    <w:t xml:space="preserve">rechtshulp te verzoeken indien de gevraagde </w:t>
                  </w:r>
                  <w:proofErr w:type="spellStart"/>
                  <w:r w:rsidRPr="00A63655">
                    <w:rPr>
                      <w:rFonts w:ascii="Univers" w:hAnsi="Univers" w:cstheme="minorHAnsi"/>
                      <w:sz w:val="22"/>
                      <w:szCs w:val="22"/>
                    </w:rPr>
                    <w:t>onderzoekshandelingen</w:t>
                  </w:r>
                  <w:proofErr w:type="spellEnd"/>
                  <w:r w:rsidRPr="00A63655">
                    <w:rPr>
                      <w:rFonts w:ascii="Univers" w:hAnsi="Univers" w:cstheme="minorHAnsi"/>
                      <w:sz w:val="22"/>
                      <w:szCs w:val="22"/>
                    </w:rPr>
                    <w:t xml:space="preserve"> ten dienste staan aan het in de desbetreffende </w:t>
                  </w:r>
                  <w:r>
                    <w:rPr>
                      <w:rFonts w:ascii="Univers" w:hAnsi="Univers" w:cstheme="minorHAnsi"/>
                      <w:sz w:val="22"/>
                      <w:szCs w:val="22"/>
                    </w:rPr>
                    <w:t>staat</w:t>
                  </w:r>
                  <w:r w:rsidRPr="00A63655">
                    <w:rPr>
                      <w:rFonts w:ascii="Univers" w:hAnsi="Univers" w:cstheme="minorHAnsi"/>
                      <w:sz w:val="22"/>
                      <w:szCs w:val="22"/>
                    </w:rPr>
                    <w:t xml:space="preserve"> gevoerde strafrechtelijk onderzoek </w:t>
                  </w:r>
                  <w:r w:rsidRPr="00A63655">
                    <w:rPr>
                      <w:rFonts w:ascii="Univers" w:hAnsi="Univers"/>
                      <w:sz w:val="22"/>
                      <w:szCs w:val="22"/>
                    </w:rPr>
                    <w:t xml:space="preserve">en mits deze </w:t>
                  </w:r>
                  <w:proofErr w:type="spellStart"/>
                  <w:r w:rsidRPr="00A63655">
                    <w:rPr>
                      <w:rFonts w:ascii="Univers" w:hAnsi="Univers"/>
                      <w:sz w:val="22"/>
                      <w:szCs w:val="22"/>
                    </w:rPr>
                    <w:t>onderzoekshandeli</w:t>
                  </w:r>
                  <w:r w:rsidRPr="00A63655">
                    <w:rPr>
                      <w:rFonts w:ascii="Univers" w:hAnsi="Univers"/>
                      <w:sz w:val="22"/>
                      <w:szCs w:val="22"/>
                    </w:rPr>
                    <w:t>ngen</w:t>
                  </w:r>
                  <w:proofErr w:type="spellEnd"/>
                  <w:r w:rsidRPr="00A63655">
                    <w:rPr>
                      <w:rFonts w:ascii="Univers" w:hAnsi="Univers"/>
                      <w:sz w:val="22"/>
                      <w:szCs w:val="22"/>
                    </w:rPr>
                    <w:t xml:space="preserve"> mogelijk zijn volgens nationaal strafprocesrecht. </w:t>
                  </w:r>
                  <w:r w:rsidRPr="00A63655">
                    <w:rPr>
                      <w:rFonts w:ascii="Univers" w:hAnsi="Univers" w:cstheme="minorHAnsi"/>
                      <w:sz w:val="22"/>
                      <w:szCs w:val="22"/>
                    </w:rPr>
                    <w:t>Te denken valt aan moord, doodslag en andere geweldsdelicten, maar ook aan</w:t>
                  </w:r>
                  <w:r>
                    <w:rPr>
                      <w:rFonts w:ascii="Univers" w:hAnsi="Univers" w:cstheme="minorHAnsi"/>
                      <w:sz w:val="22"/>
                      <w:szCs w:val="22"/>
                    </w:rPr>
                    <w:t xml:space="preserve"> financieel-economische delicten. Het verdrag </w:t>
                  </w:r>
                  <w:r>
                    <w:rPr>
                      <w:rFonts w:ascii="Univers" w:hAnsi="Univers" w:cstheme="minorHAnsi"/>
                      <w:sz w:val="22"/>
                      <w:szCs w:val="22"/>
                    </w:rPr>
                    <w:lastRenderedPageBreak/>
                    <w:t>beoogt de samenwerking met de autoriteiten van de VAE bovendien soepeler en snell</w:t>
                  </w:r>
                  <w:r>
                    <w:rPr>
                      <w:rFonts w:ascii="Univers" w:hAnsi="Univers" w:cstheme="minorHAnsi"/>
                      <w:sz w:val="22"/>
                      <w:szCs w:val="22"/>
                    </w:rPr>
                    <w:t>er te laten verlopen.</w:t>
                  </w:r>
                  <w:r>
                    <w:rPr>
                      <w:rStyle w:val="FootnoteReference"/>
                      <w:rFonts w:cstheme="minorHAnsi"/>
                      <w:sz w:val="22"/>
                      <w:szCs w:val="22"/>
                    </w:rPr>
                    <w:footnoteReference w:id="8"/>
                  </w:r>
                </w:p>
                <w:p w:rsidR="0043580C" w:rsidP="0064444F" w:rsidRDefault="00242C11" w14:paraId="33E15BC5" w14:textId="77777777">
                  <w:pPr>
                    <w:pStyle w:val="NormalWeb"/>
                    <w:shd w:val="clear" w:color="auto" w:fill="FFFFFF"/>
                    <w:spacing w:before="0" w:beforeAutospacing="0" w:after="0" w:afterAutospacing="0"/>
                    <w:contextualSpacing/>
                    <w:rPr>
                      <w:rFonts w:ascii="Univers" w:hAnsi="Univers" w:cstheme="minorHAnsi"/>
                      <w:sz w:val="22"/>
                      <w:szCs w:val="22"/>
                    </w:rPr>
                  </w:pPr>
                </w:p>
                <w:p w:rsidR="0043580C" w:rsidP="0064444F" w:rsidRDefault="00242C11" w14:paraId="678A523B" w14:textId="77777777">
                  <w:pPr>
                    <w:contextualSpacing/>
                    <w:rPr>
                      <w:rStyle w:val="Emphasis"/>
                      <w:i w:val="0"/>
                      <w:iCs w:val="0"/>
                      <w:u w:val="single"/>
                      <w:shd w:val="clear" w:color="auto" w:fill="FFFFFF"/>
                    </w:rPr>
                  </w:pPr>
                  <w:r>
                    <w:rPr>
                      <w:rStyle w:val="Emphasis"/>
                      <w:i w:val="0"/>
                      <w:iCs w:val="0"/>
                      <w:szCs w:val="22"/>
                      <w:shd w:val="clear" w:color="auto" w:fill="FFFFFF"/>
                    </w:rPr>
                    <w:t>2.</w:t>
                  </w:r>
                  <w:r>
                    <w:rPr>
                      <w:rStyle w:val="Emphasis"/>
                      <w:i w:val="0"/>
                      <w:iCs w:val="0"/>
                      <w:szCs w:val="22"/>
                      <w:shd w:val="clear" w:color="auto" w:fill="FFFFFF"/>
                    </w:rPr>
                    <w:tab/>
                  </w:r>
                  <w:r>
                    <w:rPr>
                      <w:rStyle w:val="Emphasis"/>
                      <w:i w:val="0"/>
                      <w:iCs w:val="0"/>
                      <w:szCs w:val="22"/>
                      <w:u w:val="single"/>
                      <w:shd w:val="clear" w:color="auto" w:fill="FFFFFF"/>
                    </w:rPr>
                    <w:t>Mensenrechten</w:t>
                  </w:r>
                </w:p>
                <w:p w:rsidR="0043580C" w:rsidP="0064444F" w:rsidRDefault="00242C11" w14:paraId="40818E14" w14:textId="77777777">
                  <w:pPr>
                    <w:contextualSpacing/>
                    <w:rPr>
                      <w:rStyle w:val="Emphasis"/>
                      <w:i w:val="0"/>
                      <w:iCs w:val="0"/>
                      <w:szCs w:val="22"/>
                      <w:u w:val="single"/>
                      <w:shd w:val="clear" w:color="auto" w:fill="FFFFFF"/>
                    </w:rPr>
                  </w:pPr>
                </w:p>
                <w:p w:rsidR="0043580C" w:rsidP="0064444F" w:rsidRDefault="00242C11" w14:paraId="45347DA4" w14:textId="77777777">
                  <w:pPr>
                    <w:contextualSpacing/>
                    <w:rPr>
                      <w:rFonts w:cstheme="minorHAnsi"/>
                    </w:rPr>
                  </w:pPr>
                  <w:r>
                    <w:rPr>
                      <w:szCs w:val="22"/>
                    </w:rPr>
                    <w:t xml:space="preserve">Met wederzijdse rechtshulp wordt bijgedragen aan het vergaren van (bewijs)materiaal ten behoeve van strafrechtelijke onderzoeken. </w:t>
                  </w:r>
                  <w:r>
                    <w:rPr>
                      <w:rFonts w:cstheme="minorHAnsi"/>
                      <w:szCs w:val="22"/>
                    </w:rPr>
                    <w:t>Als er in de staat die om rechtshulp verzoekt een eerlijke rechtsgang is, die in overeenstemming is met algemeen aanvaarde men</w:t>
                  </w:r>
                  <w:r>
                    <w:rPr>
                      <w:rFonts w:cstheme="minorHAnsi"/>
                      <w:szCs w:val="22"/>
                    </w:rPr>
                    <w:t xml:space="preserve">senrechtennormen, is wederzijdse rechtshulp een nuttig instrument om straffeloosheid te voorkomen. Er zijn echter staten waarin de betrokkene </w:t>
                  </w:r>
                  <w:r>
                    <w:rPr>
                      <w:szCs w:val="22"/>
                    </w:rPr>
                    <w:t>het gevaar loopt te worden onderworpen aan schending van zijn mensenrechten.</w:t>
                  </w:r>
                  <w:r>
                    <w:rPr>
                      <w:rStyle w:val="FootnoteReference"/>
                      <w:szCs w:val="22"/>
                    </w:rPr>
                    <w:footnoteReference w:id="9"/>
                  </w:r>
                </w:p>
                <w:p w:rsidR="0043580C" w:rsidP="0064444F" w:rsidRDefault="00242C11" w14:paraId="09C4D765" w14:textId="77777777">
                  <w:pPr>
                    <w:pStyle w:val="CommentText"/>
                    <w:spacing w:after="0" w:line="240" w:lineRule="auto"/>
                    <w:contextualSpacing/>
                    <w:rPr>
                      <w:rFonts w:ascii="Univers" w:hAnsi="Univers"/>
                      <w:sz w:val="22"/>
                      <w:szCs w:val="22"/>
                    </w:rPr>
                  </w:pPr>
                </w:p>
                <w:p w:rsidRPr="003161CE" w:rsidR="0043580C" w:rsidP="0064444F" w:rsidRDefault="00242C11" w14:paraId="5F87F6DC" w14:textId="77777777">
                  <w:pPr>
                    <w:pStyle w:val="CommentText"/>
                    <w:spacing w:after="0" w:line="240" w:lineRule="auto"/>
                    <w:contextualSpacing/>
                    <w:rPr>
                      <w:rFonts w:ascii="Univers" w:hAnsi="Univers"/>
                      <w:i/>
                      <w:iCs/>
                      <w:sz w:val="22"/>
                      <w:szCs w:val="22"/>
                    </w:rPr>
                  </w:pPr>
                  <w:r>
                    <w:rPr>
                      <w:rFonts w:ascii="Univers" w:hAnsi="Univers"/>
                      <w:sz w:val="22"/>
                      <w:szCs w:val="22"/>
                    </w:rPr>
                    <w:t>a.</w:t>
                  </w:r>
                  <w:r>
                    <w:rPr>
                      <w:rFonts w:ascii="Univers" w:hAnsi="Univers"/>
                      <w:sz w:val="22"/>
                      <w:szCs w:val="22"/>
                    </w:rPr>
                    <w:tab/>
                  </w:r>
                  <w:r>
                    <w:rPr>
                      <w:rFonts w:ascii="Univers" w:hAnsi="Univers"/>
                      <w:i/>
                      <w:iCs/>
                      <w:sz w:val="22"/>
                      <w:szCs w:val="22"/>
                    </w:rPr>
                    <w:t>Verdragsverplichtingen EVRM versus vertrouwensbeginsel</w:t>
                  </w:r>
                </w:p>
                <w:p w:rsidR="0043580C" w:rsidP="0064444F" w:rsidRDefault="00242C11" w14:paraId="7E164676" w14:textId="77777777">
                  <w:pPr>
                    <w:pStyle w:val="CommentText"/>
                    <w:spacing w:after="0" w:line="240" w:lineRule="auto"/>
                    <w:contextualSpacing/>
                    <w:rPr>
                      <w:rFonts w:ascii="Univers" w:hAnsi="Univers"/>
                      <w:sz w:val="22"/>
                      <w:szCs w:val="22"/>
                    </w:rPr>
                  </w:pPr>
                  <w:r>
                    <w:rPr>
                      <w:rFonts w:ascii="Univers" w:hAnsi="Univers"/>
                      <w:sz w:val="22"/>
                      <w:szCs w:val="22"/>
                    </w:rPr>
                    <w:t>O</w:t>
                  </w:r>
                  <w:r>
                    <w:rPr>
                      <w:rFonts w:ascii="Univers" w:hAnsi="Univers"/>
                      <w:sz w:val="22"/>
                      <w:szCs w:val="22"/>
                      <w:shd w:val="clear" w:color="auto" w:fill="FFFFFF"/>
                    </w:rPr>
                    <w:t>p het moment van uitvaardiging van een rechtshulpverzoek en op het moment van inwilliging of uitvoering van een rechtshulpverzoek rust op het Koninkrijk de plicht om door uitvaardiging of uitvoering v</w:t>
                  </w:r>
                  <w:r>
                    <w:rPr>
                      <w:rFonts w:ascii="Univers" w:hAnsi="Univers"/>
                      <w:sz w:val="22"/>
                      <w:szCs w:val="22"/>
                      <w:shd w:val="clear" w:color="auto" w:fill="FFFFFF"/>
                    </w:rPr>
                    <w:t>an een rechtshulpverzoek geen schending van fundamentele rechten te bewerkstelligen.</w:t>
                  </w:r>
                  <w:r>
                    <w:rPr>
                      <w:rStyle w:val="FootnoteReference"/>
                      <w:sz w:val="22"/>
                      <w:szCs w:val="22"/>
                      <w:shd w:val="clear" w:color="auto" w:fill="FFFFFF"/>
                    </w:rPr>
                    <w:footnoteReference w:id="10"/>
                  </w:r>
                  <w:r>
                    <w:rPr>
                      <w:rFonts w:ascii="Univers" w:hAnsi="Univers"/>
                      <w:sz w:val="22"/>
                      <w:szCs w:val="22"/>
                      <w:shd w:val="clear" w:color="auto" w:fill="FFFFFF"/>
                    </w:rPr>
                    <w:t xml:space="preserve"> Deze verplichting vloeit voort uit</w:t>
                  </w:r>
                  <w:r w:rsidRPr="00B162A7">
                    <w:rPr>
                      <w:rFonts w:ascii="Univers" w:hAnsi="Univers"/>
                      <w:sz w:val="22"/>
                      <w:szCs w:val="22"/>
                      <w:shd w:val="clear" w:color="auto" w:fill="FFFFFF"/>
                    </w:rPr>
                    <w:t xml:space="preserve"> het</w:t>
                  </w:r>
                  <w:r w:rsidRPr="00B162A7">
                    <w:rPr>
                      <w:rFonts w:ascii="Univers" w:hAnsi="Univers"/>
                      <w:sz w:val="22"/>
                      <w:szCs w:val="22"/>
                    </w:rPr>
                    <w:t xml:space="preserve"> Europees Verdrag tot bescherming van de rechten van de mens en de fundamentele vrijheden</w:t>
                  </w:r>
                  <w:r>
                    <w:rPr>
                      <w:rFonts w:ascii="Univers" w:hAnsi="Univers"/>
                      <w:sz w:val="22"/>
                      <w:szCs w:val="22"/>
                    </w:rPr>
                    <w:t xml:space="preserve"> (</w:t>
                  </w:r>
                  <w:r w:rsidRPr="00B162A7">
                    <w:rPr>
                      <w:rFonts w:ascii="Univers" w:hAnsi="Univers"/>
                      <w:sz w:val="22"/>
                      <w:szCs w:val="22"/>
                    </w:rPr>
                    <w:t>EVRM</w:t>
                  </w:r>
                  <w:r>
                    <w:rPr>
                      <w:rFonts w:ascii="Univers" w:hAnsi="Univers"/>
                      <w:sz w:val="22"/>
                      <w:szCs w:val="22"/>
                    </w:rPr>
                    <w:t>)</w:t>
                  </w:r>
                  <w:r w:rsidRPr="00B162A7">
                    <w:rPr>
                      <w:rFonts w:ascii="Univers" w:hAnsi="Univers"/>
                      <w:sz w:val="22"/>
                      <w:szCs w:val="22"/>
                    </w:rPr>
                    <w:t xml:space="preserve"> en houdt in dat een verdragsluiten</w:t>
                  </w:r>
                  <w:r w:rsidRPr="00B162A7">
                    <w:rPr>
                      <w:rFonts w:ascii="Univers" w:hAnsi="Univers"/>
                      <w:sz w:val="22"/>
                      <w:szCs w:val="22"/>
                    </w:rPr>
                    <w:t xml:space="preserve">de </w:t>
                  </w:r>
                  <w:r>
                    <w:rPr>
                      <w:rFonts w:ascii="Univers" w:hAnsi="Univers"/>
                      <w:sz w:val="22"/>
                      <w:szCs w:val="22"/>
                    </w:rPr>
                    <w:t>staat</w:t>
                  </w:r>
                  <w:r w:rsidRPr="00B162A7">
                    <w:rPr>
                      <w:rFonts w:ascii="Univers" w:hAnsi="Univers"/>
                      <w:sz w:val="22"/>
                      <w:szCs w:val="22"/>
                    </w:rPr>
                    <w:t xml:space="preserve"> de verplichting heeft om de verdragsrechten</w:t>
                  </w:r>
                  <w:r>
                    <w:rPr>
                      <w:rFonts w:ascii="Univers" w:hAnsi="Univers"/>
                      <w:sz w:val="22"/>
                      <w:szCs w:val="22"/>
                    </w:rPr>
                    <w:t xml:space="preserve"> te beschermen van een ieder die onder haar rechtsmacht ressorteert.</w:t>
                  </w:r>
                  <w:r>
                    <w:rPr>
                      <w:rStyle w:val="FootnoteReference"/>
                      <w:sz w:val="22"/>
                      <w:szCs w:val="22"/>
                    </w:rPr>
                    <w:footnoteReference w:id="11"/>
                  </w:r>
                  <w:r>
                    <w:rPr>
                      <w:rFonts w:ascii="Univers" w:hAnsi="Univers"/>
                      <w:sz w:val="22"/>
                      <w:szCs w:val="22"/>
                    </w:rPr>
                    <w:t xml:space="preserve"> Dit kan worden afgeleid uit het </w:t>
                  </w:r>
                  <w:proofErr w:type="spellStart"/>
                  <w:r>
                    <w:rPr>
                      <w:rFonts w:ascii="Univers" w:hAnsi="Univers" w:cstheme="minorHAnsi"/>
                      <w:sz w:val="22"/>
                      <w:szCs w:val="22"/>
                    </w:rPr>
                    <w:t>Soering</w:t>
                  </w:r>
                  <w:proofErr w:type="spellEnd"/>
                  <w:r>
                    <w:rPr>
                      <w:rFonts w:ascii="Univers" w:hAnsi="Univers" w:cstheme="minorHAnsi"/>
                      <w:sz w:val="22"/>
                      <w:szCs w:val="22"/>
                    </w:rPr>
                    <w:t xml:space="preserve">-arrest, dat ziet op uitlevering maar dat tevens relevant wordt geacht voor het </w:t>
                  </w:r>
                  <w:r>
                    <w:rPr>
                      <w:rFonts w:ascii="Univers" w:hAnsi="Univers" w:cstheme="minorHAnsi"/>
                      <w:sz w:val="22"/>
                      <w:szCs w:val="22"/>
                    </w:rPr>
                    <w:t>verlenen van wederzijdse rechtshulp.</w:t>
                  </w:r>
                  <w:r>
                    <w:rPr>
                      <w:rStyle w:val="FootnoteReference"/>
                      <w:rFonts w:cstheme="minorHAnsi"/>
                      <w:sz w:val="22"/>
                      <w:szCs w:val="22"/>
                    </w:rPr>
                    <w:footnoteReference w:id="12"/>
                  </w:r>
                </w:p>
                <w:p w:rsidR="0043580C" w:rsidP="0064444F" w:rsidRDefault="00242C11" w14:paraId="379A1654" w14:textId="77777777">
                  <w:pPr>
                    <w:pStyle w:val="CommentText"/>
                    <w:spacing w:after="0" w:line="240" w:lineRule="auto"/>
                    <w:contextualSpacing/>
                    <w:rPr>
                      <w:rFonts w:ascii="Univers" w:hAnsi="Univers"/>
                      <w:sz w:val="22"/>
                      <w:szCs w:val="22"/>
                    </w:rPr>
                  </w:pPr>
                </w:p>
                <w:p w:rsidR="003523AD" w:rsidP="0064444F" w:rsidRDefault="00242C11" w14:paraId="2D5758ED" w14:textId="77777777">
                  <w:pPr>
                    <w:pStyle w:val="CommentText"/>
                    <w:spacing w:after="0" w:line="240" w:lineRule="auto"/>
                    <w:contextualSpacing/>
                    <w:rPr>
                      <w:rFonts w:ascii="Univers" w:hAnsi="Univers" w:cstheme="minorHAnsi"/>
                      <w:sz w:val="22"/>
                      <w:szCs w:val="22"/>
                    </w:rPr>
                  </w:pPr>
                  <w:r>
                    <w:rPr>
                      <w:rFonts w:ascii="Univers" w:hAnsi="Univers" w:cstheme="minorHAnsi"/>
                      <w:sz w:val="22"/>
                      <w:szCs w:val="22"/>
                    </w:rPr>
                    <w:t xml:space="preserve">Er is sprake van een positieve grondhouding ten opzichte van de inwilliging en uitvoering van een verzoek tot wederzijdse rechtshulp indien dit is gebaseerd op </w:t>
                  </w:r>
                  <w:r>
                    <w:rPr>
                      <w:rFonts w:ascii="Univers" w:hAnsi="Univers" w:cstheme="minorHAnsi"/>
                      <w:sz w:val="22"/>
                      <w:szCs w:val="22"/>
                    </w:rPr>
                    <w:lastRenderedPageBreak/>
                    <w:t>een verdrag.</w:t>
                  </w:r>
                  <w:r>
                    <w:rPr>
                      <w:rStyle w:val="FootnoteReference"/>
                      <w:rFonts w:cstheme="minorHAnsi"/>
                      <w:sz w:val="22"/>
                      <w:szCs w:val="22"/>
                    </w:rPr>
                    <w:footnoteReference w:id="13"/>
                  </w:r>
                  <w:r>
                    <w:rPr>
                      <w:rFonts w:ascii="Univers" w:hAnsi="Univers" w:cstheme="minorHAnsi"/>
                      <w:sz w:val="22"/>
                      <w:szCs w:val="22"/>
                    </w:rPr>
                    <w:t xml:space="preserve"> Er kan slechts van inwilliging van het ve</w:t>
                  </w:r>
                  <w:r>
                    <w:rPr>
                      <w:rFonts w:ascii="Univers" w:hAnsi="Univers" w:cstheme="minorHAnsi"/>
                      <w:sz w:val="22"/>
                      <w:szCs w:val="22"/>
                    </w:rPr>
                    <w:t>rzoek worden afgezien als zich belemmeringen van wezenlijke aard voordoen die voortvloeien uit het verdrag of de wet, in het bijzonder de weigeringsgronden, of indien door inwilliging van het rechtshulpverzoek wordt gehandeld in strijd met fundamentele beg</w:t>
                  </w:r>
                  <w:r>
                    <w:rPr>
                      <w:rFonts w:ascii="Univers" w:hAnsi="Univers" w:cstheme="minorHAnsi"/>
                      <w:sz w:val="22"/>
                      <w:szCs w:val="22"/>
                    </w:rPr>
                    <w:t>inselen van Nederlands strafprocesrecht.</w:t>
                  </w:r>
                  <w:r>
                    <w:rPr>
                      <w:rStyle w:val="FootnoteReference"/>
                      <w:rFonts w:cstheme="minorHAnsi"/>
                      <w:sz w:val="22"/>
                      <w:szCs w:val="22"/>
                    </w:rPr>
                    <w:footnoteReference w:id="14"/>
                  </w:r>
                  <w:r>
                    <w:rPr>
                      <w:rFonts w:ascii="Univers" w:hAnsi="Univers" w:cstheme="minorHAnsi"/>
                      <w:sz w:val="22"/>
                      <w:szCs w:val="22"/>
                    </w:rPr>
                    <w:t xml:space="preserve"> De rechter die in dit verband een beroep op het risico van een mensenrechtenschending beoordeelt, stelt zich terughoudend op gezien het vertrouwensbeginsel.</w:t>
                  </w:r>
                  <w:r>
                    <w:rPr>
                      <w:rStyle w:val="FootnoteReference"/>
                      <w:rFonts w:cstheme="minorHAnsi"/>
                      <w:sz w:val="22"/>
                      <w:szCs w:val="22"/>
                    </w:rPr>
                    <w:footnoteReference w:id="15"/>
                  </w:r>
                </w:p>
                <w:p w:rsidR="0043580C" w:rsidP="0064444F" w:rsidRDefault="00242C11" w14:paraId="0AFB4FB9" w14:textId="77777777">
                  <w:pPr>
                    <w:pStyle w:val="CommentText"/>
                    <w:spacing w:after="0" w:line="240" w:lineRule="auto"/>
                    <w:contextualSpacing/>
                    <w:rPr>
                      <w:rFonts w:ascii="Univers" w:hAnsi="Univers" w:cstheme="minorHAnsi"/>
                      <w:sz w:val="22"/>
                      <w:szCs w:val="22"/>
                    </w:rPr>
                  </w:pPr>
                </w:p>
                <w:p w:rsidRPr="003161CE" w:rsidR="0043580C" w:rsidP="0064444F" w:rsidRDefault="00242C11" w14:paraId="662E1497" w14:textId="77777777">
                  <w:pPr>
                    <w:contextualSpacing/>
                    <w:rPr>
                      <w:rFonts w:cstheme="minorHAnsi"/>
                      <w:i/>
                      <w:iCs/>
                      <w:szCs w:val="22"/>
                    </w:rPr>
                  </w:pPr>
                  <w:r>
                    <w:rPr>
                      <w:rFonts w:cstheme="minorHAnsi"/>
                      <w:szCs w:val="22"/>
                    </w:rPr>
                    <w:t>b.</w:t>
                  </w:r>
                  <w:r>
                    <w:rPr>
                      <w:rFonts w:cstheme="minorHAnsi"/>
                      <w:szCs w:val="22"/>
                    </w:rPr>
                    <w:tab/>
                  </w:r>
                  <w:r>
                    <w:rPr>
                      <w:rFonts w:cstheme="minorHAnsi"/>
                      <w:i/>
                      <w:iCs/>
                      <w:szCs w:val="22"/>
                    </w:rPr>
                    <w:t>Mensenrechtensituatie VAE</w:t>
                  </w:r>
                </w:p>
                <w:p w:rsidR="0043580C" w:rsidP="0064444F" w:rsidRDefault="00242C11" w14:paraId="10D8E164" w14:textId="77777777">
                  <w:pPr>
                    <w:contextualSpacing/>
                    <w:rPr>
                      <w:rFonts w:cstheme="minorHAnsi"/>
                      <w:szCs w:val="22"/>
                    </w:rPr>
                  </w:pPr>
                  <w:r>
                    <w:rPr>
                      <w:rFonts w:cstheme="minorHAnsi"/>
                      <w:szCs w:val="22"/>
                    </w:rPr>
                    <w:t>Het voorgaande brengt me</w:t>
                  </w:r>
                  <w:r>
                    <w:rPr>
                      <w:rFonts w:cstheme="minorHAnsi"/>
                      <w:szCs w:val="22"/>
                    </w:rPr>
                    <w:t>t zich dat de regering bij het voorstel tot goedkeuring van een bilateraal rechtshulpverdrag een goed beeld zal moeten hebben van de mensenrechtensituatie in het land waarmee het verdrag is gesloten. Goedkeuring van rechtshulpverdrag kan alleen gegeven wor</w:t>
                  </w:r>
                  <w:r>
                    <w:rPr>
                      <w:rFonts w:cstheme="minorHAnsi"/>
                      <w:szCs w:val="22"/>
                    </w:rPr>
                    <w:t>den als voldoende zekerheid bestaat dat rechtshulp in het algemeen, mede met het oog op de hiervoor genoemde verdragsverplichtingen, verantwoord zal zijn.</w:t>
                  </w:r>
                </w:p>
                <w:p w:rsidR="0043580C" w:rsidP="0064444F" w:rsidRDefault="00242C11" w14:paraId="6B4B6875" w14:textId="77777777">
                  <w:pPr>
                    <w:contextualSpacing/>
                    <w:rPr>
                      <w:rFonts w:cstheme="minorHAnsi"/>
                      <w:szCs w:val="22"/>
                    </w:rPr>
                  </w:pPr>
                </w:p>
                <w:p w:rsidR="0043580C" w:rsidP="0064444F" w:rsidRDefault="00242C11" w14:paraId="46F33402" w14:textId="77777777">
                  <w:pPr>
                    <w:contextualSpacing/>
                    <w:rPr>
                      <w:rFonts w:cstheme="minorHAnsi"/>
                      <w:szCs w:val="22"/>
                    </w:rPr>
                  </w:pPr>
                  <w:r>
                    <w:rPr>
                      <w:rFonts w:cstheme="minorHAnsi"/>
                      <w:szCs w:val="22"/>
                    </w:rPr>
                    <w:t xml:space="preserve">In de toelichting op het voorliggende verdrag ontbreekt een uiteenzetting over dit onderwerp. In de </w:t>
                  </w:r>
                  <w:r>
                    <w:rPr>
                      <w:rFonts w:cstheme="minorHAnsi"/>
                      <w:szCs w:val="22"/>
                    </w:rPr>
                    <w:t>toelichting wordt enkel aandacht besteed aan de omstandigheid dat in de VAE de doodstraf en lijfstraffen kunnen worden opgelegd. Het verdrag voorziet erin dat het verlenen van rechtshulp kan worden geweigerd als er geen voldoende garantie wordt gegeven dat</w:t>
                  </w:r>
                  <w:r>
                    <w:rPr>
                      <w:rFonts w:cstheme="minorHAnsi"/>
                      <w:szCs w:val="22"/>
                    </w:rPr>
                    <w:t xml:space="preserve"> geen doodstraf of lijfstraffen worden opgelegd dan wel dat deze niet ten uitvoer zal worden gelegd.</w:t>
                  </w:r>
                  <w:r>
                    <w:rPr>
                      <w:rStyle w:val="FootnoteReference"/>
                      <w:rFonts w:cstheme="minorHAnsi"/>
                      <w:szCs w:val="22"/>
                    </w:rPr>
                    <w:footnoteReference w:id="16"/>
                  </w:r>
                  <w:r>
                    <w:rPr>
                      <w:rFonts w:cstheme="minorHAnsi"/>
                      <w:szCs w:val="22"/>
                    </w:rPr>
                    <w:t xml:space="preserve"> Daardoor vormt het bestaan van de doodstraf en lijfstraffen in de VAE voor goedkeuring van het verdrag in beginsel geen beletsel. </w:t>
                  </w:r>
                </w:p>
                <w:p w:rsidR="0043580C" w:rsidP="0064444F" w:rsidRDefault="00242C11" w14:paraId="7B1F12F4" w14:textId="77777777">
                  <w:pPr>
                    <w:contextualSpacing/>
                    <w:rPr>
                      <w:rFonts w:cstheme="minorHAnsi"/>
                      <w:szCs w:val="22"/>
                    </w:rPr>
                  </w:pPr>
                </w:p>
                <w:p w:rsidR="0043580C" w:rsidP="0064444F" w:rsidRDefault="00242C11" w14:paraId="72271FDC" w14:textId="77777777">
                  <w:pPr>
                    <w:contextualSpacing/>
                    <w:rPr>
                      <w:rFonts w:cstheme="minorHAnsi"/>
                      <w:szCs w:val="22"/>
                    </w:rPr>
                  </w:pPr>
                  <w:r>
                    <w:rPr>
                      <w:rFonts w:cstheme="minorHAnsi"/>
                      <w:szCs w:val="22"/>
                    </w:rPr>
                    <w:t>In diverse mensenrech</w:t>
                  </w:r>
                  <w:r>
                    <w:rPr>
                      <w:rFonts w:cstheme="minorHAnsi"/>
                      <w:szCs w:val="22"/>
                    </w:rPr>
                    <w:t>tenrapportages wordt evenwel het beeld geschetst dat daarnaast sprake is van mensenrechtenschendingen ten aanzien van politieke gevangenen, zoals mensenrechtenactivisten.</w:t>
                  </w:r>
                  <w:r>
                    <w:rPr>
                      <w:rStyle w:val="FootnoteReference"/>
                      <w:rFonts w:cstheme="minorHAnsi"/>
                      <w:szCs w:val="22"/>
                    </w:rPr>
                    <w:footnoteReference w:id="17"/>
                  </w:r>
                  <w:r>
                    <w:rPr>
                      <w:rFonts w:cstheme="minorHAnsi"/>
                      <w:szCs w:val="22"/>
                    </w:rPr>
                    <w:t xml:space="preserve"> Uit de rapportages komt naar voren dat foltering in die gevallen niet wordt geschuw</w:t>
                  </w:r>
                  <w:r>
                    <w:rPr>
                      <w:rFonts w:cstheme="minorHAnsi"/>
                      <w:szCs w:val="22"/>
                    </w:rPr>
                    <w:t>d.</w:t>
                  </w:r>
                  <w:r>
                    <w:rPr>
                      <w:rStyle w:val="FootnoteReference"/>
                      <w:rFonts w:cstheme="minorHAnsi"/>
                      <w:szCs w:val="22"/>
                    </w:rPr>
                    <w:footnoteReference w:id="18"/>
                  </w:r>
                  <w:r>
                    <w:rPr>
                      <w:rFonts w:cstheme="minorHAnsi"/>
                      <w:szCs w:val="22"/>
                    </w:rPr>
                    <w:t xml:space="preserve"> Ook dit gegeven vormt voor goedkeuring van het verdrag niet zonder meer een beletsel. Het verdrag voorziet er immers in dat rechtshulp wordt geweigerd indien het betrekking heeft op een strafbaar feit dat door de aangezochte staat wordt gezien als een</w:t>
                  </w:r>
                  <w:r>
                    <w:rPr>
                      <w:rFonts w:cstheme="minorHAnsi"/>
                      <w:szCs w:val="22"/>
                    </w:rPr>
                    <w:t xml:space="preserve"> politiek delict.</w:t>
                  </w:r>
                  <w:r>
                    <w:rPr>
                      <w:rStyle w:val="FootnoteReference"/>
                      <w:rFonts w:cstheme="minorHAnsi"/>
                      <w:szCs w:val="22"/>
                    </w:rPr>
                    <w:footnoteReference w:id="19"/>
                  </w:r>
                  <w:r>
                    <w:rPr>
                      <w:rFonts w:cstheme="minorHAnsi"/>
                      <w:szCs w:val="22"/>
                    </w:rPr>
                    <w:t xml:space="preserve"> </w:t>
                  </w:r>
                </w:p>
                <w:p w:rsidR="0043580C" w:rsidP="0064444F" w:rsidRDefault="00242C11" w14:paraId="61FE39A0" w14:textId="77777777">
                  <w:pPr>
                    <w:contextualSpacing/>
                    <w:rPr>
                      <w:rFonts w:cstheme="minorHAnsi"/>
                      <w:szCs w:val="22"/>
                    </w:rPr>
                  </w:pPr>
                </w:p>
                <w:p w:rsidR="0043580C" w:rsidP="0064444F" w:rsidRDefault="00242C11" w14:paraId="70F58EF5" w14:textId="77777777">
                  <w:pPr>
                    <w:contextualSpacing/>
                    <w:rPr>
                      <w:rFonts w:cstheme="minorHAnsi"/>
                      <w:szCs w:val="22"/>
                    </w:rPr>
                  </w:pPr>
                  <w:r>
                    <w:rPr>
                      <w:szCs w:val="22"/>
                    </w:rPr>
                    <w:t>Wel is de inhoud van deze rapportages zorgelijk te noemen. Dit doet vragen rijzen</w:t>
                  </w:r>
                  <w:r>
                    <w:rPr>
                      <w:rFonts w:cstheme="minorHAnsi"/>
                      <w:szCs w:val="22"/>
                    </w:rPr>
                    <w:t xml:space="preserve"> ten aanzien van de mensenrechtensituatie van verdachten van of andere betrokkenen bij strafbare feiten waarvoor rechtshulp kan worden verleend.</w:t>
                  </w:r>
                  <w:r>
                    <w:rPr>
                      <w:rStyle w:val="FootnoteReference"/>
                      <w:rFonts w:cstheme="minorHAnsi"/>
                      <w:szCs w:val="22"/>
                    </w:rPr>
                    <w:footnoteReference w:id="20"/>
                  </w:r>
                  <w:r>
                    <w:rPr>
                      <w:rFonts w:cstheme="minorHAnsi"/>
                      <w:szCs w:val="22"/>
                    </w:rPr>
                    <w:t xml:space="preserve"> De mensenrechtenrapportages geven daarvan niet een helder beeld. De rapportages gaan bijvoorbeeld niet in op de vraag of en in hoeverre in de VAE het recht op een eerlijk proces wordt geschonden: in hoeverre zijn de rechters onafhankelijk en zijn er waarb</w:t>
                  </w:r>
                  <w:r>
                    <w:rPr>
                      <w:rFonts w:cstheme="minorHAnsi"/>
                      <w:szCs w:val="22"/>
                    </w:rPr>
                    <w:t>orgen voor een eerlijk proces?</w:t>
                  </w:r>
                </w:p>
                <w:p w:rsidR="0043580C" w:rsidP="0064444F" w:rsidRDefault="00242C11" w14:paraId="177A330F" w14:textId="77777777">
                  <w:pPr>
                    <w:contextualSpacing/>
                    <w:rPr>
                      <w:rFonts w:cstheme="minorHAnsi"/>
                      <w:szCs w:val="22"/>
                    </w:rPr>
                  </w:pPr>
                  <w:r>
                    <w:rPr>
                      <w:rFonts w:cstheme="minorHAnsi"/>
                      <w:szCs w:val="22"/>
                    </w:rPr>
                    <w:t xml:space="preserve"> </w:t>
                  </w:r>
                </w:p>
                <w:p w:rsidR="0043580C" w:rsidP="0064444F" w:rsidRDefault="00242C11" w14:paraId="46058936" w14:textId="77777777">
                  <w:pPr>
                    <w:contextualSpacing/>
                    <w:rPr>
                      <w:rFonts w:cstheme="minorHAnsi"/>
                      <w:szCs w:val="22"/>
                    </w:rPr>
                  </w:pPr>
                  <w:r>
                    <w:rPr>
                      <w:rFonts w:cstheme="minorHAnsi"/>
                      <w:szCs w:val="22"/>
                    </w:rPr>
                    <w:t>In dat licht is tevens van belang dat de VAE geen partij zijn bij het Internationaal Verdrag inzake burgerrechten en politieke rechten,</w:t>
                  </w:r>
                  <w:r>
                    <w:rPr>
                      <w:rStyle w:val="FootnoteReference"/>
                      <w:rFonts w:cstheme="minorHAnsi"/>
                      <w:szCs w:val="22"/>
                    </w:rPr>
                    <w:footnoteReference w:id="21"/>
                  </w:r>
                  <w:r>
                    <w:rPr>
                      <w:rFonts w:cstheme="minorHAnsi"/>
                      <w:szCs w:val="22"/>
                    </w:rPr>
                    <w:t xml:space="preserve"> en het Internationaal Verdrag inzake economische, sociale en culturele rechten.</w:t>
                  </w:r>
                  <w:r>
                    <w:rPr>
                      <w:rStyle w:val="FootnoteReference"/>
                      <w:rFonts w:cstheme="minorHAnsi"/>
                      <w:szCs w:val="22"/>
                    </w:rPr>
                    <w:footnoteReference w:id="22"/>
                  </w:r>
                  <w:r>
                    <w:rPr>
                      <w:rFonts w:cstheme="minorHAnsi"/>
                      <w:szCs w:val="22"/>
                    </w:rPr>
                    <w:t xml:space="preserve"> Wel zijn de VAE toegetreden tot verschillende andere mensenrechtenverdragen, zoals het Verdrag inzake de uitbanning van alle vormen van rassendiscriminatie,</w:t>
                  </w:r>
                  <w:r>
                    <w:rPr>
                      <w:rStyle w:val="FootnoteReference"/>
                      <w:rFonts w:cstheme="minorHAnsi"/>
                      <w:szCs w:val="22"/>
                    </w:rPr>
                    <w:footnoteReference w:id="23"/>
                  </w:r>
                  <w:r>
                    <w:rPr>
                      <w:rFonts w:cstheme="minorHAnsi"/>
                      <w:szCs w:val="22"/>
                    </w:rPr>
                    <w:t xml:space="preserve"> het Genocideverdrag,</w:t>
                  </w:r>
                  <w:r>
                    <w:rPr>
                      <w:rStyle w:val="FootnoteReference"/>
                      <w:rFonts w:cstheme="minorHAnsi"/>
                      <w:szCs w:val="22"/>
                    </w:rPr>
                    <w:footnoteReference w:id="24"/>
                  </w:r>
                  <w:r>
                    <w:rPr>
                      <w:rFonts w:cstheme="minorHAnsi"/>
                      <w:szCs w:val="22"/>
                    </w:rPr>
                    <w:t xml:space="preserve"> het Verdrag inzake de uitbanning van alle vormen van discriminatie van vr</w:t>
                  </w:r>
                  <w:r>
                    <w:rPr>
                      <w:rFonts w:cstheme="minorHAnsi"/>
                      <w:szCs w:val="22"/>
                    </w:rPr>
                    <w:t>ouwen</w:t>
                  </w:r>
                  <w:r>
                    <w:rPr>
                      <w:rStyle w:val="FootnoteReference"/>
                      <w:rFonts w:cstheme="minorHAnsi"/>
                      <w:szCs w:val="22"/>
                    </w:rPr>
                    <w:footnoteReference w:id="25"/>
                  </w:r>
                  <w:r>
                    <w:rPr>
                      <w:rFonts w:cstheme="minorHAnsi"/>
                      <w:szCs w:val="22"/>
                    </w:rPr>
                    <w:t xml:space="preserve"> en het Folterverdrag.</w:t>
                  </w:r>
                  <w:r>
                    <w:rPr>
                      <w:rStyle w:val="FootnoteReference"/>
                      <w:rFonts w:cstheme="minorHAnsi"/>
                      <w:szCs w:val="22"/>
                    </w:rPr>
                    <w:footnoteReference w:id="26"/>
                  </w:r>
                  <w:r>
                    <w:rPr>
                      <w:rFonts w:cstheme="minorHAnsi"/>
                      <w:szCs w:val="22"/>
                    </w:rPr>
                    <w:t xml:space="preserve"> Bij een aantal van die verdragen hebben de VAE evenwel bezwaarlijke voorbehouden gemaakt en erkennen de VAE anders dan Nederland niet het individuele klachtrecht onder dit verdrag.</w:t>
                  </w:r>
                  <w:r>
                    <w:rPr>
                      <w:rStyle w:val="FootnoteReference"/>
                      <w:rFonts w:cstheme="minorHAnsi"/>
                      <w:szCs w:val="22"/>
                    </w:rPr>
                    <w:footnoteReference w:id="27"/>
                  </w:r>
                  <w:r>
                    <w:rPr>
                      <w:rFonts w:cstheme="minorHAnsi"/>
                      <w:szCs w:val="22"/>
                    </w:rPr>
                    <w:t xml:space="preserve"> </w:t>
                  </w:r>
                </w:p>
                <w:p w:rsidR="0043580C" w:rsidP="0064444F" w:rsidRDefault="00242C11" w14:paraId="5D6DB063" w14:textId="77777777">
                  <w:pPr>
                    <w:contextualSpacing/>
                    <w:rPr>
                      <w:rFonts w:cstheme="minorHAnsi"/>
                      <w:szCs w:val="22"/>
                    </w:rPr>
                  </w:pPr>
                </w:p>
                <w:p w:rsidR="0043580C" w:rsidP="0064444F" w:rsidRDefault="00242C11" w14:paraId="5414A2A6" w14:textId="77777777">
                  <w:pPr>
                    <w:contextualSpacing/>
                    <w:rPr>
                      <w:rFonts w:cstheme="minorHAnsi"/>
                      <w:szCs w:val="22"/>
                    </w:rPr>
                  </w:pPr>
                  <w:r>
                    <w:rPr>
                      <w:rFonts w:cstheme="minorHAnsi"/>
                      <w:szCs w:val="22"/>
                    </w:rPr>
                    <w:t>Bovendien zijn de VAE geen partij bij h</w:t>
                  </w:r>
                  <w:r>
                    <w:rPr>
                      <w:rFonts w:cstheme="minorHAnsi"/>
                      <w:szCs w:val="22"/>
                    </w:rPr>
                    <w:t>et Facultatief Protocol bij het Folterverdrag.</w:t>
                  </w:r>
                  <w:r>
                    <w:rPr>
                      <w:rStyle w:val="FootnoteReference"/>
                      <w:rFonts w:cstheme="minorHAnsi"/>
                      <w:szCs w:val="22"/>
                    </w:rPr>
                    <w:footnoteReference w:id="28"/>
                  </w:r>
                  <w:r>
                    <w:rPr>
                      <w:rFonts w:cstheme="minorHAnsi"/>
                      <w:szCs w:val="22"/>
                    </w:rPr>
                    <w:t xml:space="preserve"> Dat protocol heeft </w:t>
                  </w:r>
                  <w:r>
                    <w:rPr>
                      <w:rFonts w:cstheme="minorHAnsi"/>
                      <w:szCs w:val="22"/>
                      <w:shd w:val="clear" w:color="auto" w:fill="FFFFFF"/>
                    </w:rPr>
                    <w:t>een systeem in het leven geroepen van periodieke bezoeken door onafhankelijke internationale en nationale organen aan plaatsen waar personen gedetineerd worden teneinde foltering of onmens</w:t>
                  </w:r>
                  <w:r>
                    <w:rPr>
                      <w:rFonts w:cstheme="minorHAnsi"/>
                      <w:szCs w:val="22"/>
                      <w:shd w:val="clear" w:color="auto" w:fill="FFFFFF"/>
                    </w:rPr>
                    <w:t xml:space="preserve">elijke of vernederende behandeling of bestraffing te voorkomen. </w:t>
                  </w:r>
                  <w:r>
                    <w:rPr>
                      <w:rFonts w:cstheme="minorHAnsi"/>
                      <w:szCs w:val="22"/>
                    </w:rPr>
                    <w:t>Onafhankelijke mensenrechtenorganisaties worden daarnaast niet toegelaten voor het doen van onderzoek in het land en het bezoeken van gevangenissen.</w:t>
                  </w:r>
                  <w:r>
                    <w:rPr>
                      <w:rStyle w:val="FootnoteReference"/>
                      <w:rFonts w:cstheme="minorHAnsi"/>
                      <w:szCs w:val="22"/>
                    </w:rPr>
                    <w:footnoteReference w:id="29"/>
                  </w:r>
                  <w:r>
                    <w:rPr>
                      <w:rFonts w:cstheme="minorHAnsi"/>
                      <w:szCs w:val="22"/>
                    </w:rPr>
                    <w:t xml:space="preserve"> Dit bemoeilijkt dus het internationaal to</w:t>
                  </w:r>
                  <w:r>
                    <w:rPr>
                      <w:rFonts w:cstheme="minorHAnsi"/>
                      <w:szCs w:val="22"/>
                    </w:rPr>
                    <w:t xml:space="preserve">ezicht op de mensenrechtensituatie in de VAE. </w:t>
                  </w:r>
                </w:p>
                <w:p w:rsidR="0043580C" w:rsidP="0064444F" w:rsidRDefault="00242C11" w14:paraId="36B0AE98" w14:textId="77777777">
                  <w:pPr>
                    <w:pStyle w:val="CommentText"/>
                    <w:spacing w:after="0" w:line="240" w:lineRule="auto"/>
                    <w:contextualSpacing/>
                    <w:rPr>
                      <w:rFonts w:ascii="Univers" w:hAnsi="Univers" w:cstheme="minorHAnsi"/>
                      <w:sz w:val="22"/>
                      <w:szCs w:val="22"/>
                    </w:rPr>
                  </w:pPr>
                </w:p>
                <w:p w:rsidRPr="003161CE" w:rsidR="0043580C" w:rsidP="0064444F" w:rsidRDefault="00242C11" w14:paraId="3326D376" w14:textId="77777777">
                  <w:pPr>
                    <w:pStyle w:val="CommentText"/>
                    <w:spacing w:after="0" w:line="240" w:lineRule="auto"/>
                    <w:contextualSpacing/>
                    <w:rPr>
                      <w:rFonts w:ascii="Univers" w:hAnsi="Univers" w:cstheme="minorHAnsi"/>
                      <w:i/>
                      <w:iCs/>
                      <w:sz w:val="22"/>
                      <w:szCs w:val="22"/>
                    </w:rPr>
                  </w:pPr>
                  <w:r>
                    <w:rPr>
                      <w:rFonts w:ascii="Univers" w:hAnsi="Univers" w:cstheme="minorHAnsi"/>
                      <w:sz w:val="22"/>
                      <w:szCs w:val="22"/>
                    </w:rPr>
                    <w:t>c.</w:t>
                  </w:r>
                  <w:r>
                    <w:rPr>
                      <w:rFonts w:ascii="Univers" w:hAnsi="Univers" w:cstheme="minorHAnsi"/>
                      <w:sz w:val="22"/>
                      <w:szCs w:val="22"/>
                    </w:rPr>
                    <w:tab/>
                  </w:r>
                  <w:r>
                    <w:rPr>
                      <w:rFonts w:ascii="Univers" w:hAnsi="Univers" w:cstheme="minorHAnsi"/>
                      <w:i/>
                      <w:iCs/>
                      <w:sz w:val="22"/>
                      <w:szCs w:val="22"/>
                    </w:rPr>
                    <w:t>Beoordeling</w:t>
                  </w:r>
                </w:p>
                <w:p w:rsidR="0043580C" w:rsidP="0064444F" w:rsidRDefault="00242C11" w14:paraId="738B3253" w14:textId="77777777">
                  <w:pPr>
                    <w:pStyle w:val="CommentText"/>
                    <w:spacing w:after="0" w:line="240" w:lineRule="auto"/>
                    <w:contextualSpacing/>
                    <w:rPr>
                      <w:rFonts w:ascii="Univers" w:hAnsi="Univers" w:cstheme="minorHAnsi"/>
                      <w:sz w:val="22"/>
                      <w:szCs w:val="22"/>
                    </w:rPr>
                  </w:pPr>
                  <w:r>
                    <w:rPr>
                      <w:rFonts w:ascii="Univers" w:hAnsi="Univers" w:cstheme="minorHAnsi"/>
                      <w:sz w:val="22"/>
                      <w:szCs w:val="22"/>
                    </w:rPr>
                    <w:t>Mede in verband met de door het vertrouwensbeginsel ingegeven positieve grondhouding ten opzichte van de inwilliging en uitvoering van een verzoek tot wederzijdse rechtshulp en de terughoudende</w:t>
                  </w:r>
                  <w:r>
                    <w:rPr>
                      <w:rFonts w:ascii="Univers" w:hAnsi="Univers" w:cstheme="minorHAnsi"/>
                      <w:sz w:val="22"/>
                      <w:szCs w:val="22"/>
                    </w:rPr>
                    <w:t xml:space="preserve"> opstelling van de rechter die vanwege het vertrouwensbeginsel in het verdrag besloten ligt, </w:t>
                  </w:r>
                  <w:r>
                    <w:rPr>
                      <w:rFonts w:ascii="Univers" w:hAnsi="Univers" w:cstheme="minorHAnsi"/>
                      <w:sz w:val="22"/>
                      <w:szCs w:val="22"/>
                    </w:rPr>
                    <w:t>is</w:t>
                  </w:r>
                  <w:r>
                    <w:rPr>
                      <w:rFonts w:ascii="Univers" w:hAnsi="Univers" w:cstheme="minorHAnsi"/>
                      <w:sz w:val="22"/>
                      <w:szCs w:val="22"/>
                    </w:rPr>
                    <w:t xml:space="preserve"> het van belang dat de regering bij het aangaan van een bilateraal verdrag zorgvuldig de mensenrechtensituatie in de andere staat beoordeelt. Deze afweging dient</w:t>
                  </w:r>
                  <w:r>
                    <w:rPr>
                      <w:rFonts w:ascii="Univers" w:hAnsi="Univers" w:cstheme="minorHAnsi"/>
                      <w:sz w:val="22"/>
                      <w:szCs w:val="22"/>
                    </w:rPr>
                    <w:t xml:space="preserve"> met het oog op de parlementaire goedkeuring van het verdrag tot uitdrukking te komen in de memorie van toelichting.</w:t>
                  </w:r>
                  <w:r>
                    <w:rPr>
                      <w:rStyle w:val="FootnoteReference"/>
                      <w:rFonts w:cstheme="minorHAnsi"/>
                      <w:sz w:val="22"/>
                      <w:szCs w:val="22"/>
                    </w:rPr>
                    <w:footnoteReference w:id="30"/>
                  </w:r>
                  <w:r>
                    <w:rPr>
                      <w:rFonts w:ascii="Univers" w:hAnsi="Univers" w:cstheme="minorHAnsi"/>
                      <w:sz w:val="22"/>
                      <w:szCs w:val="22"/>
                    </w:rPr>
                    <w:t xml:space="preserve"> </w:t>
                  </w:r>
                </w:p>
                <w:p w:rsidR="0043580C" w:rsidP="0064444F" w:rsidRDefault="00242C11" w14:paraId="3E169FE6" w14:textId="77777777">
                  <w:pPr>
                    <w:pStyle w:val="CommentText"/>
                    <w:spacing w:after="0" w:line="240" w:lineRule="auto"/>
                    <w:contextualSpacing/>
                    <w:rPr>
                      <w:rFonts w:ascii="Univers" w:hAnsi="Univers" w:cstheme="minorHAnsi"/>
                      <w:sz w:val="22"/>
                      <w:szCs w:val="22"/>
                    </w:rPr>
                  </w:pPr>
                </w:p>
                <w:p w:rsidR="00863A01" w:rsidRDefault="00242C11" w14:paraId="05011D3D" w14:textId="77777777">
                  <w:pPr>
                    <w:pStyle w:val="CommentText"/>
                    <w:spacing w:after="0" w:line="240" w:lineRule="auto"/>
                    <w:contextualSpacing/>
                  </w:pPr>
                  <w:r>
                    <w:rPr>
                      <w:rFonts w:ascii="Univers" w:hAnsi="Univers" w:cstheme="minorHAnsi"/>
                      <w:sz w:val="22"/>
                      <w:szCs w:val="22"/>
                    </w:rPr>
                    <w:t xml:space="preserve">De toelichting geeft er geen blijk van dat een dergelijke beoordeling heeft plaatsgevonden. De Afdeling adviseert </w:t>
                  </w:r>
                  <w:r>
                    <w:rPr>
                      <w:rFonts w:ascii="Univers" w:hAnsi="Univers"/>
                      <w:sz w:val="22"/>
                      <w:szCs w:val="22"/>
                    </w:rPr>
                    <w:t xml:space="preserve">in de toelichting </w:t>
                  </w:r>
                  <w:r>
                    <w:rPr>
                      <w:rFonts w:ascii="Univers" w:hAnsi="Univers"/>
                      <w:sz w:val="22"/>
                      <w:szCs w:val="22"/>
                    </w:rPr>
                    <w:t xml:space="preserve">alsnog </w:t>
                  </w:r>
                  <w:r>
                    <w:rPr>
                      <w:rFonts w:ascii="Univers" w:hAnsi="Univers"/>
                      <w:sz w:val="22"/>
                      <w:szCs w:val="22"/>
                    </w:rPr>
                    <w:t>aandacht te besteden aan de mensenrechtensituatie in de VAE. Hierbij kan worden gedacht aan een uiteenzetting van het</w:t>
                  </w:r>
                  <w:r>
                    <w:rPr>
                      <w:rFonts w:ascii="Univers" w:hAnsi="Univers"/>
                      <w:sz w:val="22"/>
                      <w:szCs w:val="22"/>
                    </w:rPr>
                    <w:t xml:space="preserve"> beeld dat uit de verschille</w:t>
                  </w:r>
                  <w:r w:rsidRPr="00354646">
                    <w:rPr>
                      <w:rFonts w:ascii="Univers" w:hAnsi="Univers"/>
                      <w:sz w:val="22"/>
                      <w:szCs w:val="22"/>
                    </w:rPr>
                    <w:t xml:space="preserve">nde mensenrechtenrapportages naar voren komt ten aanzien van de in het EVRM en het </w:t>
                  </w:r>
                  <w:r w:rsidRPr="00354646">
                    <w:rPr>
                      <w:rFonts w:ascii="Univers" w:hAnsi="Univers" w:cstheme="minorHAnsi"/>
                      <w:sz w:val="22"/>
                      <w:szCs w:val="22"/>
                    </w:rPr>
                    <w:t xml:space="preserve">Internationaal Verdrag inzake burgerrechten en politieke rechten </w:t>
                  </w:r>
                  <w:r w:rsidRPr="00354646">
                    <w:rPr>
                      <w:rFonts w:ascii="Univers" w:hAnsi="Univers"/>
                      <w:sz w:val="22"/>
                      <w:szCs w:val="22"/>
                    </w:rPr>
                    <w:t xml:space="preserve">beschermde mensenrechten, in het bijzonder het verbod </w:t>
                  </w:r>
                  <w:r w:rsidRPr="00910168">
                    <w:rPr>
                      <w:rFonts w:ascii="Univers" w:hAnsi="Univers"/>
                      <w:sz w:val="22"/>
                      <w:szCs w:val="22"/>
                    </w:rPr>
                    <w:t xml:space="preserve">op foltering </w:t>
                  </w:r>
                  <w:r>
                    <w:rPr>
                      <w:rFonts w:ascii="Univers" w:hAnsi="Univers"/>
                      <w:sz w:val="22"/>
                      <w:szCs w:val="22"/>
                    </w:rPr>
                    <w:t xml:space="preserve">of </w:t>
                  </w:r>
                  <w:r w:rsidRPr="00910168">
                    <w:rPr>
                      <w:rFonts w:ascii="Univers" w:hAnsi="Univers" w:cs="Arial"/>
                      <w:color w:val="333333"/>
                      <w:sz w:val="22"/>
                      <w:szCs w:val="22"/>
                      <w:shd w:val="clear" w:color="auto" w:fill="FFFFFF"/>
                    </w:rPr>
                    <w:t>onmenselij</w:t>
                  </w:r>
                  <w:r w:rsidRPr="00910168">
                    <w:rPr>
                      <w:rFonts w:ascii="Univers" w:hAnsi="Univers" w:cs="Arial"/>
                      <w:color w:val="333333"/>
                      <w:sz w:val="22"/>
                      <w:szCs w:val="22"/>
                      <w:shd w:val="clear" w:color="auto" w:fill="FFFFFF"/>
                    </w:rPr>
                    <w:t>ke of vernederende behandeling of bestraffing</w:t>
                  </w:r>
                  <w:r>
                    <w:rPr>
                      <w:rFonts w:ascii="Univers" w:hAnsi="Univers" w:cstheme="minorHAnsi"/>
                      <w:sz w:val="22"/>
                      <w:szCs w:val="22"/>
                    </w:rPr>
                    <w:t xml:space="preserve"> </w:t>
                  </w:r>
                  <w:r>
                    <w:rPr>
                      <w:rFonts w:ascii="Univers" w:hAnsi="Univers"/>
                      <w:sz w:val="22"/>
                      <w:szCs w:val="22"/>
                    </w:rPr>
                    <w:t>en het recht op een eerlijk proces, het al dan niet aangesloten zijn bij mensenrechtenverdragen en de daarbij gemaakte voorbehouden en de mogelijkheden van toezicht op de mensenrechtensituatie in de VAE.</w:t>
                  </w:r>
                </w:p>
              </w:sdtContent>
            </w:sdt>
          </w:sdtContent>
        </w:sdt>
        <w:p w:rsidR="003A1FC7" w:rsidRDefault="003A1FC7" w14:paraId="16CB691B" w14:textId="77777777"/>
        <w:sdt>
          <w:sdtPr>
            <w:alias w:val="Dictum"/>
            <w:tag w:val="Dictum"/>
            <w:id w:val="1621489950"/>
            <w:lock w:val="sdtContentLocked"/>
            <w:placeholder>
              <w:docPart w:val="DefaultPlaceholder_1082065158"/>
            </w:placeholder>
            <w:text w:multiLine="1"/>
          </w:sdtPr>
          <w:sdtEndPr/>
          <w:sdtContent>
            <w:p w:rsidR="00863A01" w:rsidRDefault="00242C11" w14:paraId="148BF047" w14:textId="77777777">
              <w:r>
                <w:t>D</w:t>
              </w:r>
              <w:r>
                <w:t>e Afdeling advisering van de Raad van State van het Koninkrijk heeft opmerkingen bij het voorstel van rijkswet en adviseert daarmee rekening te houden voordat het voorstel van rijkswet bij de Tweede Kamer der Staten- Generaal wordt ingediend en aan de Stat</w:t>
              </w:r>
              <w:r>
                <w:t>en van Aruba, die van Curaçao en aan die van Sint Maarten wordt overgelegd.</w:t>
              </w:r>
              <w:r>
                <w:br/>
              </w:r>
              <w:r>
                <w:br/>
                <w:t>De vice-president van de Raad van State van het Koninkrijk</w:t>
              </w:r>
            </w:p>
          </w:sdtContent>
        </w:sdt>
      </w:sdtContent>
    </w:sdt>
    <w:sectPr w:rsidR="00863A01"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E2E9B4" w14:textId="77777777" w:rsidR="00847094" w:rsidRDefault="00242C11" w:rsidP="005B3E03">
      <w:r>
        <w:separator/>
      </w:r>
    </w:p>
    <w:p w14:paraId="702C89D6" w14:textId="77777777" w:rsidR="002D0ACF" w:rsidRDefault="00242C11"/>
  </w:endnote>
  <w:endnote w:type="continuationSeparator" w:id="0">
    <w:p w14:paraId="532AB694" w14:textId="77777777" w:rsidR="00847094" w:rsidRDefault="00242C11" w:rsidP="005B3E03">
      <w:r>
        <w:continuationSeparator/>
      </w:r>
    </w:p>
    <w:p w14:paraId="28AB2C5A" w14:textId="77777777" w:rsidR="002D0ACF" w:rsidRDefault="00242C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B169B" w14:textId="77777777" w:rsidR="00AA44F3" w:rsidRDefault="00AA44F3" w:rsidP="00AA44F3">
    <w:pPr>
      <w:pStyle w:val="Footer"/>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0B30839C" wp14:editId="5F35AB72">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D37585"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30839C"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" stroked="f">
              <v:textbox>
                <w:txbxContent>
                  <w:p w14:paraId="07D37585"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0BB99F" w14:textId="77777777" w:rsidR="00847094" w:rsidRDefault="00242C11" w:rsidP="005B3E03">
      <w:r>
        <w:separator/>
      </w:r>
    </w:p>
    <w:p w14:paraId="09DCBC17" w14:textId="77777777" w:rsidR="002D0ACF" w:rsidRDefault="00242C11"/>
  </w:footnote>
  <w:footnote w:type="continuationSeparator" w:id="0">
    <w:p w14:paraId="51138DFC" w14:textId="77777777" w:rsidR="00847094" w:rsidRDefault="00242C11" w:rsidP="005B3E03">
      <w:r>
        <w:continuationSeparator/>
      </w:r>
    </w:p>
    <w:p w14:paraId="763AF075" w14:textId="77777777" w:rsidR="002D0ACF" w:rsidRDefault="00242C11"/>
  </w:footnote>
  <w:footnote w:id="1">
    <w:p w14:paraId="28FF21F6" w14:textId="77777777" w:rsidR="0043580C" w:rsidRPr="00463AFB" w:rsidRDefault="00242C11">
      <w:pPr>
        <w:pStyle w:val="FootnoteText"/>
        <w:tabs>
          <w:tab w:val="clear" w:pos="227"/>
        </w:tabs>
        <w:contextualSpacing/>
        <w:rPr>
          <w:sz w:val="20"/>
        </w:rPr>
      </w:pPr>
      <w:r w:rsidRPr="00463AFB">
        <w:rPr>
          <w:rStyle w:val="FootnoteReference"/>
          <w:sz w:val="20"/>
        </w:rPr>
        <w:footnoteRef/>
      </w:r>
      <w:r w:rsidRPr="00463AFB">
        <w:rPr>
          <w:sz w:val="20"/>
        </w:rPr>
        <w:t xml:space="preserve"> </w:t>
      </w:r>
      <w:r>
        <w:rPr>
          <w:sz w:val="20"/>
        </w:rPr>
        <w:tab/>
      </w:r>
      <w:r w:rsidRPr="00463AFB">
        <w:rPr>
          <w:rFonts w:cstheme="minorHAnsi"/>
          <w:sz w:val="20"/>
        </w:rPr>
        <w:t xml:space="preserve">Op 29 augustus 2021 is eveneens een verdrag tussen dezelfde </w:t>
      </w:r>
      <w:r>
        <w:rPr>
          <w:rFonts w:cstheme="minorHAnsi"/>
          <w:sz w:val="20"/>
        </w:rPr>
        <w:t>staten</w:t>
      </w:r>
      <w:r w:rsidRPr="00463AFB">
        <w:rPr>
          <w:rFonts w:cstheme="minorHAnsi"/>
          <w:sz w:val="20"/>
        </w:rPr>
        <w:t xml:space="preserve"> inzake uitlevering tot stand gekomen (</w:t>
      </w:r>
      <w:proofErr w:type="spellStart"/>
      <w:r w:rsidRPr="00463AFB">
        <w:rPr>
          <w:rFonts w:cstheme="minorHAnsi"/>
          <w:sz w:val="20"/>
        </w:rPr>
        <w:t>Trb</w:t>
      </w:r>
      <w:proofErr w:type="spellEnd"/>
      <w:r w:rsidRPr="00463AFB">
        <w:rPr>
          <w:rFonts w:cstheme="minorHAnsi"/>
          <w:sz w:val="20"/>
        </w:rPr>
        <w:t xml:space="preserve">. 2021, 117). Zie het advies van de Afdeling advisering betreffende het Voorstel van Rijkswet inzake de </w:t>
      </w:r>
      <w:r w:rsidRPr="00463AFB">
        <w:rPr>
          <w:sz w:val="20"/>
        </w:rPr>
        <w:t>Goedkeuring van het op 29 augustus 2021 te A</w:t>
      </w:r>
      <w:r w:rsidRPr="00463AFB">
        <w:rPr>
          <w:sz w:val="20"/>
        </w:rPr>
        <w:t>bu Dhabi tot stand gekomen Verdrag tussen het Koninkrijk der Nederlanden en de Verenigde Arabische Emiraten inzake uitlevering (</w:t>
      </w:r>
      <w:proofErr w:type="spellStart"/>
      <w:r w:rsidRPr="00463AFB">
        <w:rPr>
          <w:sz w:val="20"/>
        </w:rPr>
        <w:t>Trb</w:t>
      </w:r>
      <w:proofErr w:type="spellEnd"/>
      <w:r w:rsidRPr="00463AFB">
        <w:rPr>
          <w:sz w:val="20"/>
        </w:rPr>
        <w:t>. 2021, 117).</w:t>
      </w:r>
    </w:p>
  </w:footnote>
  <w:footnote w:id="2">
    <w:p w14:paraId="5EC6A345" w14:textId="77777777" w:rsidR="0043580C" w:rsidRPr="00463AFB" w:rsidRDefault="00242C11">
      <w:pPr>
        <w:pStyle w:val="FootnoteText"/>
        <w:tabs>
          <w:tab w:val="clear" w:pos="227"/>
        </w:tabs>
        <w:contextualSpacing/>
        <w:rPr>
          <w:sz w:val="20"/>
        </w:rPr>
      </w:pPr>
      <w:r w:rsidRPr="00463AFB">
        <w:rPr>
          <w:rStyle w:val="FootnoteReference"/>
          <w:sz w:val="20"/>
        </w:rPr>
        <w:footnoteRef/>
      </w:r>
      <w:r w:rsidRPr="00463AFB">
        <w:rPr>
          <w:sz w:val="20"/>
        </w:rPr>
        <w:t xml:space="preserve"> </w:t>
      </w:r>
      <w:r>
        <w:rPr>
          <w:sz w:val="20"/>
        </w:rPr>
        <w:tab/>
      </w:r>
      <w:r w:rsidRPr="00463AFB">
        <w:rPr>
          <w:sz w:val="20"/>
        </w:rPr>
        <w:t>Artikel 1, eerste lid, van het verdrag.</w:t>
      </w:r>
    </w:p>
  </w:footnote>
  <w:footnote w:id="3">
    <w:p w14:paraId="05728428" w14:textId="77777777" w:rsidR="0043580C" w:rsidRPr="00463AFB" w:rsidRDefault="00242C11">
      <w:pPr>
        <w:pStyle w:val="FootnoteText"/>
        <w:tabs>
          <w:tab w:val="clear" w:pos="227"/>
        </w:tabs>
        <w:contextualSpacing/>
        <w:rPr>
          <w:sz w:val="20"/>
        </w:rPr>
      </w:pPr>
      <w:r w:rsidRPr="00463AFB">
        <w:rPr>
          <w:rStyle w:val="FootnoteReference"/>
          <w:sz w:val="20"/>
        </w:rPr>
        <w:footnoteRef/>
      </w:r>
      <w:r w:rsidRPr="00463AFB">
        <w:rPr>
          <w:sz w:val="20"/>
        </w:rPr>
        <w:t xml:space="preserve"> </w:t>
      </w:r>
      <w:r>
        <w:rPr>
          <w:sz w:val="20"/>
        </w:rPr>
        <w:tab/>
      </w:r>
      <w:r w:rsidRPr="00463AFB">
        <w:rPr>
          <w:sz w:val="20"/>
        </w:rPr>
        <w:t>Artikel 1, derde lid, van het verdrag.</w:t>
      </w:r>
    </w:p>
  </w:footnote>
  <w:footnote w:id="4">
    <w:p w14:paraId="1544B033" w14:textId="77777777" w:rsidR="0043580C" w:rsidRPr="00463AFB" w:rsidRDefault="00242C11">
      <w:pPr>
        <w:pStyle w:val="FootnoteText"/>
        <w:tabs>
          <w:tab w:val="clear" w:pos="227"/>
        </w:tabs>
        <w:contextualSpacing/>
        <w:rPr>
          <w:sz w:val="20"/>
        </w:rPr>
      </w:pPr>
      <w:r w:rsidRPr="00463AFB">
        <w:rPr>
          <w:rStyle w:val="FootnoteReference"/>
          <w:sz w:val="20"/>
        </w:rPr>
        <w:footnoteRef/>
      </w:r>
      <w:r w:rsidRPr="00463AFB">
        <w:rPr>
          <w:sz w:val="20"/>
        </w:rPr>
        <w:t xml:space="preserve"> </w:t>
      </w:r>
      <w:r>
        <w:rPr>
          <w:sz w:val="20"/>
        </w:rPr>
        <w:tab/>
      </w:r>
      <w:r w:rsidRPr="00463AFB">
        <w:rPr>
          <w:sz w:val="20"/>
        </w:rPr>
        <w:t xml:space="preserve">Toelichting, paragraaf </w:t>
      </w:r>
      <w:r w:rsidRPr="00463AFB">
        <w:rPr>
          <w:sz w:val="20"/>
        </w:rPr>
        <w:t>1.2.</w:t>
      </w:r>
    </w:p>
  </w:footnote>
  <w:footnote w:id="5">
    <w:p w14:paraId="07285AD0" w14:textId="77777777" w:rsidR="0043580C" w:rsidRPr="00463AFB" w:rsidRDefault="00242C11">
      <w:pPr>
        <w:pStyle w:val="FootnoteText"/>
        <w:tabs>
          <w:tab w:val="clear" w:pos="227"/>
        </w:tabs>
        <w:contextualSpacing/>
        <w:rPr>
          <w:sz w:val="20"/>
        </w:rPr>
      </w:pPr>
      <w:r w:rsidRPr="00463AFB">
        <w:rPr>
          <w:rStyle w:val="FootnoteReference"/>
          <w:sz w:val="20"/>
        </w:rPr>
        <w:footnoteRef/>
      </w:r>
      <w:r w:rsidRPr="00463AFB">
        <w:rPr>
          <w:sz w:val="20"/>
        </w:rPr>
        <w:t xml:space="preserve"> </w:t>
      </w:r>
      <w:r>
        <w:rPr>
          <w:sz w:val="20"/>
        </w:rPr>
        <w:tab/>
      </w:r>
      <w:r w:rsidRPr="00463AFB">
        <w:rPr>
          <w:sz w:val="20"/>
        </w:rPr>
        <w:t>Artikel 5 van het verdrag.</w:t>
      </w:r>
    </w:p>
  </w:footnote>
  <w:footnote w:id="6">
    <w:p w14:paraId="32309F93" w14:textId="77777777" w:rsidR="0043580C" w:rsidRPr="00463AFB" w:rsidRDefault="00242C11">
      <w:pPr>
        <w:pStyle w:val="NoSpacing"/>
        <w:ind w:left="227" w:hanging="227"/>
        <w:contextualSpacing/>
        <w:rPr>
          <w:rFonts w:ascii="Univers" w:hAnsi="Univers" w:cs="Times New Roman"/>
          <w:sz w:val="20"/>
          <w:szCs w:val="20"/>
        </w:rPr>
      </w:pPr>
      <w:r w:rsidRPr="00463AFB">
        <w:rPr>
          <w:rStyle w:val="FootnoteReference"/>
          <w:rFonts w:ascii="Univers" w:hAnsi="Univers" w:cs="Times New Roman"/>
          <w:sz w:val="20"/>
          <w:szCs w:val="20"/>
        </w:rPr>
        <w:footnoteRef/>
      </w:r>
      <w:r w:rsidRPr="00463AFB">
        <w:rPr>
          <w:rFonts w:ascii="Univers" w:hAnsi="Univers" w:cs="Times New Roman"/>
          <w:sz w:val="20"/>
          <w:szCs w:val="20"/>
        </w:rPr>
        <w:t xml:space="preserve"> </w:t>
      </w:r>
      <w:r>
        <w:rPr>
          <w:rFonts w:ascii="Univers" w:hAnsi="Univers" w:cs="Times New Roman"/>
          <w:sz w:val="20"/>
          <w:szCs w:val="20"/>
        </w:rPr>
        <w:tab/>
      </w:r>
      <w:r w:rsidRPr="00463AFB">
        <w:rPr>
          <w:rFonts w:ascii="Univers" w:hAnsi="Univers" w:cs="Times New Roman"/>
          <w:sz w:val="20"/>
          <w:szCs w:val="20"/>
        </w:rPr>
        <w:t>Het Verdrag van de Verenigde Naties tegen grensoverschrijdende georganiseerde misdaad</w:t>
      </w:r>
      <w:r>
        <w:rPr>
          <w:rFonts w:ascii="Univers" w:hAnsi="Univers" w:cs="Times New Roman"/>
          <w:sz w:val="20"/>
          <w:szCs w:val="20"/>
        </w:rPr>
        <w:t xml:space="preserve">, New York, </w:t>
      </w:r>
      <w:r w:rsidRPr="00463AFB">
        <w:rPr>
          <w:rFonts w:ascii="Univers" w:hAnsi="Univers" w:cs="Times New Roman"/>
          <w:sz w:val="20"/>
          <w:szCs w:val="20"/>
        </w:rPr>
        <w:t>15 november 2000 (</w:t>
      </w:r>
      <w:proofErr w:type="spellStart"/>
      <w:r w:rsidRPr="00463AFB">
        <w:rPr>
          <w:rFonts w:ascii="Univers" w:hAnsi="Univers" w:cs="Times New Roman"/>
          <w:sz w:val="20"/>
          <w:szCs w:val="20"/>
        </w:rPr>
        <w:t>Trb</w:t>
      </w:r>
      <w:proofErr w:type="spellEnd"/>
      <w:r w:rsidRPr="00463AFB">
        <w:rPr>
          <w:rFonts w:ascii="Univers" w:hAnsi="Univers" w:cs="Times New Roman"/>
          <w:sz w:val="20"/>
          <w:szCs w:val="20"/>
        </w:rPr>
        <w:t xml:space="preserve">. 2001, 68); </w:t>
      </w:r>
      <w:r>
        <w:rPr>
          <w:rFonts w:ascii="Univers" w:hAnsi="Univers" w:cs="Times New Roman"/>
          <w:sz w:val="20"/>
          <w:szCs w:val="20"/>
        </w:rPr>
        <w:t>h</w:t>
      </w:r>
      <w:r w:rsidRPr="00463AFB">
        <w:rPr>
          <w:rFonts w:ascii="Univers" w:hAnsi="Univers" w:cs="Times New Roman"/>
          <w:sz w:val="20"/>
          <w:szCs w:val="20"/>
        </w:rPr>
        <w:t xml:space="preserve">et Verdrag van de Verenigde Naties tegen de sluikhandel in verdovende middelen en </w:t>
      </w:r>
      <w:r w:rsidRPr="00463AFB">
        <w:rPr>
          <w:rFonts w:ascii="Univers" w:hAnsi="Univers" w:cs="Times New Roman"/>
          <w:sz w:val="20"/>
          <w:szCs w:val="20"/>
        </w:rPr>
        <w:t>psychotrope stoffen</w:t>
      </w:r>
      <w:r>
        <w:rPr>
          <w:rFonts w:ascii="Univers" w:hAnsi="Univers" w:cs="Times New Roman"/>
          <w:sz w:val="20"/>
          <w:szCs w:val="20"/>
        </w:rPr>
        <w:t xml:space="preserve">, Wenen, </w:t>
      </w:r>
      <w:r w:rsidRPr="00463AFB">
        <w:rPr>
          <w:rFonts w:ascii="Univers" w:hAnsi="Univers" w:cs="Times New Roman"/>
          <w:sz w:val="20"/>
          <w:szCs w:val="20"/>
        </w:rPr>
        <w:t>20 december 1988 (</w:t>
      </w:r>
      <w:proofErr w:type="spellStart"/>
      <w:r w:rsidRPr="00463AFB">
        <w:rPr>
          <w:rFonts w:ascii="Univers" w:hAnsi="Univers" w:cs="Times New Roman"/>
          <w:sz w:val="20"/>
          <w:szCs w:val="20"/>
        </w:rPr>
        <w:t>Trb</w:t>
      </w:r>
      <w:proofErr w:type="spellEnd"/>
      <w:r w:rsidRPr="00463AFB">
        <w:rPr>
          <w:rFonts w:ascii="Univers" w:hAnsi="Univers" w:cs="Times New Roman"/>
          <w:sz w:val="20"/>
          <w:szCs w:val="20"/>
        </w:rPr>
        <w:t xml:space="preserve">. 1989, 97); </w:t>
      </w:r>
      <w:r>
        <w:rPr>
          <w:rFonts w:ascii="Univers" w:hAnsi="Univers" w:cs="Times New Roman"/>
          <w:sz w:val="20"/>
          <w:szCs w:val="20"/>
        </w:rPr>
        <w:t>h</w:t>
      </w:r>
      <w:r w:rsidRPr="00463AFB">
        <w:rPr>
          <w:rFonts w:ascii="Univers" w:hAnsi="Univers" w:cs="Times New Roman"/>
          <w:sz w:val="20"/>
          <w:szCs w:val="20"/>
        </w:rPr>
        <w:t>et Enkelvoudig Verdrag inzake verdovende middelen</w:t>
      </w:r>
      <w:r>
        <w:rPr>
          <w:rFonts w:ascii="Univers" w:hAnsi="Univers" w:cs="Times New Roman"/>
          <w:sz w:val="20"/>
          <w:szCs w:val="20"/>
        </w:rPr>
        <w:t xml:space="preserve">, New York, </w:t>
      </w:r>
      <w:r w:rsidRPr="00463AFB">
        <w:rPr>
          <w:rFonts w:ascii="Univers" w:hAnsi="Univers" w:cs="Times New Roman"/>
          <w:sz w:val="20"/>
          <w:szCs w:val="20"/>
        </w:rPr>
        <w:t>30 maart 1961 (</w:t>
      </w:r>
      <w:proofErr w:type="spellStart"/>
      <w:r w:rsidRPr="00463AFB">
        <w:rPr>
          <w:rFonts w:ascii="Univers" w:hAnsi="Univers" w:cs="Times New Roman"/>
          <w:sz w:val="20"/>
          <w:szCs w:val="20"/>
        </w:rPr>
        <w:t>Trb</w:t>
      </w:r>
      <w:proofErr w:type="spellEnd"/>
      <w:r w:rsidRPr="00463AFB">
        <w:rPr>
          <w:rFonts w:ascii="Univers" w:hAnsi="Univers" w:cs="Times New Roman"/>
          <w:sz w:val="20"/>
          <w:szCs w:val="20"/>
        </w:rPr>
        <w:t xml:space="preserve">. 1962, 30); </w:t>
      </w:r>
      <w:r>
        <w:rPr>
          <w:rFonts w:ascii="Univers" w:hAnsi="Univers" w:cs="Times New Roman"/>
          <w:sz w:val="20"/>
          <w:szCs w:val="20"/>
        </w:rPr>
        <w:t>h</w:t>
      </w:r>
      <w:r w:rsidRPr="00463AFB">
        <w:rPr>
          <w:rFonts w:ascii="Univers" w:hAnsi="Univers" w:cs="Times New Roman"/>
          <w:sz w:val="20"/>
          <w:szCs w:val="20"/>
        </w:rPr>
        <w:t>et Verdrag van de Verenigde Naties tegen corruptie</w:t>
      </w:r>
      <w:r>
        <w:rPr>
          <w:rFonts w:ascii="Univers" w:hAnsi="Univers" w:cs="Times New Roman"/>
          <w:sz w:val="20"/>
          <w:szCs w:val="20"/>
        </w:rPr>
        <w:t xml:space="preserve">, New York, </w:t>
      </w:r>
      <w:r w:rsidRPr="00463AFB">
        <w:rPr>
          <w:rFonts w:ascii="Univers" w:hAnsi="Univers" w:cs="Times New Roman"/>
          <w:sz w:val="20"/>
          <w:szCs w:val="20"/>
        </w:rPr>
        <w:t>31 oktober 2003 (</w:t>
      </w:r>
      <w:proofErr w:type="spellStart"/>
      <w:r w:rsidRPr="00463AFB">
        <w:rPr>
          <w:rFonts w:ascii="Univers" w:hAnsi="Univers" w:cs="Times New Roman"/>
          <w:sz w:val="20"/>
          <w:szCs w:val="20"/>
        </w:rPr>
        <w:t>Trb</w:t>
      </w:r>
      <w:proofErr w:type="spellEnd"/>
      <w:r w:rsidRPr="00463AFB">
        <w:rPr>
          <w:rFonts w:ascii="Univers" w:hAnsi="Univers" w:cs="Times New Roman"/>
          <w:sz w:val="20"/>
          <w:szCs w:val="20"/>
        </w:rPr>
        <w:t xml:space="preserve">. 2004, 11); </w:t>
      </w:r>
      <w:r>
        <w:rPr>
          <w:rFonts w:ascii="Univers" w:hAnsi="Univers" w:cs="Times New Roman"/>
          <w:sz w:val="20"/>
          <w:szCs w:val="20"/>
        </w:rPr>
        <w:t>h</w:t>
      </w:r>
      <w:r w:rsidRPr="00463AFB">
        <w:rPr>
          <w:rFonts w:ascii="Univers" w:hAnsi="Univers" w:cs="Times New Roman"/>
          <w:sz w:val="20"/>
          <w:szCs w:val="20"/>
        </w:rPr>
        <w:t>et V</w:t>
      </w:r>
      <w:r w:rsidRPr="00463AFB">
        <w:rPr>
          <w:rFonts w:ascii="Univers" w:hAnsi="Univers" w:cs="Times New Roman"/>
          <w:sz w:val="20"/>
          <w:szCs w:val="20"/>
        </w:rPr>
        <w:t>erdrag inzake de bestrijding van terroristische bomaanslagen</w:t>
      </w:r>
      <w:r>
        <w:rPr>
          <w:rFonts w:ascii="Univers" w:hAnsi="Univers" w:cs="Times New Roman"/>
          <w:sz w:val="20"/>
          <w:szCs w:val="20"/>
        </w:rPr>
        <w:t>, New York,</w:t>
      </w:r>
      <w:r w:rsidRPr="00463AFB">
        <w:rPr>
          <w:rFonts w:ascii="Univers" w:hAnsi="Univers" w:cs="Times New Roman"/>
          <w:sz w:val="20"/>
          <w:szCs w:val="20"/>
        </w:rPr>
        <w:t xml:space="preserve"> 15 december 1997</w:t>
      </w:r>
      <w:r>
        <w:rPr>
          <w:rFonts w:ascii="Univers" w:hAnsi="Univers" w:cs="Times New Roman"/>
          <w:sz w:val="20"/>
          <w:szCs w:val="20"/>
        </w:rPr>
        <w:t xml:space="preserve"> </w:t>
      </w:r>
      <w:r w:rsidRPr="00463AFB">
        <w:rPr>
          <w:rFonts w:ascii="Univers" w:hAnsi="Univers" w:cs="Times New Roman"/>
          <w:sz w:val="20"/>
          <w:szCs w:val="20"/>
        </w:rPr>
        <w:t>(</w:t>
      </w:r>
      <w:proofErr w:type="spellStart"/>
      <w:r w:rsidRPr="00463AFB">
        <w:rPr>
          <w:rFonts w:ascii="Univers" w:hAnsi="Univers" w:cs="Times New Roman"/>
          <w:sz w:val="20"/>
          <w:szCs w:val="20"/>
        </w:rPr>
        <w:t>Trb</w:t>
      </w:r>
      <w:proofErr w:type="spellEnd"/>
      <w:r w:rsidRPr="00463AFB">
        <w:rPr>
          <w:rFonts w:ascii="Univers" w:hAnsi="Univers" w:cs="Times New Roman"/>
          <w:sz w:val="20"/>
          <w:szCs w:val="20"/>
        </w:rPr>
        <w:t xml:space="preserve">. 1998, 84); </w:t>
      </w:r>
      <w:r>
        <w:rPr>
          <w:rFonts w:ascii="Univers" w:hAnsi="Univers" w:cs="Times New Roman"/>
          <w:sz w:val="20"/>
          <w:szCs w:val="20"/>
        </w:rPr>
        <w:t>h</w:t>
      </w:r>
      <w:r w:rsidRPr="00463AFB">
        <w:rPr>
          <w:rFonts w:ascii="Univers" w:hAnsi="Univers" w:cs="Times New Roman"/>
          <w:sz w:val="20"/>
          <w:szCs w:val="20"/>
        </w:rPr>
        <w:t>et Internationaal Verdrag ter bestrijding van daden van nucleair terrorisme</w:t>
      </w:r>
      <w:r>
        <w:rPr>
          <w:rFonts w:ascii="Univers" w:hAnsi="Univers" w:cs="Times New Roman"/>
          <w:sz w:val="20"/>
          <w:szCs w:val="20"/>
        </w:rPr>
        <w:t xml:space="preserve">, New York, </w:t>
      </w:r>
      <w:r w:rsidRPr="00463AFB">
        <w:rPr>
          <w:rFonts w:ascii="Univers" w:hAnsi="Univers" w:cs="Times New Roman"/>
          <w:sz w:val="20"/>
          <w:szCs w:val="20"/>
        </w:rPr>
        <w:t>13 april 2005 (</w:t>
      </w:r>
      <w:proofErr w:type="spellStart"/>
      <w:r w:rsidRPr="00463AFB">
        <w:rPr>
          <w:rFonts w:ascii="Univers" w:hAnsi="Univers" w:cs="Times New Roman"/>
          <w:sz w:val="20"/>
          <w:szCs w:val="20"/>
        </w:rPr>
        <w:t>Trb</w:t>
      </w:r>
      <w:proofErr w:type="spellEnd"/>
      <w:r w:rsidRPr="00463AFB">
        <w:rPr>
          <w:rFonts w:ascii="Univers" w:hAnsi="Univers" w:cs="Times New Roman"/>
          <w:sz w:val="20"/>
          <w:szCs w:val="20"/>
        </w:rPr>
        <w:t>. 2005, 290).</w:t>
      </w:r>
    </w:p>
  </w:footnote>
  <w:footnote w:id="7">
    <w:p w14:paraId="0E66A538" w14:textId="77777777" w:rsidR="0043580C" w:rsidRPr="00463AFB" w:rsidRDefault="00242C11">
      <w:pPr>
        <w:pStyle w:val="FootnoteText"/>
        <w:tabs>
          <w:tab w:val="clear" w:pos="227"/>
        </w:tabs>
        <w:contextualSpacing/>
        <w:rPr>
          <w:sz w:val="20"/>
        </w:rPr>
      </w:pPr>
      <w:r w:rsidRPr="00463AFB">
        <w:rPr>
          <w:rStyle w:val="FootnoteReference"/>
          <w:sz w:val="20"/>
        </w:rPr>
        <w:footnoteRef/>
      </w:r>
      <w:r w:rsidRPr="00463AFB">
        <w:rPr>
          <w:sz w:val="20"/>
        </w:rPr>
        <w:t xml:space="preserve"> </w:t>
      </w:r>
      <w:r>
        <w:rPr>
          <w:sz w:val="20"/>
        </w:rPr>
        <w:tab/>
      </w:r>
      <w:r w:rsidRPr="00463AFB">
        <w:rPr>
          <w:sz w:val="20"/>
        </w:rPr>
        <w:t>Toelichting, paragrafen 1.1</w:t>
      </w:r>
      <w:r w:rsidRPr="00463AFB">
        <w:rPr>
          <w:sz w:val="20"/>
        </w:rPr>
        <w:t xml:space="preserve"> en 1.2.</w:t>
      </w:r>
    </w:p>
  </w:footnote>
  <w:footnote w:id="8">
    <w:p w14:paraId="12DD0E84" w14:textId="77777777" w:rsidR="0043580C" w:rsidRPr="00463AFB" w:rsidRDefault="00242C11">
      <w:pPr>
        <w:pStyle w:val="FootnoteText"/>
        <w:tabs>
          <w:tab w:val="clear" w:pos="227"/>
        </w:tabs>
        <w:contextualSpacing/>
        <w:rPr>
          <w:sz w:val="20"/>
        </w:rPr>
      </w:pPr>
      <w:r w:rsidRPr="00463AFB">
        <w:rPr>
          <w:rStyle w:val="FootnoteReference"/>
          <w:sz w:val="20"/>
        </w:rPr>
        <w:footnoteRef/>
      </w:r>
      <w:r w:rsidRPr="00463AFB">
        <w:rPr>
          <w:sz w:val="20"/>
        </w:rPr>
        <w:t xml:space="preserve"> </w:t>
      </w:r>
      <w:r>
        <w:rPr>
          <w:sz w:val="20"/>
        </w:rPr>
        <w:tab/>
      </w:r>
      <w:r w:rsidRPr="00463AFB">
        <w:rPr>
          <w:sz w:val="20"/>
        </w:rPr>
        <w:t>Toelichting, paragrafen 1.1 en 1.2.</w:t>
      </w:r>
    </w:p>
  </w:footnote>
  <w:footnote w:id="9">
    <w:p w14:paraId="4582A822" w14:textId="77777777" w:rsidR="0043580C" w:rsidRPr="00463AFB" w:rsidRDefault="00242C11">
      <w:pPr>
        <w:pStyle w:val="FootnoteText"/>
        <w:tabs>
          <w:tab w:val="clear" w:pos="227"/>
        </w:tabs>
        <w:contextualSpacing/>
        <w:rPr>
          <w:sz w:val="20"/>
        </w:rPr>
      </w:pPr>
      <w:r w:rsidRPr="00463AFB">
        <w:rPr>
          <w:rStyle w:val="FootnoteReference"/>
          <w:sz w:val="20"/>
        </w:rPr>
        <w:footnoteRef/>
      </w:r>
      <w:r w:rsidRPr="00463AFB">
        <w:rPr>
          <w:sz w:val="20"/>
        </w:rPr>
        <w:t xml:space="preserve"> </w:t>
      </w:r>
      <w:r>
        <w:rPr>
          <w:sz w:val="20"/>
        </w:rPr>
        <w:tab/>
      </w:r>
      <w:r w:rsidRPr="00463AFB">
        <w:rPr>
          <w:sz w:val="20"/>
        </w:rPr>
        <w:t xml:space="preserve">Advies van de Afdeling Advisering van de Raad van State van 15 juli 2003 over het Verdrag tussen het Koninkrijk der Nederlanden en de Republiek Trinidad en Tobago inzake uitlevering (W03.03.0160/I/K). Het </w:t>
      </w:r>
      <w:r w:rsidRPr="00463AFB">
        <w:rPr>
          <w:sz w:val="20"/>
        </w:rPr>
        <w:t>advies kan worden geraadpleegd op de website van de Raad van State.</w:t>
      </w:r>
    </w:p>
  </w:footnote>
  <w:footnote w:id="10">
    <w:p w14:paraId="4078F373" w14:textId="77777777" w:rsidR="0043580C" w:rsidRPr="00463AFB" w:rsidRDefault="00242C11">
      <w:pPr>
        <w:pStyle w:val="FootnoteText"/>
        <w:tabs>
          <w:tab w:val="clear" w:pos="227"/>
        </w:tabs>
        <w:contextualSpacing/>
        <w:rPr>
          <w:sz w:val="20"/>
        </w:rPr>
      </w:pPr>
      <w:r w:rsidRPr="00463AFB">
        <w:rPr>
          <w:rStyle w:val="FootnoteReference"/>
          <w:sz w:val="20"/>
        </w:rPr>
        <w:footnoteRef/>
      </w:r>
      <w:r w:rsidRPr="00463AFB">
        <w:rPr>
          <w:sz w:val="20"/>
        </w:rPr>
        <w:t xml:space="preserve"> </w:t>
      </w:r>
      <w:r>
        <w:rPr>
          <w:sz w:val="20"/>
        </w:rPr>
        <w:tab/>
      </w:r>
      <w:r w:rsidRPr="00463AFB">
        <w:rPr>
          <w:sz w:val="20"/>
        </w:rPr>
        <w:t xml:space="preserve">Zie P.A.M. </w:t>
      </w:r>
      <w:proofErr w:type="spellStart"/>
      <w:r w:rsidRPr="00463AFB">
        <w:rPr>
          <w:sz w:val="20"/>
        </w:rPr>
        <w:t>Verrest</w:t>
      </w:r>
      <w:proofErr w:type="spellEnd"/>
      <w:r w:rsidRPr="00463AFB">
        <w:rPr>
          <w:sz w:val="20"/>
        </w:rPr>
        <w:t xml:space="preserve"> in T&amp;C Strafvordering, Inleidende opmerkingen bij ‘Verzoeken om internationale rechtshulp in strafzaken’, </w:t>
      </w:r>
      <w:proofErr w:type="spellStart"/>
      <w:r w:rsidRPr="00463AFB">
        <w:rPr>
          <w:sz w:val="20"/>
        </w:rPr>
        <w:t>aant</w:t>
      </w:r>
      <w:proofErr w:type="spellEnd"/>
      <w:r w:rsidRPr="00463AFB">
        <w:rPr>
          <w:sz w:val="20"/>
        </w:rPr>
        <w:t>. 5.</w:t>
      </w:r>
    </w:p>
  </w:footnote>
  <w:footnote w:id="11">
    <w:p w14:paraId="7B20471C" w14:textId="77777777" w:rsidR="0043580C" w:rsidRPr="00463AFB" w:rsidRDefault="00242C11">
      <w:pPr>
        <w:pStyle w:val="FootnoteText"/>
        <w:tabs>
          <w:tab w:val="clear" w:pos="227"/>
        </w:tabs>
        <w:contextualSpacing/>
        <w:rPr>
          <w:sz w:val="20"/>
        </w:rPr>
      </w:pPr>
      <w:r w:rsidRPr="00463AFB">
        <w:rPr>
          <w:rStyle w:val="FootnoteReference"/>
          <w:sz w:val="20"/>
        </w:rPr>
        <w:footnoteRef/>
      </w:r>
      <w:r w:rsidRPr="00463AFB">
        <w:rPr>
          <w:sz w:val="20"/>
        </w:rPr>
        <w:t xml:space="preserve"> </w:t>
      </w:r>
      <w:r>
        <w:rPr>
          <w:sz w:val="20"/>
        </w:rPr>
        <w:tab/>
      </w:r>
      <w:r w:rsidRPr="00463AFB">
        <w:rPr>
          <w:sz w:val="20"/>
        </w:rPr>
        <w:t>Artikel 1 EVRM.</w:t>
      </w:r>
    </w:p>
  </w:footnote>
  <w:footnote w:id="12">
    <w:p w14:paraId="2054F030" w14:textId="77777777" w:rsidR="0043580C" w:rsidRPr="00463AFB" w:rsidRDefault="00242C11">
      <w:pPr>
        <w:pStyle w:val="FootnoteText"/>
        <w:tabs>
          <w:tab w:val="clear" w:pos="227"/>
        </w:tabs>
        <w:contextualSpacing/>
        <w:rPr>
          <w:sz w:val="20"/>
        </w:rPr>
      </w:pPr>
      <w:r w:rsidRPr="00463AFB">
        <w:rPr>
          <w:rStyle w:val="FootnoteReference"/>
          <w:sz w:val="20"/>
        </w:rPr>
        <w:footnoteRef/>
      </w:r>
      <w:r w:rsidRPr="00463AFB">
        <w:rPr>
          <w:sz w:val="20"/>
        </w:rPr>
        <w:t xml:space="preserve"> </w:t>
      </w:r>
      <w:r>
        <w:rPr>
          <w:sz w:val="20"/>
        </w:rPr>
        <w:tab/>
      </w:r>
      <w:r w:rsidRPr="00463AFB">
        <w:rPr>
          <w:rFonts w:cstheme="minorHAnsi"/>
          <w:sz w:val="20"/>
        </w:rPr>
        <w:t xml:space="preserve">Het voorgaande </w:t>
      </w:r>
      <w:r w:rsidRPr="00463AFB">
        <w:rPr>
          <w:sz w:val="20"/>
        </w:rPr>
        <w:t>komt tevens to</w:t>
      </w:r>
      <w:r w:rsidRPr="00463AFB">
        <w:rPr>
          <w:sz w:val="20"/>
        </w:rPr>
        <w:t xml:space="preserve">t uitdrukking in </w:t>
      </w:r>
      <w:r>
        <w:rPr>
          <w:sz w:val="20"/>
        </w:rPr>
        <w:t xml:space="preserve">het geldende </w:t>
      </w:r>
      <w:r w:rsidRPr="00463AFB">
        <w:rPr>
          <w:sz w:val="20"/>
        </w:rPr>
        <w:t>artikel 5.1.5, derde lid, Sv waarin wordt bepaald dat aan een verzoek tot rechtshulp geen gevolg wordt gegeven indien een op feiten en omstandigheden gebaseerd gegrond vermoeden bestaat dat inwilliging van het verzoek zou leid</w:t>
      </w:r>
      <w:r w:rsidRPr="00463AFB">
        <w:rPr>
          <w:sz w:val="20"/>
        </w:rPr>
        <w:t xml:space="preserve">en tot flagrante schending van de fundamentele rechten van de betrokken persoon, zoals die worden gewaarborgd door het EVRM. Zie voorts P.A.M. </w:t>
      </w:r>
      <w:proofErr w:type="spellStart"/>
      <w:r w:rsidRPr="00463AFB">
        <w:rPr>
          <w:sz w:val="20"/>
        </w:rPr>
        <w:t>Verrest</w:t>
      </w:r>
      <w:proofErr w:type="spellEnd"/>
      <w:r w:rsidRPr="00463AFB">
        <w:rPr>
          <w:sz w:val="20"/>
        </w:rPr>
        <w:t xml:space="preserve"> in T&amp;C Strafvordering, Inleidende opmerkingen bij ‘Verzoeken om internationale rechtshulp in strafzaken’,</w:t>
      </w:r>
      <w:r w:rsidRPr="00463AFB">
        <w:rPr>
          <w:sz w:val="20"/>
        </w:rPr>
        <w:t xml:space="preserve"> </w:t>
      </w:r>
      <w:proofErr w:type="spellStart"/>
      <w:r w:rsidRPr="00463AFB">
        <w:rPr>
          <w:sz w:val="20"/>
        </w:rPr>
        <w:t>aant</w:t>
      </w:r>
      <w:proofErr w:type="spellEnd"/>
      <w:r w:rsidRPr="00463AFB">
        <w:rPr>
          <w:sz w:val="20"/>
        </w:rPr>
        <w:t xml:space="preserve">. 5. </w:t>
      </w:r>
      <w:r w:rsidRPr="00463AFB">
        <w:rPr>
          <w:rFonts w:cstheme="minorHAnsi"/>
          <w:sz w:val="20"/>
        </w:rPr>
        <w:t xml:space="preserve">Zie het advies van de Afdeling advisering betreffende het Voorstel van Rijkswet inzake de </w:t>
      </w:r>
      <w:r w:rsidRPr="00463AFB">
        <w:rPr>
          <w:sz w:val="20"/>
        </w:rPr>
        <w:t>Goedkeuring van het op 29 augustus 2021 te Abu Dhabi tot stand gekomen Verdrag tussen het Koninkrijk der Nederlanden en de Verenigde Arabische Emiraten inza</w:t>
      </w:r>
      <w:r w:rsidRPr="00463AFB">
        <w:rPr>
          <w:sz w:val="20"/>
        </w:rPr>
        <w:t>ke uitlevering (</w:t>
      </w:r>
      <w:proofErr w:type="spellStart"/>
      <w:r w:rsidRPr="00463AFB">
        <w:rPr>
          <w:sz w:val="20"/>
        </w:rPr>
        <w:t>Trb</w:t>
      </w:r>
      <w:proofErr w:type="spellEnd"/>
      <w:r w:rsidRPr="00463AFB">
        <w:rPr>
          <w:sz w:val="20"/>
        </w:rPr>
        <w:t xml:space="preserve">. 2021, 117) </w:t>
      </w:r>
      <w:r w:rsidRPr="00463AFB">
        <w:rPr>
          <w:rFonts w:cstheme="minorHAnsi"/>
          <w:sz w:val="20"/>
        </w:rPr>
        <w:t xml:space="preserve">voor een </w:t>
      </w:r>
      <w:r>
        <w:rPr>
          <w:rFonts w:cstheme="minorHAnsi"/>
          <w:sz w:val="20"/>
        </w:rPr>
        <w:t>nadere</w:t>
      </w:r>
      <w:r w:rsidRPr="00463AFB">
        <w:rPr>
          <w:rFonts w:cstheme="minorHAnsi"/>
          <w:sz w:val="20"/>
        </w:rPr>
        <w:t xml:space="preserve"> uiteenzetting van de strekking van het </w:t>
      </w:r>
      <w:proofErr w:type="spellStart"/>
      <w:r w:rsidRPr="00463AFB">
        <w:rPr>
          <w:rFonts w:cstheme="minorHAnsi"/>
          <w:sz w:val="20"/>
        </w:rPr>
        <w:t>Soering</w:t>
      </w:r>
      <w:proofErr w:type="spellEnd"/>
      <w:r w:rsidRPr="00463AFB">
        <w:rPr>
          <w:rFonts w:cstheme="minorHAnsi"/>
          <w:sz w:val="20"/>
        </w:rPr>
        <w:t>-arrest</w:t>
      </w:r>
      <w:r w:rsidRPr="00463AFB">
        <w:rPr>
          <w:sz w:val="20"/>
        </w:rPr>
        <w:t>.</w:t>
      </w:r>
    </w:p>
  </w:footnote>
  <w:footnote w:id="13">
    <w:p w14:paraId="758F3461" w14:textId="77777777" w:rsidR="0043580C" w:rsidRPr="00463AFB" w:rsidRDefault="00242C11">
      <w:pPr>
        <w:pStyle w:val="FootnoteText"/>
        <w:tabs>
          <w:tab w:val="clear" w:pos="227"/>
        </w:tabs>
        <w:contextualSpacing/>
        <w:rPr>
          <w:sz w:val="20"/>
        </w:rPr>
      </w:pPr>
      <w:r w:rsidRPr="00463AFB">
        <w:rPr>
          <w:rStyle w:val="FootnoteReference"/>
          <w:color w:val="000000" w:themeColor="text1"/>
          <w:sz w:val="20"/>
        </w:rPr>
        <w:footnoteRef/>
      </w:r>
      <w:r w:rsidRPr="00463AFB">
        <w:rPr>
          <w:color w:val="000000" w:themeColor="text1"/>
          <w:sz w:val="20"/>
        </w:rPr>
        <w:t xml:space="preserve"> Zie ook artikel 5.1.4, tweede lid, Sv, waarin is bepaald: “</w:t>
      </w:r>
      <w:r w:rsidRPr="00463AFB">
        <w:rPr>
          <w:rFonts w:cs="Arial"/>
          <w:color w:val="000000" w:themeColor="text1"/>
          <w:sz w:val="20"/>
          <w:shd w:val="clear" w:color="auto" w:fill="FFFFFF"/>
        </w:rPr>
        <w:t xml:space="preserve">Voor zover het verzoek om rechtshulp van een vreemde staat is gegrond op een verdrag </w:t>
      </w:r>
      <w:r w:rsidRPr="00463AFB">
        <w:rPr>
          <w:rFonts w:cs="Arial"/>
          <w:color w:val="000000" w:themeColor="text1"/>
          <w:sz w:val="20"/>
          <w:shd w:val="clear" w:color="auto" w:fill="FFFFFF"/>
        </w:rPr>
        <w:t>wordt daaraan zoveel mogelijk het verlangde gevolg gegeven”.</w:t>
      </w:r>
      <w:r>
        <w:rPr>
          <w:rFonts w:cs="Arial"/>
          <w:color w:val="000000" w:themeColor="text1"/>
          <w:sz w:val="20"/>
          <w:shd w:val="clear" w:color="auto" w:fill="FFFFFF"/>
        </w:rPr>
        <w:t xml:space="preserve"> </w:t>
      </w:r>
      <w:r w:rsidRPr="00463AFB">
        <w:rPr>
          <w:color w:val="000000" w:themeColor="text1"/>
          <w:sz w:val="20"/>
        </w:rPr>
        <w:t xml:space="preserve">Zie </w:t>
      </w:r>
      <w:r>
        <w:rPr>
          <w:color w:val="000000" w:themeColor="text1"/>
          <w:sz w:val="20"/>
        </w:rPr>
        <w:t xml:space="preserve">voorts </w:t>
      </w:r>
      <w:r w:rsidRPr="00463AFB">
        <w:rPr>
          <w:color w:val="000000" w:themeColor="text1"/>
          <w:sz w:val="20"/>
        </w:rPr>
        <w:t xml:space="preserve">P.A.M. </w:t>
      </w:r>
      <w:proofErr w:type="spellStart"/>
      <w:r w:rsidRPr="00463AFB">
        <w:rPr>
          <w:color w:val="000000" w:themeColor="text1"/>
          <w:sz w:val="20"/>
        </w:rPr>
        <w:t>Verrest</w:t>
      </w:r>
      <w:proofErr w:type="spellEnd"/>
      <w:r w:rsidRPr="00463AFB">
        <w:rPr>
          <w:color w:val="000000" w:themeColor="text1"/>
          <w:sz w:val="20"/>
        </w:rPr>
        <w:t xml:space="preserve"> in T&amp;C Strafvordering, Inleidende opmerkingen bij ‘Verzoeken om internationale rechtshulp in strafzaken’</w:t>
      </w:r>
      <w:r w:rsidRPr="00463AFB">
        <w:rPr>
          <w:sz w:val="20"/>
        </w:rPr>
        <w:t xml:space="preserve">, </w:t>
      </w:r>
      <w:proofErr w:type="spellStart"/>
      <w:r w:rsidRPr="00463AFB">
        <w:rPr>
          <w:sz w:val="20"/>
        </w:rPr>
        <w:t>aant</w:t>
      </w:r>
      <w:proofErr w:type="spellEnd"/>
      <w:r w:rsidRPr="00463AFB">
        <w:rPr>
          <w:sz w:val="20"/>
        </w:rPr>
        <w:t xml:space="preserve">. 3. </w:t>
      </w:r>
    </w:p>
  </w:footnote>
  <w:footnote w:id="14">
    <w:p w14:paraId="11D9705E" w14:textId="77777777" w:rsidR="0043580C" w:rsidRPr="00463AFB" w:rsidRDefault="00242C11">
      <w:pPr>
        <w:pStyle w:val="FootnoteText"/>
        <w:tabs>
          <w:tab w:val="clear" w:pos="227"/>
        </w:tabs>
        <w:contextualSpacing/>
        <w:rPr>
          <w:sz w:val="20"/>
        </w:rPr>
      </w:pPr>
      <w:r w:rsidRPr="00463AFB">
        <w:rPr>
          <w:rStyle w:val="FootnoteReference"/>
          <w:sz w:val="20"/>
        </w:rPr>
        <w:footnoteRef/>
      </w:r>
      <w:r w:rsidRPr="00463AFB">
        <w:rPr>
          <w:sz w:val="20"/>
        </w:rPr>
        <w:t xml:space="preserve"> HR 19 maart 2002, ECLI:NL:HR:2002:ZD2927, </w:t>
      </w:r>
      <w:proofErr w:type="spellStart"/>
      <w:r w:rsidRPr="00463AFB">
        <w:rPr>
          <w:sz w:val="20"/>
        </w:rPr>
        <w:t>r.o.</w:t>
      </w:r>
      <w:proofErr w:type="spellEnd"/>
      <w:r w:rsidRPr="00463AFB">
        <w:rPr>
          <w:sz w:val="20"/>
        </w:rPr>
        <w:t xml:space="preserve"> 3.4;</w:t>
      </w:r>
      <w:r w:rsidRPr="00463AFB">
        <w:rPr>
          <w:sz w:val="20"/>
        </w:rPr>
        <w:t xml:space="preserve"> HR 7 april 2020, ECLI:NL:HR:2020:622, </w:t>
      </w:r>
      <w:proofErr w:type="spellStart"/>
      <w:r w:rsidRPr="00463AFB">
        <w:rPr>
          <w:sz w:val="20"/>
        </w:rPr>
        <w:t>r.o.</w:t>
      </w:r>
      <w:proofErr w:type="spellEnd"/>
      <w:r w:rsidRPr="00463AFB">
        <w:rPr>
          <w:sz w:val="20"/>
        </w:rPr>
        <w:t xml:space="preserve"> 4.2.</w:t>
      </w:r>
    </w:p>
  </w:footnote>
  <w:footnote w:id="15">
    <w:p w14:paraId="5DB874D4" w14:textId="77777777" w:rsidR="0043580C" w:rsidRPr="00463AFB" w:rsidRDefault="00242C11">
      <w:pPr>
        <w:pStyle w:val="FootnoteText"/>
        <w:tabs>
          <w:tab w:val="clear" w:pos="227"/>
        </w:tabs>
        <w:contextualSpacing/>
        <w:rPr>
          <w:sz w:val="20"/>
        </w:rPr>
      </w:pPr>
      <w:r w:rsidRPr="00463AFB">
        <w:rPr>
          <w:rStyle w:val="FootnoteReference"/>
          <w:sz w:val="20"/>
        </w:rPr>
        <w:footnoteRef/>
      </w:r>
      <w:r w:rsidRPr="00463AFB">
        <w:rPr>
          <w:sz w:val="20"/>
        </w:rPr>
        <w:t xml:space="preserve"> Zie daarvoor ook B. </w:t>
      </w:r>
      <w:proofErr w:type="spellStart"/>
      <w:r w:rsidRPr="00463AFB">
        <w:rPr>
          <w:sz w:val="20"/>
        </w:rPr>
        <w:t>Aarrass</w:t>
      </w:r>
      <w:proofErr w:type="spellEnd"/>
      <w:r w:rsidRPr="00463AFB">
        <w:rPr>
          <w:sz w:val="20"/>
        </w:rPr>
        <w:t>, ‘Mensenrechten en migratierecht: mensenrechtennormen als grond voor toelating en verblijf’, Den Haag: Boom Juridisch 2021, p. 385-386.</w:t>
      </w:r>
    </w:p>
  </w:footnote>
  <w:footnote w:id="16">
    <w:p w14:paraId="0866C914" w14:textId="77777777" w:rsidR="0043580C" w:rsidRPr="00463AFB" w:rsidRDefault="00242C11">
      <w:pPr>
        <w:pStyle w:val="FootnoteText"/>
        <w:tabs>
          <w:tab w:val="clear" w:pos="227"/>
        </w:tabs>
        <w:contextualSpacing/>
        <w:rPr>
          <w:sz w:val="20"/>
        </w:rPr>
      </w:pPr>
      <w:r w:rsidRPr="00463AFB">
        <w:rPr>
          <w:rStyle w:val="FootnoteReference"/>
          <w:sz w:val="20"/>
        </w:rPr>
        <w:footnoteRef/>
      </w:r>
      <w:r w:rsidRPr="00463AFB">
        <w:rPr>
          <w:sz w:val="20"/>
        </w:rPr>
        <w:t xml:space="preserve"> </w:t>
      </w:r>
      <w:r>
        <w:rPr>
          <w:sz w:val="20"/>
        </w:rPr>
        <w:tab/>
      </w:r>
      <w:r w:rsidRPr="00463AFB">
        <w:rPr>
          <w:sz w:val="20"/>
        </w:rPr>
        <w:t>Artikel 5, eerste lid onder d, in verb</w:t>
      </w:r>
      <w:r w:rsidRPr="00463AFB">
        <w:rPr>
          <w:sz w:val="20"/>
        </w:rPr>
        <w:t>inding met artikel 5, vierde lid, van het verdrag. Zie voor een vergelijkbare bepaling artikel 7 van het Uitleveringsverdrag tussen het Koninkrijk der Nederlanden en de Verenigde Staten van Amerika (</w:t>
      </w:r>
      <w:proofErr w:type="spellStart"/>
      <w:r w:rsidRPr="00463AFB">
        <w:rPr>
          <w:sz w:val="20"/>
        </w:rPr>
        <w:t>Trb</w:t>
      </w:r>
      <w:proofErr w:type="spellEnd"/>
      <w:r w:rsidRPr="00463AFB">
        <w:rPr>
          <w:sz w:val="20"/>
        </w:rPr>
        <w:t>. 2004, 299). Zie ook Toelichting, paragraaf 1.2 en de</w:t>
      </w:r>
      <w:r w:rsidRPr="00463AFB">
        <w:rPr>
          <w:sz w:val="20"/>
        </w:rPr>
        <w:t xml:space="preserve"> artikelsgewijze toelichting bij artikel 5 van het verdrag.</w:t>
      </w:r>
    </w:p>
  </w:footnote>
  <w:footnote w:id="17">
    <w:p w14:paraId="6A3CB27E" w14:textId="77777777" w:rsidR="0043580C" w:rsidRPr="00463AFB" w:rsidRDefault="00242C11">
      <w:pPr>
        <w:pStyle w:val="FootnoteText"/>
        <w:tabs>
          <w:tab w:val="clear" w:pos="227"/>
        </w:tabs>
        <w:contextualSpacing/>
        <w:rPr>
          <w:sz w:val="20"/>
          <w:lang w:val="en-GB"/>
        </w:rPr>
      </w:pPr>
      <w:r w:rsidRPr="00463AFB">
        <w:rPr>
          <w:rStyle w:val="FootnoteReference"/>
          <w:sz w:val="20"/>
        </w:rPr>
        <w:footnoteRef/>
      </w:r>
      <w:r w:rsidRPr="00463AFB">
        <w:rPr>
          <w:sz w:val="20"/>
          <w:lang w:val="en-US"/>
        </w:rPr>
        <w:t xml:space="preserve"> </w:t>
      </w:r>
      <w:r>
        <w:rPr>
          <w:sz w:val="20"/>
          <w:lang w:val="en-US"/>
        </w:rPr>
        <w:tab/>
      </w:r>
      <w:r w:rsidRPr="00463AFB">
        <w:rPr>
          <w:sz w:val="20"/>
          <w:lang w:val="en-GB"/>
        </w:rPr>
        <w:t>Human Rights watch world report 2022, p. 695; Amnesty International Report 2021/22, The state of the world’s human rights 2022, p. 384-385; Amnesty International, ‘There is no freedom here. Sil</w:t>
      </w:r>
      <w:r w:rsidRPr="00463AFB">
        <w:rPr>
          <w:sz w:val="20"/>
          <w:lang w:val="en-GB"/>
        </w:rPr>
        <w:t xml:space="preserve">encing dissent in the United Arab Emirates’ 2014, p. 23-32, 33-43. </w:t>
      </w:r>
    </w:p>
  </w:footnote>
  <w:footnote w:id="18">
    <w:p w14:paraId="35988EC0" w14:textId="77777777" w:rsidR="0043580C" w:rsidRPr="00463AFB" w:rsidRDefault="00242C11">
      <w:pPr>
        <w:pStyle w:val="FootnoteText"/>
        <w:tabs>
          <w:tab w:val="clear" w:pos="227"/>
        </w:tabs>
        <w:contextualSpacing/>
        <w:rPr>
          <w:sz w:val="20"/>
          <w:lang w:val="en-GB"/>
        </w:rPr>
      </w:pPr>
      <w:r w:rsidRPr="00463AFB">
        <w:rPr>
          <w:rStyle w:val="FootnoteReference"/>
          <w:sz w:val="20"/>
        </w:rPr>
        <w:footnoteRef/>
      </w:r>
      <w:r w:rsidRPr="00463AFB">
        <w:rPr>
          <w:sz w:val="20"/>
          <w:lang w:val="en-US"/>
        </w:rPr>
        <w:t xml:space="preserve"> </w:t>
      </w:r>
      <w:r>
        <w:rPr>
          <w:sz w:val="20"/>
          <w:lang w:val="en-US"/>
        </w:rPr>
        <w:tab/>
      </w:r>
      <w:r w:rsidRPr="00463AFB">
        <w:rPr>
          <w:sz w:val="20"/>
          <w:lang w:val="en-GB"/>
        </w:rPr>
        <w:t xml:space="preserve">Amnesty International, ‘There is no freedom here. Silencing dissent in the United Arab Emirates’ 2014, p. 23-33; </w:t>
      </w:r>
      <w:r w:rsidRPr="00463AFB">
        <w:rPr>
          <w:sz w:val="20"/>
          <w:lang w:val="en-US"/>
        </w:rPr>
        <w:t xml:space="preserve">Report by the Gulf Centre for Human Rights, ‘Patterns of Torture in the United Arab Emirates’ 2022, p. 13-18; Report by </w:t>
      </w:r>
      <w:proofErr w:type="spellStart"/>
      <w:r w:rsidRPr="00463AFB">
        <w:rPr>
          <w:sz w:val="20"/>
          <w:lang w:val="en-US"/>
        </w:rPr>
        <w:t>Wejha</w:t>
      </w:r>
      <w:proofErr w:type="spellEnd"/>
      <w:r w:rsidRPr="00463AFB">
        <w:rPr>
          <w:sz w:val="20"/>
          <w:lang w:val="en-US"/>
        </w:rPr>
        <w:t xml:space="preserve"> Centre for Studie</w:t>
      </w:r>
      <w:r w:rsidRPr="00463AFB">
        <w:rPr>
          <w:sz w:val="20"/>
          <w:lang w:val="en-US"/>
        </w:rPr>
        <w:t>s Produced in cooperation with the Gulf Centre for Human Rights (GCHR) with support from the European Union</w:t>
      </w:r>
      <w:r w:rsidRPr="00463AFB">
        <w:rPr>
          <w:sz w:val="20"/>
          <w:lang w:val="en-GB"/>
        </w:rPr>
        <w:t>, ‘</w:t>
      </w:r>
      <w:r w:rsidRPr="00463AFB">
        <w:rPr>
          <w:sz w:val="20"/>
          <w:lang w:val="en-US"/>
        </w:rPr>
        <w:t xml:space="preserve">Torture in the United Arab Emirates: The Tolerance Charade’ 2021, p. 8-25. </w:t>
      </w:r>
    </w:p>
  </w:footnote>
  <w:footnote w:id="19">
    <w:p w14:paraId="38A922B5" w14:textId="77777777" w:rsidR="0043580C" w:rsidRPr="00463AFB" w:rsidRDefault="00242C11">
      <w:pPr>
        <w:pStyle w:val="FootnoteText"/>
        <w:tabs>
          <w:tab w:val="clear" w:pos="227"/>
        </w:tabs>
        <w:contextualSpacing/>
        <w:rPr>
          <w:sz w:val="20"/>
        </w:rPr>
      </w:pPr>
      <w:r w:rsidRPr="00463AFB">
        <w:rPr>
          <w:rStyle w:val="FootnoteReference"/>
          <w:sz w:val="20"/>
        </w:rPr>
        <w:footnoteRef/>
      </w:r>
      <w:r w:rsidRPr="00463AFB">
        <w:rPr>
          <w:sz w:val="20"/>
        </w:rPr>
        <w:t xml:space="preserve"> </w:t>
      </w:r>
      <w:r>
        <w:rPr>
          <w:sz w:val="20"/>
        </w:rPr>
        <w:tab/>
      </w:r>
      <w:r w:rsidRPr="00463AFB">
        <w:rPr>
          <w:sz w:val="20"/>
        </w:rPr>
        <w:t>Artikel 5, eerste lid onder a, van het verdrag.</w:t>
      </w:r>
    </w:p>
  </w:footnote>
  <w:footnote w:id="20">
    <w:p w14:paraId="4BA5541E" w14:textId="77777777" w:rsidR="004869DD" w:rsidRPr="00463AFB" w:rsidRDefault="00242C11">
      <w:pPr>
        <w:pStyle w:val="CommentText"/>
        <w:spacing w:after="0" w:line="240" w:lineRule="auto"/>
        <w:ind w:left="227" w:hanging="227"/>
        <w:contextualSpacing/>
        <w:rPr>
          <w:rFonts w:ascii="Univers" w:hAnsi="Univers"/>
        </w:rPr>
      </w:pPr>
      <w:r w:rsidRPr="00463AFB">
        <w:rPr>
          <w:rStyle w:val="FootnoteReference"/>
          <w:rFonts w:ascii="Univers" w:hAnsi="Univers"/>
        </w:rPr>
        <w:footnoteRef/>
      </w:r>
      <w:r w:rsidRPr="00463AFB">
        <w:rPr>
          <w:rFonts w:ascii="Univers" w:hAnsi="Univers"/>
        </w:rPr>
        <w:t xml:space="preserve"> </w:t>
      </w:r>
      <w:r>
        <w:rPr>
          <w:rFonts w:ascii="Univers" w:hAnsi="Univers"/>
        </w:rPr>
        <w:tab/>
      </w:r>
      <w:r>
        <w:rPr>
          <w:rFonts w:ascii="Univers" w:hAnsi="Univers"/>
        </w:rPr>
        <w:t xml:space="preserve">Andere </w:t>
      </w:r>
      <w:r>
        <w:rPr>
          <w:rFonts w:ascii="Univers" w:hAnsi="Univers"/>
        </w:rPr>
        <w:t>betrokkenen zijn b</w:t>
      </w:r>
      <w:r w:rsidRPr="00463AFB">
        <w:rPr>
          <w:rFonts w:ascii="Univers" w:hAnsi="Univers"/>
        </w:rPr>
        <w:t>ijvoorbeeld getuigen of slachtoffers</w:t>
      </w:r>
      <w:r>
        <w:rPr>
          <w:rFonts w:ascii="Univers" w:hAnsi="Univers"/>
        </w:rPr>
        <w:t xml:space="preserve"> die </w:t>
      </w:r>
      <w:r w:rsidRPr="00463AFB">
        <w:rPr>
          <w:rFonts w:ascii="Univers" w:hAnsi="Univers"/>
        </w:rPr>
        <w:t>worden gehoord.</w:t>
      </w:r>
    </w:p>
  </w:footnote>
  <w:footnote w:id="21">
    <w:p w14:paraId="2098DEFD" w14:textId="77777777" w:rsidR="0043580C" w:rsidRPr="00463AFB" w:rsidRDefault="00242C11">
      <w:pPr>
        <w:pStyle w:val="FootnoteText"/>
        <w:tabs>
          <w:tab w:val="clear" w:pos="227"/>
        </w:tabs>
        <w:contextualSpacing/>
        <w:rPr>
          <w:sz w:val="20"/>
          <w:lang w:val="en-GB"/>
        </w:rPr>
      </w:pPr>
      <w:r w:rsidRPr="00463AFB">
        <w:rPr>
          <w:rStyle w:val="FootnoteReference"/>
          <w:sz w:val="20"/>
        </w:rPr>
        <w:footnoteRef/>
      </w:r>
      <w:r w:rsidRPr="00463AFB">
        <w:rPr>
          <w:sz w:val="20"/>
          <w:lang w:val="en-GB"/>
        </w:rPr>
        <w:t xml:space="preserve"> </w:t>
      </w:r>
      <w:r>
        <w:rPr>
          <w:sz w:val="20"/>
          <w:lang w:val="en-GB"/>
        </w:rPr>
        <w:tab/>
      </w:r>
      <w:r w:rsidRPr="00463AFB">
        <w:rPr>
          <w:rFonts w:cstheme="minorHAnsi"/>
          <w:sz w:val="20"/>
          <w:lang w:val="en-GB"/>
        </w:rPr>
        <w:t xml:space="preserve">Trb. 1969, 99. </w:t>
      </w:r>
    </w:p>
  </w:footnote>
  <w:footnote w:id="22">
    <w:p w14:paraId="23AF4C74" w14:textId="77777777" w:rsidR="0043580C" w:rsidRPr="00463AFB" w:rsidRDefault="00242C11">
      <w:pPr>
        <w:pStyle w:val="FootnoteText"/>
        <w:tabs>
          <w:tab w:val="clear" w:pos="227"/>
        </w:tabs>
        <w:contextualSpacing/>
        <w:rPr>
          <w:sz w:val="20"/>
          <w:lang w:val="en-GB"/>
        </w:rPr>
      </w:pPr>
      <w:r w:rsidRPr="00463AFB">
        <w:rPr>
          <w:rStyle w:val="FootnoteReference"/>
          <w:sz w:val="20"/>
        </w:rPr>
        <w:footnoteRef/>
      </w:r>
      <w:r w:rsidRPr="00463AFB">
        <w:rPr>
          <w:sz w:val="20"/>
          <w:lang w:val="en-GB"/>
        </w:rPr>
        <w:t xml:space="preserve"> </w:t>
      </w:r>
      <w:r>
        <w:rPr>
          <w:sz w:val="20"/>
          <w:lang w:val="en-GB"/>
        </w:rPr>
        <w:tab/>
      </w:r>
      <w:r w:rsidRPr="00463AFB">
        <w:rPr>
          <w:rFonts w:cstheme="minorHAnsi"/>
          <w:sz w:val="20"/>
          <w:lang w:val="en-GB"/>
        </w:rPr>
        <w:t xml:space="preserve">Trb. 1969, 100. </w:t>
      </w:r>
      <w:proofErr w:type="spellStart"/>
      <w:r w:rsidRPr="00463AFB">
        <w:rPr>
          <w:sz w:val="20"/>
          <w:lang w:val="en-GB"/>
        </w:rPr>
        <w:t>Zie</w:t>
      </w:r>
      <w:proofErr w:type="spellEnd"/>
      <w:r w:rsidRPr="00463AFB">
        <w:rPr>
          <w:sz w:val="20"/>
          <w:lang w:val="en-GB"/>
        </w:rPr>
        <w:t xml:space="preserve"> </w:t>
      </w:r>
      <w:proofErr w:type="spellStart"/>
      <w:r w:rsidRPr="00463AFB">
        <w:rPr>
          <w:sz w:val="20"/>
          <w:lang w:val="en-GB"/>
        </w:rPr>
        <w:t>hierover</w:t>
      </w:r>
      <w:proofErr w:type="spellEnd"/>
      <w:r w:rsidRPr="00463AFB">
        <w:rPr>
          <w:sz w:val="20"/>
          <w:lang w:val="en-GB"/>
        </w:rPr>
        <w:t xml:space="preserve"> </w:t>
      </w:r>
      <w:proofErr w:type="spellStart"/>
      <w:r w:rsidRPr="00463AFB">
        <w:rPr>
          <w:sz w:val="20"/>
          <w:lang w:val="en-GB"/>
        </w:rPr>
        <w:t>ook</w:t>
      </w:r>
      <w:proofErr w:type="spellEnd"/>
      <w:r w:rsidRPr="00463AFB">
        <w:rPr>
          <w:sz w:val="20"/>
          <w:lang w:val="en-GB"/>
        </w:rPr>
        <w:t>: United Nations, Universal Periodic Review UAE 2018.</w:t>
      </w:r>
    </w:p>
  </w:footnote>
  <w:footnote w:id="23">
    <w:p w14:paraId="1714CEFE" w14:textId="77777777" w:rsidR="0043580C" w:rsidRPr="001E782A" w:rsidRDefault="00242C11">
      <w:pPr>
        <w:pStyle w:val="FootnoteText"/>
        <w:tabs>
          <w:tab w:val="clear" w:pos="227"/>
        </w:tabs>
        <w:contextualSpacing/>
        <w:rPr>
          <w:sz w:val="20"/>
          <w:lang w:val="en-GB"/>
        </w:rPr>
      </w:pPr>
      <w:r w:rsidRPr="00463AFB">
        <w:rPr>
          <w:rStyle w:val="FootnoteReference"/>
          <w:sz w:val="20"/>
        </w:rPr>
        <w:footnoteRef/>
      </w:r>
      <w:r w:rsidRPr="001E782A">
        <w:rPr>
          <w:sz w:val="20"/>
          <w:lang w:val="en-GB"/>
        </w:rPr>
        <w:t xml:space="preserve"> </w:t>
      </w:r>
      <w:r w:rsidRPr="001E782A">
        <w:rPr>
          <w:sz w:val="20"/>
          <w:lang w:val="en-GB"/>
        </w:rPr>
        <w:tab/>
      </w:r>
      <w:r w:rsidRPr="001E782A">
        <w:rPr>
          <w:rFonts w:cstheme="minorHAnsi"/>
          <w:sz w:val="20"/>
          <w:lang w:val="en-GB"/>
        </w:rPr>
        <w:t>Trb. 1966, 237.</w:t>
      </w:r>
    </w:p>
  </w:footnote>
  <w:footnote w:id="24">
    <w:p w14:paraId="14559961" w14:textId="77777777" w:rsidR="0043580C" w:rsidRPr="001E782A" w:rsidRDefault="00242C11">
      <w:pPr>
        <w:pStyle w:val="FootnoteText"/>
        <w:tabs>
          <w:tab w:val="clear" w:pos="227"/>
        </w:tabs>
        <w:contextualSpacing/>
        <w:rPr>
          <w:sz w:val="20"/>
          <w:lang w:val="en-GB"/>
        </w:rPr>
      </w:pPr>
      <w:r w:rsidRPr="00463AFB">
        <w:rPr>
          <w:rStyle w:val="FootnoteReference"/>
          <w:sz w:val="20"/>
        </w:rPr>
        <w:footnoteRef/>
      </w:r>
      <w:r w:rsidRPr="001E782A">
        <w:rPr>
          <w:sz w:val="20"/>
          <w:lang w:val="en-GB"/>
        </w:rPr>
        <w:t xml:space="preserve"> </w:t>
      </w:r>
      <w:r w:rsidRPr="001E782A">
        <w:rPr>
          <w:sz w:val="20"/>
          <w:lang w:val="en-GB"/>
        </w:rPr>
        <w:tab/>
      </w:r>
      <w:r w:rsidRPr="001E782A">
        <w:rPr>
          <w:rFonts w:cstheme="minorHAnsi"/>
          <w:sz w:val="20"/>
          <w:lang w:val="en-GB"/>
        </w:rPr>
        <w:t>Trb. 1960, 32.</w:t>
      </w:r>
    </w:p>
  </w:footnote>
  <w:footnote w:id="25">
    <w:p w14:paraId="32E9CD12" w14:textId="77777777" w:rsidR="0043580C" w:rsidRPr="001E782A" w:rsidRDefault="00242C11">
      <w:pPr>
        <w:pStyle w:val="FootnoteText"/>
        <w:tabs>
          <w:tab w:val="clear" w:pos="227"/>
        </w:tabs>
        <w:contextualSpacing/>
        <w:rPr>
          <w:sz w:val="20"/>
          <w:lang w:val="en-GB"/>
        </w:rPr>
      </w:pPr>
      <w:r w:rsidRPr="00463AFB">
        <w:rPr>
          <w:rStyle w:val="FootnoteReference"/>
          <w:sz w:val="20"/>
        </w:rPr>
        <w:footnoteRef/>
      </w:r>
      <w:r w:rsidRPr="001E782A">
        <w:rPr>
          <w:sz w:val="20"/>
          <w:lang w:val="en-GB"/>
        </w:rPr>
        <w:t xml:space="preserve"> </w:t>
      </w:r>
      <w:r w:rsidRPr="001E782A">
        <w:rPr>
          <w:sz w:val="20"/>
          <w:lang w:val="en-GB"/>
        </w:rPr>
        <w:tab/>
      </w:r>
      <w:r w:rsidRPr="001E782A">
        <w:rPr>
          <w:rFonts w:cstheme="minorHAnsi"/>
          <w:sz w:val="20"/>
          <w:lang w:val="en-GB"/>
        </w:rPr>
        <w:t>Trb. 1980, 146.</w:t>
      </w:r>
    </w:p>
  </w:footnote>
  <w:footnote w:id="26">
    <w:p w14:paraId="4E6CF32C" w14:textId="77777777" w:rsidR="0043580C" w:rsidRPr="00242C11" w:rsidRDefault="00242C11">
      <w:pPr>
        <w:pStyle w:val="FootnoteText"/>
        <w:tabs>
          <w:tab w:val="clear" w:pos="227"/>
        </w:tabs>
        <w:contextualSpacing/>
        <w:rPr>
          <w:sz w:val="20"/>
        </w:rPr>
      </w:pPr>
      <w:r w:rsidRPr="00463AFB">
        <w:rPr>
          <w:rStyle w:val="FootnoteReference"/>
          <w:sz w:val="20"/>
        </w:rPr>
        <w:footnoteRef/>
      </w:r>
      <w:r w:rsidRPr="00242C11">
        <w:rPr>
          <w:sz w:val="20"/>
        </w:rPr>
        <w:t xml:space="preserve"> </w:t>
      </w:r>
      <w:r w:rsidRPr="00242C11">
        <w:rPr>
          <w:sz w:val="20"/>
        </w:rPr>
        <w:tab/>
      </w:r>
      <w:r w:rsidRPr="00242C11">
        <w:rPr>
          <w:rFonts w:cstheme="minorHAnsi"/>
          <w:sz w:val="20"/>
        </w:rPr>
        <w:t xml:space="preserve">Trb. </w:t>
      </w:r>
      <w:r w:rsidRPr="00242C11">
        <w:rPr>
          <w:rFonts w:cstheme="minorHAnsi"/>
          <w:sz w:val="20"/>
        </w:rPr>
        <w:t>1985, 69.</w:t>
      </w:r>
    </w:p>
  </w:footnote>
  <w:footnote w:id="27">
    <w:p w14:paraId="44B9AB56" w14:textId="77777777" w:rsidR="0043580C" w:rsidRPr="00463AFB" w:rsidRDefault="00242C11">
      <w:pPr>
        <w:pStyle w:val="FootnoteText"/>
        <w:tabs>
          <w:tab w:val="clear" w:pos="227"/>
        </w:tabs>
        <w:contextualSpacing/>
        <w:rPr>
          <w:sz w:val="20"/>
        </w:rPr>
      </w:pPr>
      <w:r w:rsidRPr="00463AFB">
        <w:rPr>
          <w:rStyle w:val="FootnoteReference"/>
          <w:sz w:val="20"/>
        </w:rPr>
        <w:footnoteRef/>
      </w:r>
      <w:r w:rsidRPr="00463AFB">
        <w:rPr>
          <w:sz w:val="20"/>
        </w:rPr>
        <w:t xml:space="preserve"> </w:t>
      </w:r>
      <w:r>
        <w:rPr>
          <w:sz w:val="20"/>
        </w:rPr>
        <w:tab/>
      </w:r>
      <w:r w:rsidRPr="00463AFB">
        <w:rPr>
          <w:sz w:val="20"/>
        </w:rPr>
        <w:t xml:space="preserve">Bij het </w:t>
      </w:r>
      <w:r>
        <w:rPr>
          <w:sz w:val="20"/>
        </w:rPr>
        <w:t>F</w:t>
      </w:r>
      <w:r w:rsidRPr="00463AFB">
        <w:rPr>
          <w:sz w:val="20"/>
        </w:rPr>
        <w:t>olterverdrag hebben de VAE bijvoorbeeld aangegeven dat zij lijfstraffen die een wettelijke basis hebben niet zien als marteling als bedoeld in het verdrag. Bovendien erkennen zij niet het Comité tegen Foltering. Nederland heeft bezwaa</w:t>
      </w:r>
      <w:r w:rsidRPr="00463AFB">
        <w:rPr>
          <w:sz w:val="20"/>
        </w:rPr>
        <w:t>r gemaakt tegen deze voorbehouden.</w:t>
      </w:r>
    </w:p>
  </w:footnote>
  <w:footnote w:id="28">
    <w:p w14:paraId="21EEDF9B" w14:textId="77777777" w:rsidR="0043580C" w:rsidRPr="00463AFB" w:rsidRDefault="00242C11">
      <w:pPr>
        <w:pStyle w:val="FootnoteText"/>
        <w:tabs>
          <w:tab w:val="clear" w:pos="227"/>
        </w:tabs>
        <w:contextualSpacing/>
        <w:rPr>
          <w:sz w:val="20"/>
          <w:lang w:val="en-GB"/>
        </w:rPr>
      </w:pPr>
      <w:r w:rsidRPr="00463AFB">
        <w:rPr>
          <w:rStyle w:val="FootnoteReference"/>
          <w:sz w:val="20"/>
        </w:rPr>
        <w:footnoteRef/>
      </w:r>
      <w:r w:rsidRPr="00463AFB">
        <w:rPr>
          <w:sz w:val="20"/>
          <w:lang w:val="en-GB"/>
        </w:rPr>
        <w:t xml:space="preserve"> </w:t>
      </w:r>
      <w:r>
        <w:rPr>
          <w:sz w:val="20"/>
          <w:lang w:val="en-GB"/>
        </w:rPr>
        <w:tab/>
      </w:r>
      <w:r w:rsidRPr="00463AFB">
        <w:rPr>
          <w:rFonts w:cstheme="minorHAnsi"/>
          <w:sz w:val="20"/>
          <w:lang w:val="en-GB"/>
        </w:rPr>
        <w:t>Trb. 2005, 243.</w:t>
      </w:r>
    </w:p>
  </w:footnote>
  <w:footnote w:id="29">
    <w:p w14:paraId="6404FD38" w14:textId="77777777" w:rsidR="0043580C" w:rsidRPr="00463AFB" w:rsidRDefault="00242C11">
      <w:pPr>
        <w:pStyle w:val="FootnoteText"/>
        <w:tabs>
          <w:tab w:val="clear" w:pos="227"/>
        </w:tabs>
        <w:contextualSpacing/>
        <w:rPr>
          <w:sz w:val="20"/>
          <w:lang w:val="en-GB"/>
        </w:rPr>
      </w:pPr>
      <w:r w:rsidRPr="00463AFB">
        <w:rPr>
          <w:rStyle w:val="FootnoteReference"/>
          <w:sz w:val="20"/>
        </w:rPr>
        <w:footnoteRef/>
      </w:r>
      <w:r w:rsidRPr="00463AFB">
        <w:rPr>
          <w:sz w:val="20"/>
          <w:lang w:val="en-GB"/>
        </w:rPr>
        <w:t xml:space="preserve"> </w:t>
      </w:r>
      <w:r>
        <w:rPr>
          <w:sz w:val="20"/>
          <w:lang w:val="en-GB"/>
        </w:rPr>
        <w:tab/>
      </w:r>
      <w:r w:rsidRPr="00463AFB">
        <w:rPr>
          <w:sz w:val="20"/>
          <w:lang w:val="en-GB"/>
        </w:rPr>
        <w:t>Human Rights watch report 2022, p. 693.</w:t>
      </w:r>
    </w:p>
  </w:footnote>
  <w:footnote w:id="30">
    <w:p w14:paraId="2E734B3A" w14:textId="77777777" w:rsidR="0043580C" w:rsidRDefault="00242C11">
      <w:pPr>
        <w:pStyle w:val="FootnoteText"/>
        <w:tabs>
          <w:tab w:val="clear" w:pos="227"/>
        </w:tabs>
        <w:contextualSpacing/>
      </w:pPr>
      <w:r w:rsidRPr="00463AFB">
        <w:rPr>
          <w:rStyle w:val="FootnoteReference"/>
          <w:sz w:val="20"/>
        </w:rPr>
        <w:footnoteRef/>
      </w:r>
      <w:r w:rsidRPr="00463AFB">
        <w:rPr>
          <w:sz w:val="20"/>
        </w:rPr>
        <w:t xml:space="preserve"> </w:t>
      </w:r>
      <w:r>
        <w:rPr>
          <w:sz w:val="20"/>
        </w:rPr>
        <w:tab/>
      </w:r>
      <w:r w:rsidRPr="00463AFB">
        <w:rPr>
          <w:sz w:val="20"/>
        </w:rPr>
        <w:t xml:space="preserve">Zo ook T. </w:t>
      </w:r>
      <w:proofErr w:type="spellStart"/>
      <w:r w:rsidRPr="00463AFB">
        <w:rPr>
          <w:sz w:val="20"/>
        </w:rPr>
        <w:t>Kraniotis</w:t>
      </w:r>
      <w:proofErr w:type="spellEnd"/>
      <w:r w:rsidRPr="00463AFB">
        <w:rPr>
          <w:sz w:val="20"/>
        </w:rPr>
        <w:t>, ‘Het vertrouwensbeginsel bij interstatelijke samenwerking in strafzaken’ (</w:t>
      </w:r>
      <w:proofErr w:type="spellStart"/>
      <w:r w:rsidRPr="00463AFB">
        <w:rPr>
          <w:sz w:val="20"/>
        </w:rPr>
        <w:t>diss</w:t>
      </w:r>
      <w:proofErr w:type="spellEnd"/>
      <w:r w:rsidRPr="00463AFB">
        <w:rPr>
          <w:sz w:val="20"/>
        </w:rPr>
        <w:t>. Nijmegen), Deventer: Wolters Kluwer 2016, par</w:t>
      </w:r>
      <w:r>
        <w:rPr>
          <w:sz w:val="20"/>
        </w:rPr>
        <w:t>agraaf</w:t>
      </w:r>
      <w:r w:rsidRPr="00463AFB">
        <w:rPr>
          <w:sz w:val="20"/>
        </w:rPr>
        <w:t xml:space="preserve"> 10.</w:t>
      </w:r>
      <w:r w:rsidRPr="00463AFB">
        <w:rPr>
          <w:sz w:val="20"/>
        </w:rPr>
        <w:t>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EBCBB" w14:textId="77777777" w:rsidR="00D76613" w:rsidRDefault="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503044">
      <w:rPr>
        <w:rStyle w:val="PageNumber"/>
        <w:noProof/>
      </w:rPr>
      <w:t>2</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42C11"/>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831756"/>
    <w:rsid w:val="00863A01"/>
    <w:rsid w:val="009E72D2"/>
    <w:rsid w:val="00A349AF"/>
    <w:rsid w:val="00AA44F3"/>
    <w:rsid w:val="00B03C96"/>
    <w:rsid w:val="00B44919"/>
    <w:rsid w:val="00C02F92"/>
    <w:rsid w:val="00C5066A"/>
    <w:rsid w:val="00C50D4F"/>
    <w:rsid w:val="00C60F72"/>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4DC8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uiPriority w:val="99"/>
    <w:rsid w:val="00210837"/>
    <w:pPr>
      <w:tabs>
        <w:tab w:val="left" w:pos="227"/>
      </w:tabs>
      <w:ind w:left="227" w:hanging="227"/>
    </w:pPr>
    <w:rPr>
      <w:sz w:val="18"/>
      <w:szCs w:val="20"/>
    </w:rPr>
  </w:style>
  <w:style w:type="character" w:customStyle="1" w:styleId="FootnoteTextChar">
    <w:name w:val="Footnote Text Char"/>
    <w:link w:val="FootnoteText"/>
    <w:uiPriority w:val="99"/>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paragraph" w:styleId="NormalWeb">
    <w:name w:val="Normal (Web)"/>
    <w:basedOn w:val="Normal"/>
    <w:uiPriority w:val="99"/>
    <w:unhideWhenUsed/>
    <w:rsid w:val="0048678E"/>
    <w:pPr>
      <w:spacing w:before="100" w:beforeAutospacing="1" w:after="100" w:afterAutospacing="1"/>
    </w:pPr>
    <w:rPr>
      <w:rFonts w:ascii="Times New Roman" w:hAnsi="Times New Roman"/>
      <w:sz w:val="24"/>
    </w:rPr>
  </w:style>
  <w:style w:type="paragraph" w:styleId="CommentText">
    <w:name w:val="annotation text"/>
    <w:basedOn w:val="Normal"/>
    <w:link w:val="CommentTextChar"/>
    <w:uiPriority w:val="99"/>
    <w:unhideWhenUsed/>
    <w:rsid w:val="0048678E"/>
    <w:pPr>
      <w:spacing w:after="160" w:line="256" w:lineRule="auto"/>
    </w:pPr>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rsid w:val="0048678E"/>
    <w:rPr>
      <w:rFonts w:asciiTheme="minorHAnsi" w:eastAsiaTheme="minorEastAsia" w:hAnsiTheme="minorHAnsi"/>
    </w:rPr>
  </w:style>
  <w:style w:type="paragraph" w:styleId="NoSpacing">
    <w:name w:val="No Spacing"/>
    <w:uiPriority w:val="1"/>
    <w:qFormat/>
    <w:rsid w:val="0048678E"/>
    <w:rPr>
      <w:rFonts w:ascii="Verdana" w:eastAsiaTheme="minorHAnsi" w:hAnsi="Verdana" w:cstheme="minorBidi"/>
      <w:sz w:val="18"/>
      <w:szCs w:val="22"/>
      <w:lang w:eastAsia="en-US"/>
    </w:rPr>
  </w:style>
  <w:style w:type="character" w:styleId="FootnoteReference">
    <w:name w:val="footnote reference"/>
    <w:basedOn w:val="DefaultParagraphFont"/>
    <w:uiPriority w:val="99"/>
    <w:semiHidden/>
    <w:unhideWhenUsed/>
    <w:rsid w:val="0048678E"/>
    <w:rPr>
      <w:vertAlign w:val="superscript"/>
    </w:rPr>
  </w:style>
  <w:style w:type="character" w:styleId="Strong">
    <w:name w:val="Strong"/>
    <w:basedOn w:val="DefaultParagraphFont"/>
    <w:uiPriority w:val="22"/>
    <w:qFormat/>
    <w:rsid w:val="0048678E"/>
    <w:rPr>
      <w:b/>
      <w:bCs/>
    </w:rPr>
  </w:style>
  <w:style w:type="character" w:styleId="Emphasis">
    <w:name w:val="Emphasis"/>
    <w:basedOn w:val="DefaultParagraphFont"/>
    <w:uiPriority w:val="20"/>
    <w:qFormat/>
    <w:rsid w:val="0048678E"/>
    <w:rPr>
      <w:i/>
      <w:iCs/>
    </w:rPr>
  </w:style>
  <w:style w:type="character" w:styleId="CommentReference">
    <w:name w:val="annotation reference"/>
    <w:basedOn w:val="DefaultParagraphFont"/>
    <w:semiHidden/>
    <w:unhideWhenUsed/>
    <w:rsid w:val="007943E4"/>
    <w:rPr>
      <w:sz w:val="16"/>
      <w:szCs w:val="16"/>
    </w:rPr>
  </w:style>
  <w:style w:type="paragraph" w:styleId="CommentSubject">
    <w:name w:val="annotation subject"/>
    <w:basedOn w:val="CommentText"/>
    <w:next w:val="CommentText"/>
    <w:link w:val="CommentSubjectChar"/>
    <w:semiHidden/>
    <w:unhideWhenUsed/>
    <w:rsid w:val="007943E4"/>
    <w:pPr>
      <w:spacing w:after="0" w:line="240" w:lineRule="auto"/>
    </w:pPr>
    <w:rPr>
      <w:rFonts w:ascii="Univers" w:eastAsia="Times New Roman" w:hAnsi="Univers"/>
      <w:b/>
      <w:bCs/>
    </w:rPr>
  </w:style>
  <w:style w:type="character" w:customStyle="1" w:styleId="CommentSubjectChar">
    <w:name w:val="Comment Subject Char"/>
    <w:basedOn w:val="CommentTextChar"/>
    <w:link w:val="CommentSubject"/>
    <w:semiHidden/>
    <w:rsid w:val="007943E4"/>
    <w:rPr>
      <w:rFonts w:ascii="Univers" w:eastAsiaTheme="minorEastAsia"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1674</ap:Words>
  <ap:Characters>10032</ap:Characters>
  <ap:DocSecurity>0</ap:DocSecurity>
  <ap:Lines>83</ap:Lines>
  <ap:Paragraphs>23</ap:Paragraphs>
  <ap:ScaleCrop>false</ap:ScaleCrop>
  <ap:LinksUpToDate>false</ap:LinksUpToDate>
  <ap:CharactersWithSpaces>11683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2022-10-20T15:06:00.0000000Z</dcterms:created>
  <dcterms:modified xsi:type="dcterms:W3CDTF">2022-10-20T15:06:00.0000000Z</dcterms:modified>
  <dc:description>------------------------</dc:description>
  <dc:subject/>
  <keywords/>
  <version/>
  <category/>
</coreProperties>
</file>