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14:paraId="61DDBFA5" w14:textId="77777777">
          <w:pPr>
            <w:tabs>
              <w:tab w:val="left" w:pos="3686"/>
            </w:tabs>
          </w:pPr>
          <w:r>
            <w:rPr>
              <w:noProof/>
            </w:rPr>
            <mc:AlternateContent>
              <mc:Choice Requires="wps">
                <w:drawing>
                  <wp:anchor distT="0" distB="0" distL="114300" distR="114300" simplePos="0" relativeHeight="251657728" behindDoc="0" locked="0" layoutInCell="1" allowOverlap="1" wp14:editId="71270FC4" wp14:anchorId="244B2069">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14:paraId="02E39340"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4B2069">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14:paraId="02E39340"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336077F" wp14:anchorId="0294D82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W01.22.0122/I</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21 september 2022</w:t>
              </w:r>
            </w:sdtContent>
          </w:sdt>
        </w:p>
        <w:p w:rsidRPr="009E4442" w:rsidR="00C03BC5" w:rsidP="00C03BC5" w:rsidRDefault="00C03BC5" w14:paraId="130E0FCF" w14:textId="77777777">
          <w:pPr>
            <w:tabs>
              <w:tab w:val="left" w:pos="3685"/>
            </w:tabs>
            <w:rPr>
              <w:lang w:val="en-US"/>
            </w:rPr>
          </w:pPr>
        </w:p>
        <w:p w:rsidRPr="009E4442" w:rsidR="00C03BC5" w:rsidP="00C03BC5" w:rsidRDefault="00C03BC5" w14:paraId="1D813D23" w14:textId="77777777">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4162E7" w:rsidRDefault="005139F0" w14:paraId="02131F64" w14:textId="77777777">
              <w:r>
                <w:t>Bij brief van de Voorzitter van de Tweede Kamer der Staten-Generaal van 6 juli 2022 heeft de Tweede Kamer, bij de Afdeling advisering van de Raad van State ter overweging aanhangig gemaakt het voorstel van wet van het lid Leijten houdende verklaring dat er grond bestaat een voorstel in overweging te nemen tot verandering in de Grondwet, strekkende tot opneming van bepalingen inzake het correctief referendum, met memorie van toelichting.</w:t>
              </w:r>
            </w:p>
          </w:sdtContent>
        </w:sdt>
        <w:p w:rsidR="00EF6FDD" w:rsidP="003819B6" w:rsidRDefault="00EF6FDD" w14:paraId="32A7F13B" w14:textId="77777777"/>
        <w:sdt>
          <w:sdtPr>
            <w:alias w:val="VrijeTekst1"/>
            <w:tag w:val="VrijeTekst1"/>
            <w:id w:val="-437221631"/>
            <w:lock w:val="sdtLocked"/>
          </w:sdtPr>
          <w:sdtEndPr/>
          <w:sdtContent>
            <w:sdt>
              <w:sdtPr>
                <w:alias w:val="VrijeTekst1"/>
                <w:tag w:val="VrijeTekst1"/>
                <w:id w:val="570318598"/>
              </w:sdtPr>
              <w:sdtEndPr/>
              <w:sdtContent>
                <w:p w:rsidR="002441AC" w:rsidP="002441AC" w:rsidRDefault="005139F0" w14:paraId="6FDE3D39" w14:textId="77777777">
                  <w:r>
                    <w:t>Dit wetsvoorstel komt grotendeels overeen met het voorstel inzake het correctief referendum dat toenmalig initiatiefnemer Van Raak in eerste lezing aanhangig maakte.</w:t>
                  </w:r>
                  <w:r>
                    <w:rPr>
                      <w:rStyle w:val="Voetnootmarkering"/>
                    </w:rPr>
                    <w:footnoteReference w:id="1"/>
                  </w:r>
                  <w:r>
                    <w:t xml:space="preserve"> De initiatiefnemer heeft het voorstel aanhangig gemaakt op de dag dat het eerdere, nagenoeg gelijkluidende wetsvoorstel in tweede lezing door de Tweede Kamer is verworpen.</w:t>
                  </w:r>
                  <w:r>
                    <w:rPr>
                      <w:rStyle w:val="Voetnootmarkering"/>
                    </w:rPr>
                    <w:footnoteReference w:id="2"/>
                  </w:r>
                  <w:r>
                    <w:t xml:space="preserve"> De tekst van de Grondwet verbiedt dat als zodanig niet. Wel wijst de Afdeling advisering van de Raad van State op het bijzondere karakter van de procedure tot grondwetsherziening. </w:t>
                  </w:r>
                </w:p>
                <w:p w:rsidR="002441AC" w:rsidP="002441AC" w:rsidRDefault="00E60B7F" w14:paraId="3BDFADEA" w14:textId="77777777"/>
                <w:p w:rsidR="002441AC" w:rsidP="002441AC" w:rsidRDefault="005139F0" w14:paraId="0F1FCDBE" w14:textId="77777777">
                  <w:r>
                    <w:t>Een wetsvoorstel tot wijziging van de Grondwet moet na aanvaarding in eerste lezing vervolgens, na tussentijdse ontbinding en verkiezing van de Tweede Kamer, in tweede lezing met een tweederdemeerderheid door Tweede en Eerste Kamer worden aanvaard.</w:t>
                  </w:r>
                  <w:r>
                    <w:rPr>
                      <w:rStyle w:val="Voetnootmarkering"/>
                    </w:rPr>
                    <w:footnoteReference w:id="3"/>
                  </w:r>
                  <w:r>
                    <w:t xml:space="preserve"> Deze verzwaarde procedure beoogt de stabiliteit en continuïteit van de hoofdregels van het staatsbestel te waarborgen. Een grondwetswijziging kan daarom alleen tot stand komen als daarvoor brede steun bestaat. Deze steun moet bestaan in beide kamers der Staten-Generaal gedurende twee opeenvolgende parlementaire periodes.</w:t>
                  </w:r>
                  <w:r>
                    <w:rPr>
                      <w:rStyle w:val="Voetnootmarkering"/>
                    </w:rPr>
                    <w:footnoteReference w:id="4"/>
                  </w:r>
                </w:p>
                <w:p w:rsidR="005139F0" w:rsidP="002441AC" w:rsidRDefault="005139F0" w14:paraId="4D22A59A" w14:textId="77777777"/>
                <w:p w:rsidR="002441AC" w:rsidP="002441AC" w:rsidRDefault="005139F0" w14:paraId="52249C6F" w14:textId="241ED01D">
                  <w:r>
                    <w:t xml:space="preserve">Zeer recent is gebleken dat die brede en langdurige parlementaire steun voor de wijziging die nu opnieuw aanhangig wordt gemaakt, op dit moment ontbreekt. Er zijn sinds de korte periode die sindsdien is verstreken, geen nieuwe gezichtspunten aangevoerd op grond waarvan moet worden aangenomen dat de parlementaire stemming thans anders zou uitvallen. Gelet op de grondgedachte van de verzwaarde herzieningsprocedure – waarborging van de stabiliteit en continuïteit van het staatsbestel – is het daarom minder passend om reeds op dit moment een nagenoeg gelijkluidende grondwetswijziging opnieuw aanhangig te maken. </w:t>
                  </w:r>
                </w:p>
                <w:p w:rsidR="002441AC" w:rsidP="002441AC" w:rsidRDefault="00E60B7F" w14:paraId="619220D2" w14:textId="77777777"/>
                <w:p w:rsidR="002441AC" w:rsidP="002441AC" w:rsidRDefault="005139F0" w14:paraId="3E01F19B" w14:textId="77777777">
                  <w:r>
                    <w:lastRenderedPageBreak/>
                    <w:t xml:space="preserve">De Afdeling adviseert in het licht van het voorgaande het thans opnieuw indienen van het voorstel dragend te motiveren. </w:t>
                  </w:r>
                </w:p>
                <w:p w:rsidR="002441AC" w:rsidP="002441AC" w:rsidRDefault="00E60B7F" w14:paraId="6B9E8E90" w14:textId="77777777"/>
                <w:p w:rsidR="002441AC" w:rsidP="002441AC" w:rsidRDefault="005139F0" w14:paraId="3CD0208D" w14:textId="77777777">
                  <w:r>
                    <w:t>Over het voorstel inzake het correctief referendum van toenmalig initiatiefnemer van Raak heeft de Afdeling eerder geadviseerd.</w:t>
                  </w:r>
                  <w:r>
                    <w:rPr>
                      <w:rStyle w:val="Voetnootmarkering"/>
                    </w:rPr>
                    <w:footnoteReference w:id="5"/>
                  </w:r>
                  <w:r>
                    <w:t xml:space="preserve"> Zij ziet in het wetsvoorstel zoals het nu luidt geen aanleiding om haar eerdere beoordeling aan te passen. Zij voegt het eerdere advies daarom als bijlage toe. Omdat het daarmee integraal deel uitmaakt van het thans uitgebrachte advies kan het worden betrokken in de reactie van de initiatiefnemer en in de eventuele verdere parlementaire behandeling. </w:t>
                  </w:r>
                </w:p>
                <w:p w:rsidR="002441AC" w:rsidP="002441AC" w:rsidRDefault="00E60B7F" w14:paraId="177D8CFA" w14:textId="77777777"/>
                <w:p w:rsidR="002441AC" w:rsidP="002441AC" w:rsidRDefault="005139F0" w14:paraId="46961ECC" w14:textId="77777777">
                  <w:r>
                    <w:t xml:space="preserve">Bijlage: </w:t>
                  </w:r>
                  <w:r w:rsidRPr="00A67DA3">
                    <w:t xml:space="preserve">Advies van </w:t>
                  </w:r>
                  <w:r>
                    <w:t xml:space="preserve">de Afdeling advisering van </w:t>
                  </w:r>
                  <w:r w:rsidRPr="00A67DA3">
                    <w:t>18 september 2019 over het voorstel van wet van het lid Van Raak houdende verklaring dat er grond bestaat een voorstel in overweging te nemen tot verandering in de Grondwet, strekkende tot opneming van bepalingen inzake het correctief referendum (Kamerstukken II 2019/20, 35129, nr. 4)</w:t>
                  </w:r>
                  <w:r>
                    <w:t>.</w:t>
                  </w:r>
                </w:p>
              </w:sdtContent>
            </w:sdt>
          </w:sdtContent>
        </w:sdt>
        <w:p w:rsidR="004227C2" w:rsidRDefault="004227C2" w14:paraId="082858FF" w14:textId="77777777"/>
        <w:p w:rsidR="004227C2" w:rsidRDefault="004227C2" w14:paraId="0EEADCCC" w14:textId="77777777"/>
        <w:sdt>
          <w:sdtPr>
            <w:alias w:val="Dictum"/>
            <w:tag w:val="Dictum"/>
            <w:id w:val="-351264612"/>
            <w:lock w:val="contentLocked"/>
            <w:placeholder>
              <w:docPart w:val="94FBDDDE1E0F4FED99AF78A1F9BE573E"/>
            </w:placeholder>
            <w:text w:multiLine="1"/>
          </w:sdtPr>
          <w:sdtEndPr/>
          <w:sdtContent>
            <w:p w:rsidR="004162E7" w:rsidRDefault="005139F0" w14:paraId="63252D63" w14:textId="77777777">
              <w:r>
                <w:t>De vice-president van de Raad van State,</w:t>
              </w:r>
            </w:p>
          </w:sdtContent>
        </w:sdt>
      </w:sdtContent>
    </w:sdt>
    <w:sectPr w:rsidR="004162E7" w:rsidSect="00C03BC5">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CEE6B" w14:textId="77777777" w:rsidR="00F20637" w:rsidRDefault="005139F0" w:rsidP="005B3E03">
      <w:r>
        <w:separator/>
      </w:r>
    </w:p>
  </w:endnote>
  <w:endnote w:type="continuationSeparator" w:id="0">
    <w:p w14:paraId="0738427D" w14:textId="77777777" w:rsidR="00F20637" w:rsidRDefault="005139F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3932" w14:textId="77777777" w:rsidR="00106633" w:rsidRPr="00B31990" w:rsidRDefault="00B31990" w:rsidP="00B31990">
    <w:pPr>
      <w:pStyle w:val="Voettekst"/>
      <w:rPr>
        <w:lang w:val="nb-NO"/>
      </w:rPr>
    </w:pPr>
    <w:r>
      <w:rPr>
        <w:noProof/>
        <w:lang w:val="nl-NL" w:eastAsia="nl-NL"/>
      </w:rPr>
      <mc:AlternateContent>
        <mc:Choice Requires="wps">
          <w:drawing>
            <wp:anchor distT="0" distB="0" distL="114300" distR="114300" simplePos="0" relativeHeight="251659264" behindDoc="0" locked="0" layoutInCell="1" allowOverlap="1" wp14:anchorId="57A27FA8" wp14:editId="1008449F">
              <wp:simplePos x="0" y="0"/>
              <wp:positionH relativeFrom="page">
                <wp:posOffset>189230</wp:posOffset>
              </wp:positionH>
              <wp:positionV relativeFrom="page">
                <wp:posOffset>10193655</wp:posOffset>
              </wp:positionV>
              <wp:extent cx="7229475" cy="342900"/>
              <wp:effectExtent l="0" t="0" r="9525"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4C477" w14:textId="77777777" w:rsidR="00B31990" w:rsidRPr="00B31990" w:rsidRDefault="00E60B7F"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27FA8" id="_x0000_t202" coordsize="21600,21600" o:spt="202" path="m,l,21600r21600,l21600,xe">
              <v:stroke joinstyle="miter"/>
              <v:path gradientshapeok="t" o:connecttype="rect"/>
            </v:shapetype>
            <v:shape id="Text Box 7" o:spid="_x0000_s1027" type="#_x0000_t202" style="position:absolute;margin-left:14.9pt;margin-top:802.65pt;width:569.25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" stroked="f">
              <v:textbox>
                <w:txbxContent>
                  <w:p w14:paraId="0E04C477" w14:textId="77777777" w:rsidR="00B31990" w:rsidRPr="00B31990" w:rsidRDefault="00E60B7F"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A621C" w14:textId="77777777" w:rsidR="00F20637" w:rsidRDefault="005139F0" w:rsidP="005B3E03">
      <w:r>
        <w:separator/>
      </w:r>
    </w:p>
  </w:footnote>
  <w:footnote w:type="continuationSeparator" w:id="0">
    <w:p w14:paraId="5F4F2D50" w14:textId="77777777" w:rsidR="00F20637" w:rsidRDefault="005139F0" w:rsidP="005B3E03">
      <w:r>
        <w:continuationSeparator/>
      </w:r>
    </w:p>
  </w:footnote>
  <w:footnote w:id="1">
    <w:p w14:paraId="283D5384" w14:textId="77777777" w:rsidR="002441AC" w:rsidRDefault="005139F0" w:rsidP="002441AC">
      <w:pPr>
        <w:pStyle w:val="Voetnoottekst"/>
      </w:pPr>
      <w:r>
        <w:rPr>
          <w:rStyle w:val="Voetnootmarkering"/>
        </w:rPr>
        <w:footnoteRef/>
      </w:r>
      <w:r>
        <w:t xml:space="preserve"> </w:t>
      </w:r>
      <w:r>
        <w:tab/>
        <w:t xml:space="preserve">Initiatiefnemer voegt een bepaling toe aan het eerdere voorstel, namelijk de bevoegdheid voor besturen van waterschappen om bij verordening te bepalen dat besluiten aan een beslissend referendum worden onderworpen. In tegenstelling tot andere decentrale overheden betreft het hier een bevoegdheid, geen verplichting. Het betrof een amendement dat in eerste lezing werd aangenomen (Kamerstukken II 2020/21. 35129, nr. 16). Andere amendementen die in eerste lezing werden aangenomen, zijn niet door initiatiefnemer overgenomen in dit voorstel.  </w:t>
      </w:r>
    </w:p>
  </w:footnote>
  <w:footnote w:id="2">
    <w:p w14:paraId="53B9BAEE" w14:textId="77777777" w:rsidR="002441AC" w:rsidRDefault="005139F0" w:rsidP="002441AC">
      <w:pPr>
        <w:pStyle w:val="Voetnoottekst"/>
      </w:pPr>
      <w:r>
        <w:rPr>
          <w:rStyle w:val="Voetnootmarkering"/>
        </w:rPr>
        <w:footnoteRef/>
      </w:r>
      <w:r>
        <w:t xml:space="preserve"> </w:t>
      </w:r>
      <w:r>
        <w:tab/>
        <w:t xml:space="preserve">Kamerstukken II 2021/22, 36160, nr. 1. </w:t>
      </w:r>
    </w:p>
  </w:footnote>
  <w:footnote w:id="3">
    <w:p w14:paraId="17451D59" w14:textId="77777777" w:rsidR="002441AC" w:rsidRDefault="005139F0" w:rsidP="002441AC">
      <w:pPr>
        <w:pStyle w:val="Voetnoottekst"/>
      </w:pPr>
      <w:r>
        <w:rPr>
          <w:rStyle w:val="Voetnootmarkering"/>
        </w:rPr>
        <w:footnoteRef/>
      </w:r>
      <w:r>
        <w:t xml:space="preserve"> </w:t>
      </w:r>
      <w:r>
        <w:tab/>
        <w:t>Artikel 137 Grondwet.</w:t>
      </w:r>
    </w:p>
  </w:footnote>
  <w:footnote w:id="4">
    <w:p w14:paraId="51838D7D" w14:textId="7C4F668C" w:rsidR="002441AC" w:rsidRDefault="005139F0" w:rsidP="0027054E">
      <w:pPr>
        <w:pStyle w:val="Voetnoottekst"/>
      </w:pPr>
      <w:r>
        <w:rPr>
          <w:rStyle w:val="Voetnootmarkering"/>
        </w:rPr>
        <w:footnoteRef/>
      </w:r>
      <w:r>
        <w:t xml:space="preserve"> </w:t>
      </w:r>
      <w:r>
        <w:tab/>
        <w:t xml:space="preserve">Dit uitgangspunt vormde ook de basis voor regels omtrent het tijdig in behandeling nemen van een wetsvoorstel in tweede lezing. Deze regels werden, daar waar het initiatiefwetsvoorstellen betrof, in eerste instantie opgenomen in het Reglement van Orde van de Tweede Kamer. </w:t>
      </w:r>
      <w:r w:rsidR="00B85522">
        <w:t xml:space="preserve">Sinds de laatste wijziging van artikel 137 (Stb. 2022, 335) bepaalt dat artikel dat </w:t>
      </w:r>
      <w:r>
        <w:t xml:space="preserve">de Tweede Kamer die wordt gekozen na de bekendmaking van de Grondwetswijziging in eerste lezing, de tweede lezing van het voorstel ter hand neemt. Indien deze Tweede Kamer geen besluit neemt over het voorstel, vervalt het van rechtswege. Hiermee wordt voorkomen dat de behandeling van de tweede lezing bewust wordt vertraagd totdat er (uiteindelijk) een Tweede Kamer wordt geïnstalleerd waarin een tweederdemeerderheid bestaat voor het desbetreffende voorstel. </w:t>
      </w:r>
    </w:p>
  </w:footnote>
  <w:footnote w:id="5">
    <w:p w14:paraId="3ED7CA0E" w14:textId="77777777" w:rsidR="002441AC" w:rsidRDefault="005139F0" w:rsidP="002441AC">
      <w:pPr>
        <w:pStyle w:val="Voetnoottekst"/>
      </w:pPr>
      <w:r>
        <w:rPr>
          <w:rStyle w:val="Voetnootmarkering"/>
        </w:rPr>
        <w:footnoteRef/>
      </w:r>
      <w:r>
        <w:t xml:space="preserve"> </w:t>
      </w:r>
      <w:r>
        <w:tab/>
        <w:t>Advies van 18 september 2019 over het voorstel van wet van het lid Van Raak houdende verklaring dat er grond bestaat een voorstel in overweging te nemen tot verandering in de Grondwet, strekkende tot opneming van bepalingen inzake het correctief referendum (Kamerstukken II 2019/20, 35129, nr.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B23E3" w14:textId="3B75A61C"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60B7F">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56F0B"/>
    <w:rsid w:val="001F694A"/>
    <w:rsid w:val="00275756"/>
    <w:rsid w:val="0028249C"/>
    <w:rsid w:val="002B2D68"/>
    <w:rsid w:val="002B3794"/>
    <w:rsid w:val="002E6459"/>
    <w:rsid w:val="0036375D"/>
    <w:rsid w:val="003819B6"/>
    <w:rsid w:val="004162E7"/>
    <w:rsid w:val="004227C2"/>
    <w:rsid w:val="004A0E99"/>
    <w:rsid w:val="005139F0"/>
    <w:rsid w:val="00564A94"/>
    <w:rsid w:val="0066274D"/>
    <w:rsid w:val="00744956"/>
    <w:rsid w:val="00857398"/>
    <w:rsid w:val="00925C70"/>
    <w:rsid w:val="009E4442"/>
    <w:rsid w:val="009E72D2"/>
    <w:rsid w:val="00A91877"/>
    <w:rsid w:val="00B31990"/>
    <w:rsid w:val="00B85522"/>
    <w:rsid w:val="00C03BC5"/>
    <w:rsid w:val="00C5066A"/>
    <w:rsid w:val="00C50D4F"/>
    <w:rsid w:val="00C94D31"/>
    <w:rsid w:val="00D17220"/>
    <w:rsid w:val="00DB51FC"/>
    <w:rsid w:val="00E60B7F"/>
    <w:rsid w:val="00E8154A"/>
    <w:rsid w:val="00E83E3B"/>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9372D1B"/>
  <w15:docId w15:val="{4542138D-665F-48F5-BC0E-2BAC7494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6D353A"/>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
      <w:docPartPr>
        <w:name w:val="94FBDDDE1E0F4FED99AF78A1F9BE573E"/>
        <w:category>
          <w:name w:val="Algemeen"/>
          <w:gallery w:val="placeholder"/>
        </w:category>
        <w:types>
          <w:type w:val="bbPlcHdr"/>
        </w:types>
        <w:behaviors>
          <w:behavior w:val="content"/>
        </w:behaviors>
        <w:guid w:val="{3C36E9D7-AA7E-44CA-A90A-C2227C712832}"/>
      </w:docPartPr>
      <w:docPartBody>
        <w:p w:rsidR="009E0AE8" w:rsidRDefault="007B1F69" w:rsidP="007B1F69">
          <w:pPr>
            <w:pStyle w:val="94FBDDDE1E0F4FED99AF78A1F9BE573E"/>
          </w:pPr>
          <w:r>
            <w:rPr>
              <w:rStyle w:val="Tekstvantijdelijkeaanduiding"/>
            </w:rPr>
            <w:t>Klik hier als u tekst wilt invoeren.</w:t>
          </w:r>
        </w:p>
      </w:docPartBody>
    </w:docPart>
    <w:docPart>
      <w:docPartPr>
        <w:name w:val="011A92BBC5BB4C838042FC6B2C91B16D"/>
        <w:category>
          <w:name w:val="Algemeen"/>
          <w:gallery w:val="placeholder"/>
        </w:category>
        <w:types>
          <w:type w:val="bbPlcHdr"/>
        </w:types>
        <w:behaviors>
          <w:behavior w:val="content"/>
        </w:behaviors>
        <w:guid w:val="{2A93175B-856C-4229-8107-196C611C74EE}"/>
      </w:docPartPr>
      <w:docPartBody>
        <w:p w:rsidR="00217966" w:rsidRDefault="00203767" w:rsidP="00203767">
          <w:pPr>
            <w:pStyle w:val="011A92BBC5BB4C838042FC6B2C91B16D"/>
          </w:pPr>
          <w:r w:rsidRPr="00D32EF1">
            <w:rPr>
              <w:rStyle w:val="LogoKoninginnepapier"/>
              <w:sz w:val="24"/>
            </w:rPr>
            <w:t xml:space="preserve">AAN DE VOORZITTER VAN DE </w:t>
          </w:r>
          <w:r>
            <w:rPr>
              <w:rStyle w:val="LogoKoninginnepapier"/>
              <w:sz w:val="24"/>
            </w:rPr>
            <w:t>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203767"/>
    <w:rsid w:val="00217966"/>
    <w:rsid w:val="00403656"/>
    <w:rsid w:val="00653CB0"/>
    <w:rsid w:val="006E0215"/>
    <w:rsid w:val="007B1F69"/>
    <w:rsid w:val="007F5F18"/>
    <w:rsid w:val="009E0AE8"/>
    <w:rsid w:val="00AC7B82"/>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94FBDDDE1E0F4FED99AF78A1F9BE573E">
    <w:name w:val="94FBDDDE1E0F4FED99AF78A1F9BE573E"/>
    <w:rsid w:val="007B1F69"/>
  </w:style>
  <w:style w:type="character" w:customStyle="1" w:styleId="LogoKoninginnepapier">
    <w:name w:val="Logo Koninginnepapier"/>
    <w:rsid w:val="00203767"/>
    <w:rPr>
      <w:rFonts w:ascii="Bembo" w:hAnsi="Bembo"/>
      <w:spacing w:val="0"/>
      <w:sz w:val="32"/>
      <w:szCs w:val="32"/>
    </w:rPr>
  </w:style>
  <w:style w:type="paragraph" w:customStyle="1" w:styleId="011A92BBC5BB4C838042FC6B2C91B16D">
    <w:name w:val="011A92BBC5BB4C838042FC6B2C91B16D"/>
    <w:rsid w:val="00203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493</ap:Words>
  <ap:Characters>2713</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2022-09-22T07:22:00.0000000Z</lastPrinted>
  <dcterms:created xsi:type="dcterms:W3CDTF">2022-10-13T15:35:00.0000000Z</dcterms:created>
  <dcterms:modified xsi:type="dcterms:W3CDTF">2022-10-13T15:35:00.0000000Z</dcterms:modified>
  <dc:description>------------------------</dc:description>
  <dc:subject/>
  <dc:title/>
  <keywords/>
  <version/>
  <category/>
</coreProperties>
</file>