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2021" w:rsidR="00974AAB" w:rsidP="00974AAB" w:rsidRDefault="000E1B46" w14:paraId="62CBEC90" w14:textId="0B98F918">
      <w:pPr>
        <w:rPr>
          <w:noProof/>
          <w:sz w:val="20"/>
          <w:szCs w:val="20"/>
        </w:rPr>
      </w:pPr>
      <w:proofErr w:type="spellStart"/>
      <w:r w:rsidRPr="00992021">
        <w:rPr>
          <w:b/>
          <w:sz w:val="20"/>
          <w:szCs w:val="20"/>
        </w:rPr>
        <w:t>Wetenschapt</w:t>
      </w:r>
      <w:r w:rsidRPr="00992021" w:rsidR="00974AAB">
        <w:rPr>
          <w:b/>
          <w:sz w:val="20"/>
          <w:szCs w:val="20"/>
        </w:rPr>
        <w:t>oets</w:t>
      </w:r>
      <w:proofErr w:type="spellEnd"/>
      <w:r w:rsidRPr="00992021" w:rsidR="00974AAB">
        <w:rPr>
          <w:b/>
          <w:sz w:val="20"/>
          <w:szCs w:val="20"/>
        </w:rPr>
        <w:t xml:space="preserve"> conform artikel 3.1 Comptabiliteitswet</w:t>
      </w:r>
      <w:r w:rsidRPr="00992021" w:rsidR="00974AAB">
        <w:rPr>
          <w:sz w:val="20"/>
          <w:szCs w:val="20"/>
        </w:rPr>
        <w:t xml:space="preserve"> </w:t>
      </w:r>
      <w:r w:rsidRPr="00992021" w:rsidR="00974AAB">
        <w:rPr>
          <w:b/>
          <w:sz w:val="20"/>
          <w:szCs w:val="20"/>
        </w:rPr>
        <w:t>2016</w:t>
      </w:r>
      <w:r w:rsidRPr="00992021" w:rsidR="00974AAB">
        <w:rPr>
          <w:sz w:val="20"/>
          <w:szCs w:val="20"/>
        </w:rPr>
        <w:t xml:space="preserve"> (hierna: 3.1 CW</w:t>
      </w:r>
      <w:r w:rsidRPr="00992021">
        <w:rPr>
          <w:sz w:val="20"/>
          <w:szCs w:val="20"/>
        </w:rPr>
        <w:t>)</w:t>
      </w:r>
      <w:r w:rsidRPr="00992021">
        <w:rPr>
          <w:sz w:val="20"/>
          <w:szCs w:val="20"/>
        </w:rPr>
        <w:tab/>
      </w:r>
      <w:r w:rsidRPr="00992021" w:rsidR="00E65A9A">
        <w:rPr>
          <w:b/>
          <w:noProof/>
          <w:sz w:val="20"/>
          <w:szCs w:val="20"/>
        </w:rPr>
        <w:t xml:space="preserve"> </w:t>
      </w:r>
    </w:p>
    <w:p w:rsidRPr="00992021" w:rsidR="00794F20" w:rsidP="00974AAB" w:rsidRDefault="00974AAB" w14:paraId="4649D20B" w14:textId="48F93BAE">
      <w:pPr>
        <w:pBdr>
          <w:top w:val="single" w:color="auto" w:sz="4" w:space="1"/>
          <w:left w:val="single" w:color="auto" w:sz="4" w:space="4"/>
          <w:bottom w:val="single" w:color="auto" w:sz="4" w:space="1"/>
          <w:right w:val="single" w:color="auto" w:sz="4" w:space="4"/>
        </w:pBdr>
        <w:spacing w:after="0" w:line="240" w:lineRule="auto"/>
        <w:rPr>
          <w:color w:val="000000" w:themeColor="text1"/>
          <w:szCs w:val="18"/>
        </w:rPr>
      </w:pPr>
      <w:r w:rsidRPr="00992021">
        <w:rPr>
          <w:b/>
          <w:color w:val="000000" w:themeColor="text1"/>
          <w:szCs w:val="18"/>
        </w:rPr>
        <w:t>Oordeel op basis van externe toetsing door:</w:t>
      </w:r>
      <w:r w:rsidRPr="00992021">
        <w:rPr>
          <w:color w:val="000000" w:themeColor="text1"/>
          <w:szCs w:val="18"/>
        </w:rPr>
        <w:t xml:space="preserve"> </w:t>
      </w:r>
      <w:hyperlink w:history="1" r:id="rId12">
        <w:r w:rsidRPr="00992021" w:rsidR="00383277">
          <w:rPr>
            <w:rStyle w:val="Hyperlink"/>
            <w:szCs w:val="18"/>
          </w:rPr>
          <w:t>prof. dr. Klara Boonstra</w:t>
        </w:r>
      </w:hyperlink>
      <w:r w:rsidR="00565DED">
        <w:rPr>
          <w:rStyle w:val="Voetnootmarkering"/>
          <w:color w:val="0563C1" w:themeColor="hyperlink"/>
          <w:szCs w:val="18"/>
          <w:u w:val="single"/>
        </w:rPr>
        <w:footnoteReference w:id="1"/>
      </w:r>
      <w:r w:rsidRPr="00992021" w:rsidR="00383277">
        <w:rPr>
          <w:color w:val="000000" w:themeColor="text1"/>
          <w:szCs w:val="18"/>
        </w:rPr>
        <w:t xml:space="preserve">, hoogleraar internationaal arbeidsrecht aan de Vrije Universiteit en </w:t>
      </w:r>
      <w:hyperlink w:history="1" r:id="rId13">
        <w:r w:rsidRPr="00992021" w:rsidR="00383277">
          <w:rPr>
            <w:rStyle w:val="Hyperlink"/>
            <w:szCs w:val="18"/>
          </w:rPr>
          <w:t xml:space="preserve">prof. dr. Marc </w:t>
        </w:r>
        <w:proofErr w:type="spellStart"/>
        <w:r w:rsidRPr="00992021" w:rsidR="00383277">
          <w:rPr>
            <w:rStyle w:val="Hyperlink"/>
            <w:szCs w:val="18"/>
          </w:rPr>
          <w:t>Hertogh</w:t>
        </w:r>
        <w:proofErr w:type="spellEnd"/>
      </w:hyperlink>
      <w:r w:rsidRPr="00992021" w:rsidR="00383277">
        <w:rPr>
          <w:color w:val="000000" w:themeColor="text1"/>
          <w:szCs w:val="18"/>
        </w:rPr>
        <w:t>, hoogleraar rechtssociologie aan d</w:t>
      </w:r>
      <w:r w:rsidRPr="00992021" w:rsidR="001F65B5">
        <w:rPr>
          <w:color w:val="000000" w:themeColor="text1"/>
          <w:szCs w:val="18"/>
        </w:rPr>
        <w:t>e Rijksuniversiteit Gr</w:t>
      </w:r>
      <w:r w:rsidRPr="00992021" w:rsidR="00383277">
        <w:rPr>
          <w:color w:val="000000" w:themeColor="text1"/>
          <w:szCs w:val="18"/>
        </w:rPr>
        <w:t>oningen</w:t>
      </w:r>
      <w:r w:rsidRPr="00992021" w:rsidR="00327778">
        <w:rPr>
          <w:color w:val="000000" w:themeColor="text1"/>
          <w:szCs w:val="18"/>
        </w:rPr>
        <w:t>.</w:t>
      </w:r>
    </w:p>
    <w:p w:rsidRPr="00992021" w:rsidR="00974AAB" w:rsidP="00974AAB" w:rsidRDefault="00BB2196" w14:paraId="09D8EE60" w14:textId="318DC83C">
      <w:pPr>
        <w:pBdr>
          <w:top w:val="single" w:color="auto" w:sz="4" w:space="1"/>
          <w:left w:val="single" w:color="auto" w:sz="4" w:space="4"/>
          <w:bottom w:val="single" w:color="auto" w:sz="4" w:space="1"/>
          <w:right w:val="single" w:color="auto" w:sz="4" w:space="4"/>
        </w:pBdr>
        <w:spacing w:after="0" w:line="240" w:lineRule="auto"/>
        <w:rPr>
          <w:color w:val="000000" w:themeColor="text1"/>
          <w:sz w:val="16"/>
          <w:szCs w:val="16"/>
        </w:rPr>
      </w:pPr>
      <w:r w:rsidRPr="00992021">
        <w:rPr>
          <w:b/>
          <w:color w:val="000000" w:themeColor="text1"/>
        </w:rPr>
        <w:t>R</w:t>
      </w:r>
      <w:r w:rsidRPr="00992021" w:rsidR="00974AAB">
        <w:rPr>
          <w:b/>
          <w:color w:val="000000" w:themeColor="text1"/>
        </w:rPr>
        <w:t>apporteurs</w:t>
      </w:r>
      <w:r w:rsidRPr="00992021" w:rsidR="00974AAB">
        <w:rPr>
          <w:color w:val="000000" w:themeColor="text1"/>
        </w:rPr>
        <w:t xml:space="preserve"> </w:t>
      </w:r>
      <w:r w:rsidRPr="00992021" w:rsidR="003F0909">
        <w:rPr>
          <w:color w:val="000000" w:themeColor="text1"/>
        </w:rPr>
        <w:t>Hind Dekker-</w:t>
      </w:r>
      <w:proofErr w:type="spellStart"/>
      <w:r w:rsidRPr="00992021" w:rsidR="003F0909">
        <w:rPr>
          <w:color w:val="000000" w:themeColor="text1"/>
        </w:rPr>
        <w:t>Abdulaziz</w:t>
      </w:r>
      <w:proofErr w:type="spellEnd"/>
      <w:r w:rsidR="003F0909">
        <w:rPr>
          <w:color w:val="000000" w:themeColor="text1"/>
        </w:rPr>
        <w:t xml:space="preserve">, </w:t>
      </w:r>
      <w:r w:rsidRPr="00992021" w:rsidR="003F0909">
        <w:rPr>
          <w:color w:val="000000" w:themeColor="text1"/>
        </w:rPr>
        <w:t xml:space="preserve">Renske </w:t>
      </w:r>
      <w:proofErr w:type="spellStart"/>
      <w:r w:rsidRPr="00992021" w:rsidR="003F0909">
        <w:rPr>
          <w:color w:val="000000" w:themeColor="text1"/>
        </w:rPr>
        <w:t>Leijten</w:t>
      </w:r>
      <w:proofErr w:type="spellEnd"/>
      <w:r w:rsidR="003F0909">
        <w:rPr>
          <w:color w:val="000000" w:themeColor="text1"/>
        </w:rPr>
        <w:t xml:space="preserve"> en </w:t>
      </w:r>
      <w:r w:rsidRPr="00992021" w:rsidR="003F0909">
        <w:rPr>
          <w:color w:val="000000" w:themeColor="text1"/>
        </w:rPr>
        <w:t>Pieter Omtzigt</w:t>
      </w:r>
      <w:r w:rsidR="003F0909">
        <w:rPr>
          <w:color w:val="000000" w:themeColor="text1"/>
        </w:rPr>
        <w:t>.</w:t>
      </w:r>
    </w:p>
    <w:p w:rsidRPr="00992021" w:rsidR="00974AAB" w:rsidP="00974AAB" w:rsidRDefault="00974AAB" w14:paraId="623D89CD" w14:textId="2F5D70AA">
      <w:pPr>
        <w:pBdr>
          <w:top w:val="single" w:color="auto" w:sz="4" w:space="1"/>
          <w:left w:val="single" w:color="auto" w:sz="4" w:space="4"/>
          <w:bottom w:val="single" w:color="auto" w:sz="4" w:space="1"/>
          <w:right w:val="single" w:color="auto" w:sz="4" w:space="4"/>
        </w:pBdr>
        <w:rPr>
          <w:color w:val="000000" w:themeColor="text1"/>
        </w:rPr>
      </w:pPr>
      <w:r w:rsidRPr="00992021">
        <w:rPr>
          <w:b/>
          <w:bCs/>
          <w:color w:val="000000" w:themeColor="text1"/>
        </w:rPr>
        <w:t>Contactpersoon</w:t>
      </w:r>
      <w:r w:rsidR="00ED19EF">
        <w:rPr>
          <w:b/>
          <w:bCs/>
          <w:color w:val="000000" w:themeColor="text1"/>
        </w:rPr>
        <w:t xml:space="preserve"> DAO</w:t>
      </w:r>
      <w:r w:rsidRPr="00992021">
        <w:rPr>
          <w:color w:val="000000" w:themeColor="text1"/>
        </w:rPr>
        <w:t xml:space="preserve"> (</w:t>
      </w:r>
      <w:r w:rsidR="00C50E32">
        <w:rPr>
          <w:color w:val="000000" w:themeColor="text1"/>
        </w:rPr>
        <w:t>k</w:t>
      </w:r>
      <w:r w:rsidRPr="00992021">
        <w:rPr>
          <w:color w:val="000000" w:themeColor="text1"/>
        </w:rPr>
        <w:t xml:space="preserve">enniscoördinator): </w:t>
      </w:r>
      <w:r w:rsidRPr="00992021" w:rsidR="00383277">
        <w:rPr>
          <w:color w:val="000000" w:themeColor="text1"/>
        </w:rPr>
        <w:t xml:space="preserve">Manon </w:t>
      </w:r>
      <w:proofErr w:type="spellStart"/>
      <w:r w:rsidRPr="00992021" w:rsidR="00383277">
        <w:rPr>
          <w:color w:val="000000" w:themeColor="text1"/>
        </w:rPr>
        <w:t>Julicher</w:t>
      </w:r>
      <w:proofErr w:type="spellEnd"/>
      <w:r w:rsidRPr="00992021" w:rsidR="00E63CCE">
        <w:rPr>
          <w:color w:val="000000" w:themeColor="text1"/>
        </w:rPr>
        <w:t xml:space="preserve">, </w:t>
      </w:r>
      <w:hyperlink w:history="1" r:id="rId14">
        <w:r w:rsidRPr="00992021" w:rsidR="00E63CCE">
          <w:rPr>
            <w:rStyle w:val="Hyperlink"/>
          </w:rPr>
          <w:t>m.julicher@tweedekamer.nl</w:t>
        </w:r>
      </w:hyperlink>
      <w:r w:rsidRPr="00992021" w:rsidR="00E63CCE">
        <w:rPr>
          <w:color w:val="000000" w:themeColor="text1"/>
        </w:rPr>
        <w:t>,</w:t>
      </w:r>
      <w:r w:rsidR="00316A98">
        <w:rPr>
          <w:color w:val="000000" w:themeColor="text1"/>
        </w:rPr>
        <w:t xml:space="preserve"> </w:t>
      </w:r>
      <w:r w:rsidRPr="00992021" w:rsidR="00383277">
        <w:rPr>
          <w:color w:val="000000" w:themeColor="text1"/>
        </w:rPr>
        <w:t>06-25639854</w:t>
      </w:r>
      <w:r w:rsidRPr="00992021" w:rsidR="00E47EBF">
        <w:rPr>
          <w:color w:val="000000" w:themeColor="text1"/>
        </w:rPr>
        <w:t>.</w:t>
      </w:r>
    </w:p>
    <w:p w:rsidRPr="00992021" w:rsidR="00D17040" w:rsidP="00992021" w:rsidRDefault="00794F20" w14:paraId="0ED5A6ED" w14:textId="073FA251">
      <w:pPr>
        <w:pBdr>
          <w:top w:val="single" w:color="auto" w:sz="4" w:space="1"/>
          <w:left w:val="single" w:color="auto" w:sz="4" w:space="4"/>
          <w:bottom w:val="single" w:color="auto" w:sz="4" w:space="1"/>
          <w:right w:val="single" w:color="auto" w:sz="4" w:space="4"/>
        </w:pBdr>
        <w:spacing w:after="0" w:line="240" w:lineRule="auto"/>
      </w:pPr>
      <w:r w:rsidRPr="00992021">
        <w:rPr>
          <w:b/>
          <w:bCs/>
          <w:color w:val="000000" w:themeColor="text1"/>
          <w:szCs w:val="18"/>
        </w:rPr>
        <w:t>Beoordeelde documenten:</w:t>
      </w:r>
      <w:r w:rsidRPr="00992021" w:rsidR="00327778">
        <w:rPr>
          <w:rStyle w:val="Voetnootmarkering"/>
          <w:b/>
          <w:bCs/>
          <w:color w:val="000000" w:themeColor="text1"/>
          <w:szCs w:val="18"/>
        </w:rPr>
        <w:footnoteReference w:id="2"/>
      </w:r>
      <w:r w:rsidRPr="00992021" w:rsidR="00D17040">
        <w:rPr>
          <w:b/>
          <w:bCs/>
          <w:color w:val="000000" w:themeColor="text1"/>
          <w:szCs w:val="18"/>
        </w:rPr>
        <w:br/>
      </w:r>
      <w:r w:rsidRPr="00992021" w:rsidR="00D17040">
        <w:rPr>
          <w:bCs/>
          <w:color w:val="000000" w:themeColor="text1"/>
          <w:szCs w:val="18"/>
        </w:rPr>
        <w:t>1.</w:t>
      </w:r>
      <w:r w:rsidRPr="00992021">
        <w:rPr>
          <w:color w:val="000000" w:themeColor="text1"/>
          <w:szCs w:val="18"/>
        </w:rPr>
        <w:t xml:space="preserve"> </w:t>
      </w:r>
      <w:r w:rsidRPr="00992021" w:rsidR="00E63CCE">
        <w:rPr>
          <w:color w:val="000000" w:themeColor="text1"/>
          <w:szCs w:val="18"/>
        </w:rPr>
        <w:t xml:space="preserve">Tweede nota van wijziging inzake wijziging van </w:t>
      </w:r>
      <w:r w:rsidRPr="00992021" w:rsidR="00E63CCE">
        <w:t xml:space="preserve">de Wet Huis voor klokkenluiders en enige andere wetten ter implementatie van </w:t>
      </w:r>
      <w:r w:rsidRPr="00992021" w:rsidR="00C24DA3">
        <w:t>de EU-klokkenluidersrichtlijn</w:t>
      </w:r>
      <w:r w:rsidRPr="00992021" w:rsidR="00AF6B76">
        <w:t xml:space="preserve"> (</w:t>
      </w:r>
      <w:hyperlink w:history="1" r:id="rId15">
        <w:r w:rsidRPr="00992021" w:rsidR="00AF6B76">
          <w:rPr>
            <w:rStyle w:val="Hyperlink"/>
          </w:rPr>
          <w:t>35851-12</w:t>
        </w:r>
      </w:hyperlink>
      <w:r w:rsidRPr="00992021" w:rsidR="00AF6B76">
        <w:t>)</w:t>
      </w:r>
      <w:r w:rsidRPr="00992021" w:rsidR="00D17040">
        <w:t>, dd. 29 juni 2022</w:t>
      </w:r>
      <w:r w:rsidRPr="00992021" w:rsidR="004B2766">
        <w:t>;</w:t>
      </w:r>
      <w:r w:rsidR="0072032B">
        <w:t xml:space="preserve"> (hierna 2</w:t>
      </w:r>
      <w:r w:rsidRPr="00530208" w:rsidR="0072032B">
        <w:rPr>
          <w:vertAlign w:val="superscript"/>
        </w:rPr>
        <w:t>e</w:t>
      </w:r>
      <w:r w:rsidR="0072032B">
        <w:t xml:space="preserve"> </w:t>
      </w:r>
      <w:proofErr w:type="spellStart"/>
      <w:r w:rsidR="0072032B">
        <w:t>NvW</w:t>
      </w:r>
      <w:proofErr w:type="spellEnd"/>
      <w:r w:rsidR="0072032B">
        <w:t>)</w:t>
      </w:r>
    </w:p>
    <w:p w:rsidRPr="00992021" w:rsidR="00974AAB" w:rsidP="00992021" w:rsidRDefault="00D17040" w14:paraId="6DDC6EC3" w14:textId="200A5262">
      <w:pPr>
        <w:pBdr>
          <w:top w:val="single" w:color="auto" w:sz="4" w:space="1"/>
          <w:left w:val="single" w:color="auto" w:sz="4" w:space="4"/>
          <w:bottom w:val="single" w:color="auto" w:sz="4" w:space="1"/>
          <w:right w:val="single" w:color="auto" w:sz="4" w:space="4"/>
        </w:pBdr>
        <w:spacing w:after="0" w:line="240" w:lineRule="auto"/>
        <w:rPr>
          <w:color w:val="000000" w:themeColor="text1"/>
          <w:szCs w:val="18"/>
        </w:rPr>
      </w:pPr>
      <w:r w:rsidRPr="00992021">
        <w:t xml:space="preserve">2. </w:t>
      </w:r>
      <w:r w:rsidRPr="00992021" w:rsidR="00AD2F2C">
        <w:t>K</w:t>
      </w:r>
      <w:r w:rsidRPr="00992021" w:rsidR="00C24DA3">
        <w:t xml:space="preserve">abinetsbrief </w:t>
      </w:r>
      <w:r w:rsidRPr="00992021" w:rsidR="007A1942">
        <w:t xml:space="preserve">met informatie over de tweede nota van wijziging, een reactie op de initiatiefnota van </w:t>
      </w:r>
      <w:r w:rsidRPr="00992021" w:rsidR="00AD2F2C">
        <w:t>het lid</w:t>
      </w:r>
      <w:r w:rsidRPr="00992021" w:rsidR="007A1942">
        <w:t xml:space="preserve"> Omtzigt, de stand van zaken over de pilots ondersteuning van klokkenluiders, het vervolgproces en de inzet richting een veilig werk-</w:t>
      </w:r>
      <w:r w:rsidRPr="00992021" w:rsidR="005A1CEA">
        <w:t xml:space="preserve"> </w:t>
      </w:r>
      <w:r w:rsidRPr="00992021" w:rsidR="007A1942">
        <w:t>en meldklimaat</w:t>
      </w:r>
      <w:r w:rsidRPr="00992021" w:rsidR="00AF6B76">
        <w:t xml:space="preserve"> (</w:t>
      </w:r>
      <w:hyperlink w:history="1" r:id="rId16">
        <w:r w:rsidRPr="00992021" w:rsidR="00AF6B76">
          <w:rPr>
            <w:rStyle w:val="Hyperlink"/>
          </w:rPr>
          <w:t>35851-11</w:t>
        </w:r>
      </w:hyperlink>
      <w:r w:rsidRPr="00992021" w:rsidR="00AF6B76">
        <w:t>)</w:t>
      </w:r>
      <w:r w:rsidRPr="00992021" w:rsidR="007A1942">
        <w:t xml:space="preserve"> </w:t>
      </w:r>
      <w:r w:rsidRPr="00992021" w:rsidR="00C24DA3">
        <w:t>dd. 29 juni 2022</w:t>
      </w:r>
      <w:r w:rsidRPr="00992021" w:rsidR="00AF6B76">
        <w:t>, met bijlagen</w:t>
      </w:r>
      <w:r w:rsidRPr="00992021" w:rsidR="00D6517E">
        <w:t xml:space="preserve"> (</w:t>
      </w:r>
      <w:hyperlink w:history="1" r:id="rId17">
        <w:r w:rsidRPr="00992021" w:rsidR="00D6517E">
          <w:rPr>
            <w:rStyle w:val="Hyperlink"/>
          </w:rPr>
          <w:t>beslisnota’s</w:t>
        </w:r>
      </w:hyperlink>
      <w:r w:rsidRPr="00992021" w:rsidR="00D6517E">
        <w:t xml:space="preserve"> en </w:t>
      </w:r>
      <w:hyperlink w:history="1" r:id="rId18">
        <w:r w:rsidRPr="00992021" w:rsidR="00D6517E">
          <w:rPr>
            <w:rStyle w:val="Hyperlink"/>
          </w:rPr>
          <w:t>geconsolideerde wetstekst</w:t>
        </w:r>
      </w:hyperlink>
      <w:r w:rsidRPr="00992021" w:rsidR="00D6517E">
        <w:t xml:space="preserve">). </w:t>
      </w:r>
      <w:r w:rsidR="0072032B">
        <w:t>(</w:t>
      </w:r>
      <w:proofErr w:type="gramStart"/>
      <w:r w:rsidR="0072032B">
        <w:t>hierna</w:t>
      </w:r>
      <w:proofErr w:type="gramEnd"/>
      <w:r w:rsidR="0072032B">
        <w:t>: kabinetsbrief 29 juni)</w:t>
      </w:r>
    </w:p>
    <w:p w:rsidRPr="00992021" w:rsidR="002C2389" w:rsidP="009F19D9" w:rsidRDefault="00F503F9" w14:paraId="2F63A2CB" w14:textId="475CA656">
      <w:r w:rsidRPr="00992021">
        <w:rPr>
          <w:b/>
          <w:color w:val="000000" w:themeColor="text1"/>
          <w:szCs w:val="18"/>
        </w:rPr>
        <w:t>Legenda</w:t>
      </w:r>
      <w:r w:rsidRPr="00992021">
        <w:rPr>
          <w:color w:val="000000" w:themeColor="text1"/>
          <w:szCs w:val="18"/>
        </w:rPr>
        <w:t xml:space="preserve"> (in te vullen sub ‘Oordeel’): </w:t>
      </w:r>
      <w:r w:rsidRPr="00992021">
        <w:rPr>
          <w:noProof/>
          <w:color w:val="000000" w:themeColor="text1"/>
          <w:szCs w:val="18"/>
          <w:lang w:eastAsia="nl-NL"/>
        </w:rPr>
        <w:drawing>
          <wp:inline distT="0" distB="0" distL="0" distR="0" wp14:anchorId="445C376B" wp14:editId="20C6DDF0">
            <wp:extent cx="162560" cy="162560"/>
            <wp:effectExtent l="0" t="0" r="2540" b="254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9" cstate="print">
                      <a:extLst>
                        <a:ext uri="{28A0092B-C50C-407E-A947-70E740481C1C}">
                          <a14:useLocalDpi xmlns:a14="http://schemas.microsoft.com/office/drawing/2010/main" val="0"/>
                        </a:ext>
                      </a:extLst>
                    </a:blip>
                    <a:srcRect l="4168" t="22270" r="65022" b="15915"/>
                    <a:stretch/>
                  </pic:blipFill>
                  <pic:spPr bwMode="auto">
                    <a:xfrm rot="10800000" flipV="1">
                      <a:off x="0" y="0"/>
                      <a:ext cx="162763" cy="162763"/>
                    </a:xfrm>
                    <a:prstGeom prst="rect">
                      <a:avLst/>
                    </a:prstGeom>
                    <a:ln>
                      <a:noFill/>
                    </a:ln>
                    <a:extLst>
                      <a:ext uri="{53640926-AAD7-44D8-BBD7-CCE9431645EC}">
                        <a14:shadowObscured xmlns:a14="http://schemas.microsoft.com/office/drawing/2010/main"/>
                      </a:ext>
                    </a:extLst>
                  </pic:spPr>
                </pic:pic>
              </a:graphicData>
            </a:graphic>
          </wp:inline>
        </w:drawing>
      </w:r>
      <w:r w:rsidRPr="00992021">
        <w:rPr>
          <w:color w:val="000000" w:themeColor="text1"/>
          <w:szCs w:val="18"/>
        </w:rPr>
        <w:t xml:space="preserve"> </w:t>
      </w:r>
      <w:r w:rsidRPr="00992021">
        <w:rPr>
          <w:b/>
          <w:color w:val="000000" w:themeColor="text1"/>
          <w:szCs w:val="18"/>
        </w:rPr>
        <w:t>voldoende</w:t>
      </w:r>
      <w:r w:rsidR="00316A98">
        <w:rPr>
          <w:color w:val="000000" w:themeColor="text1"/>
          <w:szCs w:val="18"/>
        </w:rPr>
        <w:t xml:space="preserve"> </w:t>
      </w:r>
      <w:r w:rsidRPr="00992021">
        <w:rPr>
          <w:noProof/>
          <w:szCs w:val="18"/>
          <w:lang w:eastAsia="nl-NL"/>
        </w:rPr>
        <w:drawing>
          <wp:inline distT="0" distB="0" distL="0" distR="0" wp14:anchorId="083D0068" wp14:editId="27453C72">
            <wp:extent cx="193040" cy="164727"/>
            <wp:effectExtent l="0" t="0" r="0" b="63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0"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r w:rsidRPr="00992021">
        <w:rPr>
          <w:color w:val="4472C4" w:themeColor="accent5"/>
          <w:szCs w:val="18"/>
        </w:rPr>
        <w:t xml:space="preserve"> </w:t>
      </w:r>
      <w:r w:rsidRPr="00992021">
        <w:rPr>
          <w:b/>
          <w:noProof/>
          <w:szCs w:val="18"/>
        </w:rPr>
        <w:t>verdient aandacht</w:t>
      </w:r>
      <w:r w:rsidR="00316A98">
        <w:rPr>
          <w:noProof/>
          <w:szCs w:val="18"/>
        </w:rPr>
        <w:t xml:space="preserve"> </w:t>
      </w:r>
      <w:r w:rsidRPr="00992021">
        <w:rPr>
          <w:noProof/>
          <w:szCs w:val="18"/>
          <w:lang w:eastAsia="nl-NL"/>
        </w:rPr>
        <w:drawing>
          <wp:inline distT="0" distB="0" distL="0" distR="0" wp14:anchorId="262CB0C4" wp14:editId="1B861065">
            <wp:extent cx="152400" cy="1524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1"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r w:rsidRPr="00992021">
        <w:rPr>
          <w:noProof/>
          <w:szCs w:val="18"/>
        </w:rPr>
        <w:t xml:space="preserve"> </w:t>
      </w:r>
      <w:r w:rsidRPr="00992021">
        <w:rPr>
          <w:b/>
          <w:noProof/>
          <w:szCs w:val="18"/>
        </w:rPr>
        <w:t>verbeterpunt</w:t>
      </w:r>
      <w:r w:rsidRPr="00992021" w:rsidR="007E36A4">
        <w:rPr>
          <w:b/>
          <w:noProof/>
          <w:szCs w:val="18"/>
        </w:rPr>
        <w:t>_</w:t>
      </w:r>
      <w:r w:rsidRPr="00992021" w:rsidR="00D17040">
        <w:t xml:space="preserve"> </w:t>
      </w:r>
    </w:p>
    <w:tbl>
      <w:tblPr>
        <w:tblStyle w:val="Rastertabel5donker-Accent1"/>
        <w:tblW w:w="10648" w:type="dxa"/>
        <w:tblCellMar>
          <w:top w:w="57" w:type="dxa"/>
          <w:bottom w:w="57" w:type="dxa"/>
        </w:tblCellMar>
        <w:tblLook w:val="04A0" w:firstRow="1" w:lastRow="0" w:firstColumn="1" w:lastColumn="0" w:noHBand="0" w:noVBand="1"/>
      </w:tblPr>
      <w:tblGrid>
        <w:gridCol w:w="2821"/>
        <w:gridCol w:w="1009"/>
        <w:gridCol w:w="3273"/>
        <w:gridCol w:w="3545"/>
      </w:tblGrid>
      <w:tr w:rsidRPr="00992021" w:rsidR="00F503F9" w:rsidTr="000C37F1" w14:paraId="651EE3C0"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821" w:type="dxa"/>
            <w:vAlign w:val="bottom"/>
          </w:tcPr>
          <w:p w:rsidRPr="00992021" w:rsidR="00F503F9" w:rsidP="000C37F1" w:rsidRDefault="00F503F9" w14:paraId="2621BBBC" w14:textId="77777777">
            <w:pPr>
              <w:jc w:val="center"/>
              <w:rPr>
                <w:szCs w:val="18"/>
                <w:lang w:val="nl-NL"/>
              </w:rPr>
            </w:pPr>
          </w:p>
          <w:p w:rsidRPr="00992021" w:rsidR="00F503F9" w:rsidP="000C37F1" w:rsidRDefault="00F503F9" w14:paraId="772BDBA6" w14:textId="77777777">
            <w:pPr>
              <w:jc w:val="center"/>
              <w:rPr>
                <w:szCs w:val="18"/>
                <w:lang w:val="nl-NL"/>
              </w:rPr>
            </w:pPr>
          </w:p>
          <w:p w:rsidRPr="00992021" w:rsidR="00F503F9" w:rsidP="000C37F1" w:rsidRDefault="00F503F9" w14:paraId="68966162" w14:textId="77777777">
            <w:pPr>
              <w:jc w:val="center"/>
              <w:rPr>
                <w:szCs w:val="18"/>
                <w:lang w:val="nl-NL"/>
              </w:rPr>
            </w:pPr>
            <w:r w:rsidRPr="00992021">
              <w:rPr>
                <w:szCs w:val="18"/>
                <w:lang w:val="nl-NL"/>
              </w:rPr>
              <w:t>Onderdeel</w:t>
            </w:r>
          </w:p>
        </w:tc>
        <w:tc>
          <w:tcPr>
            <w:tcW w:w="0" w:type="auto"/>
            <w:vAlign w:val="bottom"/>
          </w:tcPr>
          <w:p w:rsidRPr="00992021" w:rsidR="00F503F9" w:rsidP="000C37F1" w:rsidRDefault="00F503F9" w14:paraId="6C22C863"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p>
          <w:p w:rsidRPr="00992021" w:rsidR="00F503F9" w:rsidP="000C37F1" w:rsidRDefault="00F503F9" w14:paraId="0D6E6B5D"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p>
          <w:p w:rsidRPr="00992021" w:rsidR="00F503F9" w:rsidP="000C37F1" w:rsidRDefault="00F503F9" w14:paraId="601989C1"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992021">
              <w:rPr>
                <w:szCs w:val="18"/>
                <w:lang w:val="nl-NL"/>
              </w:rPr>
              <w:t>Oordeel</w:t>
            </w:r>
          </w:p>
        </w:tc>
        <w:tc>
          <w:tcPr>
            <w:tcW w:w="3273" w:type="dxa"/>
            <w:vAlign w:val="bottom"/>
          </w:tcPr>
          <w:p w:rsidRPr="00992021" w:rsidR="00F503F9" w:rsidP="00C37077" w:rsidRDefault="00C37077" w14:paraId="312AE40E" w14:textId="6FF85518">
            <w:pPr>
              <w:cnfStyle w:val="100000000000" w:firstRow="1" w:lastRow="0" w:firstColumn="0" w:lastColumn="0" w:oddVBand="0" w:evenVBand="0" w:oddHBand="0" w:evenHBand="0" w:firstRowFirstColumn="0" w:firstRowLastColumn="0" w:lastRowFirstColumn="0" w:lastRowLastColumn="0"/>
              <w:rPr>
                <w:szCs w:val="18"/>
                <w:lang w:val="nl-NL"/>
              </w:rPr>
            </w:pPr>
            <w:r w:rsidRPr="00992021">
              <w:rPr>
                <w:szCs w:val="18"/>
                <w:lang w:val="nl-NL"/>
              </w:rPr>
              <w:t xml:space="preserve">3.1 </w:t>
            </w:r>
            <w:r w:rsidRPr="00992021" w:rsidR="00F503F9">
              <w:rPr>
                <w:szCs w:val="18"/>
                <w:lang w:val="nl-NL"/>
              </w:rPr>
              <w:t>CW-informatie in het voorste</w:t>
            </w:r>
            <w:r w:rsidRPr="00992021" w:rsidR="000E1B46">
              <w:rPr>
                <w:szCs w:val="18"/>
                <w:lang w:val="nl-NL"/>
              </w:rPr>
              <w:t>l</w:t>
            </w:r>
            <w:r w:rsidRPr="00992021" w:rsidR="00F503F9">
              <w:rPr>
                <w:szCs w:val="18"/>
                <w:lang w:val="nl-NL"/>
              </w:rPr>
              <w:t xml:space="preserve"> (steekwoorden)</w:t>
            </w:r>
          </w:p>
          <w:p w:rsidRPr="00992021" w:rsidR="00526592" w:rsidP="00C37077" w:rsidRDefault="00526592" w14:paraId="3185A78C" w14:textId="23A737F3">
            <w:pPr>
              <w:cnfStyle w:val="100000000000" w:firstRow="1" w:lastRow="0" w:firstColumn="0" w:lastColumn="0" w:oddVBand="0" w:evenVBand="0" w:oddHBand="0" w:evenHBand="0" w:firstRowFirstColumn="0" w:firstRowLastColumn="0" w:lastRowFirstColumn="0" w:lastRowLastColumn="0"/>
              <w:rPr>
                <w:b w:val="0"/>
                <w:szCs w:val="18"/>
                <w:lang w:val="nl-NL"/>
              </w:rPr>
            </w:pPr>
          </w:p>
        </w:tc>
        <w:tc>
          <w:tcPr>
            <w:tcW w:w="3545" w:type="dxa"/>
            <w:tcBorders>
              <w:bottom w:val="single" w:color="FFFFFF" w:themeColor="background1" w:sz="4" w:space="0"/>
            </w:tcBorders>
            <w:vAlign w:val="bottom"/>
          </w:tcPr>
          <w:p w:rsidRPr="00992021" w:rsidR="00F503F9" w:rsidP="000C37F1" w:rsidRDefault="00F503F9" w14:paraId="6F79732F" w14:textId="7EBF86F7">
            <w:pPr>
              <w:cnfStyle w:val="100000000000" w:firstRow="1" w:lastRow="0" w:firstColumn="0" w:lastColumn="0" w:oddVBand="0" w:evenVBand="0" w:oddHBand="0" w:evenHBand="0" w:firstRowFirstColumn="0" w:firstRowLastColumn="0" w:lastRowFirstColumn="0" w:lastRowLastColumn="0"/>
              <w:rPr>
                <w:b w:val="0"/>
                <w:bCs w:val="0"/>
                <w:szCs w:val="18"/>
                <w:lang w:val="nl-NL"/>
              </w:rPr>
            </w:pPr>
            <w:r w:rsidRPr="00992021">
              <w:rPr>
                <w:szCs w:val="18"/>
                <w:lang w:val="nl-NL"/>
              </w:rPr>
              <w:t>Verbetersuggesties o.b.v. wetenschappelijke kennis</w:t>
            </w:r>
          </w:p>
          <w:p w:rsidRPr="00992021" w:rsidR="00526592" w:rsidP="00526592" w:rsidRDefault="00F503F9" w14:paraId="2144BD4C" w14:textId="45E03FFC">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992021">
              <w:rPr>
                <w:szCs w:val="18"/>
                <w:lang w:val="nl-NL"/>
              </w:rPr>
              <w:t>(</w:t>
            </w:r>
            <w:proofErr w:type="gramStart"/>
            <w:r w:rsidRPr="00992021">
              <w:rPr>
                <w:szCs w:val="18"/>
                <w:lang w:val="nl-NL"/>
              </w:rPr>
              <w:t>steekwoorden</w:t>
            </w:r>
            <w:proofErr w:type="gramEnd"/>
            <w:r w:rsidRPr="00992021">
              <w:rPr>
                <w:szCs w:val="18"/>
                <w:lang w:val="nl-NL"/>
              </w:rPr>
              <w:t>)</w:t>
            </w:r>
          </w:p>
        </w:tc>
      </w:tr>
      <w:tr w:rsidRPr="00992021" w:rsidR="00F503F9" w:rsidTr="000C37F1" w14:paraId="4B85F7D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992021" w:rsidR="00F503F9" w:rsidP="00E02820" w:rsidRDefault="00F503F9" w14:paraId="23A1EEF4" w14:textId="77777777">
            <w:pPr>
              <w:pStyle w:val="Lijstalinea"/>
              <w:numPr>
                <w:ilvl w:val="0"/>
                <w:numId w:val="18"/>
              </w:numPr>
              <w:rPr>
                <w:szCs w:val="18"/>
                <w:lang w:val="nl-NL"/>
              </w:rPr>
            </w:pPr>
            <w:r w:rsidRPr="00992021">
              <w:rPr>
                <w:szCs w:val="18"/>
                <w:lang w:val="nl-NL"/>
              </w:rPr>
              <w:t xml:space="preserve">Vindbaarheid van </w:t>
            </w:r>
            <w:r w:rsidRPr="00992021" w:rsidR="00E02820">
              <w:rPr>
                <w:szCs w:val="18"/>
                <w:lang w:val="nl-NL"/>
              </w:rPr>
              <w:t xml:space="preserve">3.1 </w:t>
            </w:r>
            <w:r w:rsidRPr="00992021">
              <w:rPr>
                <w:szCs w:val="18"/>
                <w:lang w:val="nl-NL"/>
              </w:rPr>
              <w:t>CW-informatie</w:t>
            </w:r>
          </w:p>
          <w:p w:rsidRPr="00992021" w:rsidR="00C37077" w:rsidP="00C37077" w:rsidRDefault="00C37077" w14:paraId="29C6B865" w14:textId="77777777">
            <w:pPr>
              <w:rPr>
                <w:szCs w:val="18"/>
                <w:lang w:val="nl-NL"/>
              </w:rPr>
            </w:pPr>
          </w:p>
          <w:p w:rsidRPr="00992021" w:rsidR="00C37077" w:rsidP="00C37077" w:rsidRDefault="00C37077" w14:paraId="620BCB32" w14:textId="77777777">
            <w:pPr>
              <w:rPr>
                <w:szCs w:val="18"/>
                <w:lang w:val="nl-NL"/>
              </w:rPr>
            </w:pPr>
          </w:p>
          <w:p w:rsidRPr="00992021" w:rsidR="00C37077" w:rsidP="00C37077" w:rsidRDefault="00C37077" w14:paraId="1D3D608B" w14:textId="77777777">
            <w:pPr>
              <w:rPr>
                <w:szCs w:val="18"/>
                <w:lang w:val="nl-NL"/>
              </w:rPr>
            </w:pPr>
          </w:p>
          <w:p w:rsidRPr="00992021" w:rsidR="00C37077" w:rsidP="00C37077" w:rsidRDefault="00C37077" w14:paraId="5918237C" w14:textId="77777777">
            <w:pPr>
              <w:rPr>
                <w:szCs w:val="18"/>
                <w:lang w:val="nl-NL"/>
              </w:rPr>
            </w:pPr>
          </w:p>
          <w:p w:rsidRPr="00992021" w:rsidR="00C37077" w:rsidP="00C37077" w:rsidRDefault="00C37077" w14:paraId="0502ACC2" w14:textId="77777777">
            <w:pPr>
              <w:rPr>
                <w:szCs w:val="18"/>
                <w:lang w:val="nl-NL"/>
              </w:rPr>
            </w:pPr>
          </w:p>
          <w:p w:rsidRPr="00992021" w:rsidR="00C37077" w:rsidP="00C37077" w:rsidRDefault="00C37077" w14:paraId="6D14201A" w14:textId="0E16352D">
            <w:pPr>
              <w:rPr>
                <w:szCs w:val="18"/>
                <w:lang w:val="nl-NL"/>
              </w:rPr>
            </w:pPr>
          </w:p>
        </w:tc>
        <w:tc>
          <w:tcPr>
            <w:tcW w:w="0" w:type="auto"/>
          </w:tcPr>
          <w:p w:rsidRPr="00992021" w:rsidR="00F503F9" w:rsidP="000C37F1" w:rsidRDefault="00074937" w14:paraId="3820801B" w14:textId="58E0D71F">
            <w:pPr>
              <w:cnfStyle w:val="000000100000" w:firstRow="0" w:lastRow="0" w:firstColumn="0" w:lastColumn="0" w:oddVBand="0" w:evenVBand="0" w:oddHBand="1" w:evenHBand="0" w:firstRowFirstColumn="0" w:firstRowLastColumn="0" w:lastRowFirstColumn="0" w:lastRowLastColumn="0"/>
              <w:rPr>
                <w:szCs w:val="18"/>
                <w:lang w:val="nl-NL"/>
              </w:rPr>
            </w:pPr>
            <w:r w:rsidRPr="00992021">
              <w:rPr>
                <w:noProof/>
                <w:szCs w:val="18"/>
                <w:lang w:eastAsia="nl-NL"/>
              </w:rPr>
              <w:drawing>
                <wp:inline distT="0" distB="0" distL="0" distR="0" wp14:anchorId="44A996CE" wp14:editId="390B2ECF">
                  <wp:extent cx="193040" cy="164727"/>
                  <wp:effectExtent l="0" t="0" r="0" b="6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0"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992021" w:rsidR="002669DB" w:rsidP="002669DB" w:rsidRDefault="00A4379D" w14:paraId="7BD8F6C2" w14:textId="1B0BF229">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In de tweede nota van wijziging</w:t>
            </w:r>
            <w:r w:rsidRPr="00992021" w:rsidR="00F74FA2">
              <w:rPr>
                <w:sz w:val="16"/>
                <w:szCs w:val="16"/>
                <w:lang w:val="nl-NL"/>
              </w:rPr>
              <w:t xml:space="preserve"> (2</w:t>
            </w:r>
            <w:r w:rsidRPr="00992021" w:rsidR="00F74FA2">
              <w:rPr>
                <w:sz w:val="16"/>
                <w:szCs w:val="16"/>
                <w:vertAlign w:val="superscript"/>
                <w:lang w:val="nl-NL"/>
              </w:rPr>
              <w:t>e</w:t>
            </w:r>
            <w:r w:rsidRPr="00992021" w:rsidR="00F74FA2">
              <w:rPr>
                <w:sz w:val="16"/>
                <w:szCs w:val="16"/>
                <w:lang w:val="nl-NL"/>
              </w:rPr>
              <w:t xml:space="preserve"> </w:t>
            </w:r>
            <w:proofErr w:type="spellStart"/>
            <w:r w:rsidRPr="00992021" w:rsidR="00F74FA2">
              <w:rPr>
                <w:sz w:val="16"/>
                <w:szCs w:val="16"/>
                <w:lang w:val="nl-NL"/>
              </w:rPr>
              <w:t>NvW</w:t>
            </w:r>
            <w:proofErr w:type="spellEnd"/>
            <w:r w:rsidRPr="00992021" w:rsidR="00F74FA2">
              <w:rPr>
                <w:sz w:val="16"/>
                <w:szCs w:val="16"/>
                <w:lang w:val="nl-NL"/>
              </w:rPr>
              <w:t>)</w:t>
            </w:r>
            <w:r w:rsidRPr="00992021">
              <w:rPr>
                <w:sz w:val="16"/>
                <w:szCs w:val="16"/>
                <w:lang w:val="nl-NL"/>
              </w:rPr>
              <w:t xml:space="preserve"> en de kabinetsbrief</w:t>
            </w:r>
            <w:r w:rsidRPr="00992021" w:rsidR="002669DB">
              <w:rPr>
                <w:sz w:val="16"/>
                <w:szCs w:val="16"/>
                <w:lang w:val="nl-NL"/>
              </w:rPr>
              <w:t xml:space="preserve"> </w:t>
            </w:r>
            <w:r w:rsidRPr="00992021" w:rsidR="008A3FCA">
              <w:rPr>
                <w:sz w:val="16"/>
                <w:szCs w:val="16"/>
                <w:lang w:val="nl-NL"/>
              </w:rPr>
              <w:t>is geen aparte</w:t>
            </w:r>
            <w:r w:rsidRPr="00992021" w:rsidR="00D17040">
              <w:rPr>
                <w:sz w:val="16"/>
                <w:szCs w:val="16"/>
                <w:lang w:val="nl-NL"/>
              </w:rPr>
              <w:t xml:space="preserve"> 3.1 CW-</w:t>
            </w:r>
            <w:r w:rsidRPr="00992021" w:rsidR="002669DB">
              <w:rPr>
                <w:sz w:val="16"/>
                <w:szCs w:val="16"/>
                <w:lang w:val="nl-NL"/>
              </w:rPr>
              <w:t>bijlage opgenomen.</w:t>
            </w:r>
          </w:p>
          <w:p w:rsidRPr="00992021" w:rsidR="00F503F9" w:rsidP="00992021" w:rsidRDefault="008A3FCA" w14:paraId="46FBC857" w14:textId="0266E84C">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3.1. CW-informatie</w:t>
            </w:r>
            <w:r w:rsidR="00992021">
              <w:rPr>
                <w:sz w:val="16"/>
                <w:szCs w:val="16"/>
                <w:lang w:val="nl-NL"/>
              </w:rPr>
              <w:t xml:space="preserve"> </w:t>
            </w:r>
            <w:r w:rsidRPr="00992021" w:rsidR="002669DB">
              <w:rPr>
                <w:sz w:val="16"/>
                <w:szCs w:val="16"/>
                <w:lang w:val="nl-NL"/>
              </w:rPr>
              <w:t>is</w:t>
            </w:r>
            <w:r w:rsidRPr="00992021" w:rsidR="00C429FD">
              <w:rPr>
                <w:sz w:val="16"/>
                <w:szCs w:val="16"/>
                <w:lang w:val="nl-NL"/>
              </w:rPr>
              <w:t xml:space="preserve"> vaak</w:t>
            </w:r>
            <w:r w:rsidRPr="00992021" w:rsidR="002669DB">
              <w:rPr>
                <w:sz w:val="16"/>
                <w:szCs w:val="16"/>
                <w:lang w:val="nl-NL"/>
              </w:rPr>
              <w:t xml:space="preserve"> </w:t>
            </w:r>
            <w:r w:rsidRPr="00992021" w:rsidR="00A4379D">
              <w:rPr>
                <w:sz w:val="16"/>
                <w:szCs w:val="16"/>
                <w:lang w:val="nl-NL"/>
              </w:rPr>
              <w:t xml:space="preserve">niet expliciet </w:t>
            </w:r>
            <w:r w:rsidRPr="00992021" w:rsidR="00BD0FD1">
              <w:rPr>
                <w:sz w:val="16"/>
                <w:szCs w:val="16"/>
                <w:lang w:val="nl-NL"/>
              </w:rPr>
              <w:t xml:space="preserve">vermeld </w:t>
            </w:r>
            <w:r w:rsidRPr="00992021" w:rsidR="00A4379D">
              <w:rPr>
                <w:sz w:val="16"/>
                <w:szCs w:val="16"/>
                <w:lang w:val="nl-NL"/>
              </w:rPr>
              <w:t xml:space="preserve">en </w:t>
            </w:r>
            <w:r w:rsidRPr="00992021">
              <w:rPr>
                <w:sz w:val="16"/>
                <w:szCs w:val="16"/>
                <w:lang w:val="nl-NL"/>
              </w:rPr>
              <w:t xml:space="preserve">verspreid over </w:t>
            </w:r>
            <w:r w:rsidRPr="00992021" w:rsidR="002669DB">
              <w:rPr>
                <w:sz w:val="16"/>
                <w:szCs w:val="16"/>
                <w:lang w:val="nl-NL"/>
              </w:rPr>
              <w:t xml:space="preserve">de </w:t>
            </w:r>
            <w:r w:rsidRPr="00992021" w:rsidR="00F74FA2">
              <w:rPr>
                <w:sz w:val="16"/>
                <w:szCs w:val="16"/>
                <w:lang w:val="nl-NL"/>
              </w:rPr>
              <w:t>documenten</w:t>
            </w:r>
            <w:r w:rsidRPr="00992021" w:rsidR="00D5485D">
              <w:rPr>
                <w:sz w:val="16"/>
                <w:szCs w:val="16"/>
                <w:lang w:val="nl-NL"/>
              </w:rPr>
              <w:t>.</w:t>
            </w:r>
            <w:r w:rsidRPr="00992021">
              <w:rPr>
                <w:sz w:val="16"/>
                <w:szCs w:val="16"/>
                <w:lang w:val="nl-NL"/>
              </w:rPr>
              <w:t xml:space="preserve"> </w:t>
            </w:r>
          </w:p>
          <w:p w:rsidRPr="00992021" w:rsidR="00F74FA2" w:rsidP="002669DB" w:rsidRDefault="00F74FA2" w14:paraId="013834DA" w14:textId="00913FEA">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Dat geldt vooral voor de centrale doelstelling. Er worden </w:t>
            </w:r>
            <w:r w:rsidRPr="00992021" w:rsidR="00C429FD">
              <w:rPr>
                <w:sz w:val="16"/>
                <w:szCs w:val="16"/>
                <w:lang w:val="nl-NL"/>
              </w:rPr>
              <w:t>meerdere</w:t>
            </w:r>
            <w:r w:rsidRPr="00992021">
              <w:rPr>
                <w:sz w:val="16"/>
                <w:szCs w:val="16"/>
                <w:lang w:val="nl-NL"/>
              </w:rPr>
              <w:t xml:space="preserve"> doelstellingen genoemd in de 2</w:t>
            </w:r>
            <w:r w:rsidRPr="00992021">
              <w:rPr>
                <w:sz w:val="16"/>
                <w:szCs w:val="16"/>
                <w:vertAlign w:val="superscript"/>
                <w:lang w:val="nl-NL"/>
              </w:rPr>
              <w:t>e</w:t>
            </w:r>
            <w:r w:rsidRPr="00992021">
              <w:rPr>
                <w:sz w:val="16"/>
                <w:szCs w:val="16"/>
                <w:lang w:val="nl-NL"/>
              </w:rPr>
              <w:t xml:space="preserve"> </w:t>
            </w:r>
            <w:proofErr w:type="spellStart"/>
            <w:r w:rsidRPr="00992021">
              <w:rPr>
                <w:sz w:val="16"/>
                <w:szCs w:val="16"/>
                <w:lang w:val="nl-NL"/>
              </w:rPr>
              <w:t>NvW</w:t>
            </w:r>
            <w:proofErr w:type="spellEnd"/>
            <w:r w:rsidRPr="00992021">
              <w:rPr>
                <w:sz w:val="16"/>
                <w:szCs w:val="16"/>
                <w:lang w:val="nl-NL"/>
              </w:rPr>
              <w:t xml:space="preserve">, </w:t>
            </w:r>
            <w:r w:rsidRPr="00992021" w:rsidR="00C429FD">
              <w:rPr>
                <w:sz w:val="16"/>
                <w:szCs w:val="16"/>
                <w:lang w:val="nl-NL"/>
              </w:rPr>
              <w:t xml:space="preserve">de kabinetsbrief en </w:t>
            </w:r>
            <w:r w:rsidRPr="00992021">
              <w:rPr>
                <w:sz w:val="16"/>
                <w:szCs w:val="16"/>
                <w:lang w:val="nl-NL"/>
              </w:rPr>
              <w:t>de memorie van toelichting (</w:t>
            </w:r>
            <w:proofErr w:type="spellStart"/>
            <w:r w:rsidRPr="00992021">
              <w:rPr>
                <w:sz w:val="16"/>
                <w:szCs w:val="16"/>
                <w:lang w:val="nl-NL"/>
              </w:rPr>
              <w:t>MvT</w:t>
            </w:r>
            <w:proofErr w:type="spellEnd"/>
            <w:r w:rsidRPr="00992021">
              <w:rPr>
                <w:sz w:val="16"/>
                <w:szCs w:val="16"/>
                <w:lang w:val="nl-NL"/>
              </w:rPr>
              <w:t>)</w:t>
            </w:r>
            <w:r w:rsidRPr="00992021" w:rsidR="00C429FD">
              <w:rPr>
                <w:sz w:val="16"/>
                <w:szCs w:val="16"/>
                <w:lang w:val="nl-NL"/>
              </w:rPr>
              <w:t xml:space="preserve"> bij het Wijzigingsvoorstel. </w:t>
            </w:r>
          </w:p>
          <w:p w:rsidRPr="00992021" w:rsidR="00A4379D" w:rsidP="002669DB" w:rsidRDefault="00A4379D" w14:paraId="77B1F7E5" w14:textId="326105BB">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De meeste informatie over doeltreffendheid is te vinden in de kabinetsbrief van 29 juni</w:t>
            </w:r>
            <w:r w:rsidR="00992021">
              <w:rPr>
                <w:sz w:val="16"/>
                <w:szCs w:val="16"/>
                <w:lang w:val="nl-NL"/>
              </w:rPr>
              <w:t xml:space="preserve">. </w:t>
            </w:r>
            <w:r w:rsidRPr="00992021" w:rsidR="00C429FD">
              <w:rPr>
                <w:sz w:val="16"/>
                <w:szCs w:val="16"/>
                <w:lang w:val="nl-NL"/>
              </w:rPr>
              <w:t xml:space="preserve">Ook </w:t>
            </w:r>
            <w:r w:rsidRPr="00992021" w:rsidR="00F74FA2">
              <w:rPr>
                <w:sz w:val="16"/>
                <w:szCs w:val="16"/>
                <w:lang w:val="nl-NL"/>
              </w:rPr>
              <w:t>daar informatie over</w:t>
            </w:r>
            <w:r w:rsidRPr="00992021" w:rsidR="00D5485D">
              <w:rPr>
                <w:sz w:val="16"/>
                <w:szCs w:val="16"/>
                <w:lang w:val="nl-NL"/>
              </w:rPr>
              <w:t xml:space="preserve"> specifieke</w:t>
            </w:r>
            <w:r w:rsidRPr="00992021" w:rsidR="00F74FA2">
              <w:rPr>
                <w:sz w:val="16"/>
                <w:szCs w:val="16"/>
                <w:lang w:val="nl-NL"/>
              </w:rPr>
              <w:t xml:space="preserve"> evaluatie</w:t>
            </w:r>
            <w:r w:rsidRPr="00992021" w:rsidR="00D5485D">
              <w:rPr>
                <w:sz w:val="16"/>
                <w:szCs w:val="16"/>
                <w:lang w:val="nl-NL"/>
              </w:rPr>
              <w:t>s</w:t>
            </w:r>
            <w:r w:rsidRPr="00992021" w:rsidR="00F74FA2">
              <w:rPr>
                <w:sz w:val="16"/>
                <w:szCs w:val="16"/>
                <w:lang w:val="nl-NL"/>
              </w:rPr>
              <w:t xml:space="preserve"> (</w:t>
            </w:r>
            <w:r w:rsidRPr="00992021" w:rsidR="001B7C45">
              <w:rPr>
                <w:sz w:val="16"/>
                <w:szCs w:val="16"/>
                <w:lang w:val="nl-NL"/>
              </w:rPr>
              <w:t>i</w:t>
            </w:r>
            <w:r w:rsidRPr="00992021" w:rsidR="00BA5D50">
              <w:rPr>
                <w:sz w:val="16"/>
                <w:szCs w:val="16"/>
                <w:lang w:val="nl-NL"/>
              </w:rPr>
              <w:t>.</w:t>
            </w:r>
            <w:r w:rsidRPr="00992021" w:rsidR="001B7C45">
              <w:rPr>
                <w:sz w:val="16"/>
                <w:szCs w:val="16"/>
                <w:lang w:val="nl-NL"/>
              </w:rPr>
              <w:t>h</w:t>
            </w:r>
            <w:r w:rsidRPr="00992021" w:rsidR="00BA5D50">
              <w:rPr>
                <w:sz w:val="16"/>
                <w:szCs w:val="16"/>
                <w:lang w:val="nl-NL"/>
              </w:rPr>
              <w:t>.</w:t>
            </w:r>
            <w:r w:rsidRPr="00992021" w:rsidR="001B7C45">
              <w:rPr>
                <w:sz w:val="16"/>
                <w:szCs w:val="16"/>
                <w:lang w:val="nl-NL"/>
              </w:rPr>
              <w:t>k</w:t>
            </w:r>
            <w:r w:rsidRPr="00992021" w:rsidR="00BA5D50">
              <w:rPr>
                <w:sz w:val="16"/>
                <w:szCs w:val="16"/>
                <w:lang w:val="nl-NL"/>
              </w:rPr>
              <w:t>.</w:t>
            </w:r>
            <w:r w:rsidRPr="00992021" w:rsidR="001B7C45">
              <w:rPr>
                <w:sz w:val="16"/>
                <w:szCs w:val="16"/>
                <w:lang w:val="nl-NL"/>
              </w:rPr>
              <w:t>v</w:t>
            </w:r>
            <w:r w:rsidRPr="00992021" w:rsidR="00BA5D50">
              <w:rPr>
                <w:sz w:val="16"/>
                <w:szCs w:val="16"/>
                <w:lang w:val="nl-NL"/>
              </w:rPr>
              <w:t>.</w:t>
            </w:r>
            <w:r w:rsidRPr="00992021" w:rsidR="001B7C45">
              <w:rPr>
                <w:sz w:val="16"/>
                <w:szCs w:val="16"/>
                <w:lang w:val="nl-NL"/>
              </w:rPr>
              <w:t xml:space="preserve"> nulmeting interne meldingen en pilots ondersteuning klokkenluiders</w:t>
            </w:r>
            <w:r w:rsidRPr="00992021" w:rsidR="00F74FA2">
              <w:rPr>
                <w:sz w:val="16"/>
                <w:szCs w:val="16"/>
                <w:lang w:val="nl-NL"/>
              </w:rPr>
              <w:t xml:space="preserve">). </w:t>
            </w:r>
          </w:p>
          <w:p w:rsidRPr="00992021" w:rsidR="00A4379D" w:rsidP="00D5485D" w:rsidRDefault="00BA5D50" w14:paraId="4142C2BB" w14:textId="01FAFF86">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I</w:t>
            </w:r>
            <w:r w:rsidRPr="00992021" w:rsidR="00C20C06">
              <w:rPr>
                <w:sz w:val="16"/>
                <w:szCs w:val="16"/>
                <w:lang w:val="nl-NL"/>
              </w:rPr>
              <w:t>nformatie over</w:t>
            </w:r>
            <w:r w:rsidRPr="00992021" w:rsidR="00C429FD">
              <w:rPr>
                <w:sz w:val="16"/>
                <w:szCs w:val="16"/>
                <w:lang w:val="nl-NL"/>
              </w:rPr>
              <w:t xml:space="preserve"> financiële gevolgen, doelmatigheid en evaluatie </w:t>
            </w:r>
            <w:r w:rsidR="00992021">
              <w:rPr>
                <w:sz w:val="16"/>
                <w:szCs w:val="16"/>
                <w:lang w:val="nl-NL"/>
              </w:rPr>
              <w:t>m.n.</w:t>
            </w:r>
            <w:r w:rsidRPr="00992021" w:rsidR="00D5485D">
              <w:rPr>
                <w:sz w:val="16"/>
                <w:szCs w:val="16"/>
                <w:lang w:val="nl-NL"/>
              </w:rPr>
              <w:t xml:space="preserve"> in</w:t>
            </w:r>
            <w:r w:rsidRPr="00992021" w:rsidR="00FF7F06">
              <w:rPr>
                <w:sz w:val="16"/>
                <w:szCs w:val="16"/>
                <w:lang w:val="nl-NL"/>
              </w:rPr>
              <w:t xml:space="preserve"> </w:t>
            </w:r>
            <w:proofErr w:type="spellStart"/>
            <w:r w:rsidRPr="00992021" w:rsidR="00FF7F06">
              <w:rPr>
                <w:sz w:val="16"/>
                <w:szCs w:val="16"/>
                <w:lang w:val="nl-NL"/>
              </w:rPr>
              <w:t>MvT</w:t>
            </w:r>
            <w:proofErr w:type="spellEnd"/>
            <w:r w:rsidRPr="00992021" w:rsidR="00FF7F06">
              <w:rPr>
                <w:sz w:val="16"/>
                <w:szCs w:val="16"/>
                <w:lang w:val="nl-NL"/>
              </w:rPr>
              <w:t xml:space="preserve"> (p.</w:t>
            </w:r>
            <w:r w:rsidRPr="00992021" w:rsidR="00C429FD">
              <w:rPr>
                <w:sz w:val="16"/>
                <w:szCs w:val="16"/>
                <w:lang w:val="nl-NL"/>
              </w:rPr>
              <w:t>45-53)</w:t>
            </w:r>
            <w:r w:rsidRPr="00992021" w:rsidR="00C20C06">
              <w:rPr>
                <w:sz w:val="16"/>
                <w:szCs w:val="16"/>
                <w:lang w:val="nl-NL"/>
              </w:rPr>
              <w:t>.</w:t>
            </w:r>
          </w:p>
        </w:tc>
        <w:tc>
          <w:tcPr>
            <w:tcW w:w="3545" w:type="dxa"/>
            <w:tcBorders>
              <w:tl2br w:val="nil"/>
              <w:tr2bl w:val="nil"/>
            </w:tcBorders>
            <w:vAlign w:val="center"/>
          </w:tcPr>
          <w:p w:rsidRPr="00992021" w:rsidR="00F503F9" w:rsidP="000C37F1" w:rsidRDefault="00F503F9" w14:paraId="39354432" w14:textId="77777777">
            <w:pPr>
              <w:jc w:val="cente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N.v.t.</w:t>
            </w:r>
          </w:p>
        </w:tc>
      </w:tr>
      <w:tr w:rsidRPr="00992021" w:rsidR="00F503F9" w:rsidTr="000C37F1" w14:paraId="4D8B45E0"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992021" w:rsidR="00F503F9" w:rsidP="00F503F9" w:rsidRDefault="00F503F9" w14:paraId="691E3A65" w14:textId="77777777">
            <w:pPr>
              <w:pStyle w:val="Lijstalinea"/>
              <w:numPr>
                <w:ilvl w:val="0"/>
                <w:numId w:val="19"/>
              </w:numPr>
              <w:rPr>
                <w:szCs w:val="18"/>
                <w:lang w:val="nl-NL"/>
              </w:rPr>
            </w:pPr>
            <w:r w:rsidRPr="00992021">
              <w:rPr>
                <w:szCs w:val="18"/>
                <w:lang w:val="nl-NL"/>
              </w:rPr>
              <w:t>Maatschappelijke opgave (bedoeling)</w:t>
            </w:r>
          </w:p>
          <w:p w:rsidRPr="00992021" w:rsidR="00C37077" w:rsidP="00C37077" w:rsidRDefault="00C37077" w14:paraId="2A651B11" w14:textId="77777777">
            <w:pPr>
              <w:rPr>
                <w:szCs w:val="18"/>
                <w:lang w:val="nl-NL"/>
              </w:rPr>
            </w:pPr>
          </w:p>
          <w:p w:rsidRPr="00992021" w:rsidR="00C37077" w:rsidP="00C37077" w:rsidRDefault="00C37077" w14:paraId="4ADE7A5A" w14:textId="77777777">
            <w:pPr>
              <w:rPr>
                <w:szCs w:val="18"/>
                <w:lang w:val="nl-NL"/>
              </w:rPr>
            </w:pPr>
          </w:p>
          <w:p w:rsidRPr="00992021" w:rsidR="00C37077" w:rsidP="00C37077" w:rsidRDefault="00C37077" w14:paraId="6A16EE5F" w14:textId="77777777">
            <w:pPr>
              <w:rPr>
                <w:szCs w:val="18"/>
                <w:lang w:val="nl-NL"/>
              </w:rPr>
            </w:pPr>
          </w:p>
          <w:p w:rsidRPr="00992021" w:rsidR="00C37077" w:rsidP="00C37077" w:rsidRDefault="00C37077" w14:paraId="491F3A00" w14:textId="77777777">
            <w:pPr>
              <w:rPr>
                <w:szCs w:val="18"/>
                <w:lang w:val="nl-NL"/>
              </w:rPr>
            </w:pPr>
          </w:p>
          <w:p w:rsidRPr="00992021" w:rsidR="00C37077" w:rsidP="00C37077" w:rsidRDefault="00C37077" w14:paraId="13507532" w14:textId="77777777">
            <w:pPr>
              <w:rPr>
                <w:szCs w:val="18"/>
                <w:lang w:val="nl-NL"/>
              </w:rPr>
            </w:pPr>
          </w:p>
          <w:p w:rsidRPr="00992021" w:rsidR="00C37077" w:rsidP="00C37077" w:rsidRDefault="00C37077" w14:paraId="4E08BB55" w14:textId="77777777">
            <w:pPr>
              <w:rPr>
                <w:szCs w:val="18"/>
                <w:lang w:val="nl-NL"/>
              </w:rPr>
            </w:pPr>
          </w:p>
          <w:p w:rsidRPr="00992021" w:rsidR="00C37077" w:rsidP="00C37077" w:rsidRDefault="00C37077" w14:paraId="7E311807" w14:textId="77777777">
            <w:pPr>
              <w:rPr>
                <w:szCs w:val="18"/>
                <w:lang w:val="nl-NL"/>
              </w:rPr>
            </w:pPr>
          </w:p>
          <w:p w:rsidRPr="00992021" w:rsidR="00C37077" w:rsidP="00C37077" w:rsidRDefault="00C37077" w14:paraId="6D8216D2" w14:textId="400796CD">
            <w:pPr>
              <w:rPr>
                <w:szCs w:val="18"/>
                <w:lang w:val="nl-NL"/>
              </w:rPr>
            </w:pPr>
          </w:p>
        </w:tc>
        <w:tc>
          <w:tcPr>
            <w:tcW w:w="0" w:type="auto"/>
          </w:tcPr>
          <w:p w:rsidRPr="00992021" w:rsidR="00F503F9" w:rsidP="000C37F1" w:rsidRDefault="00074937" w14:paraId="32B27212" w14:textId="0EE4382F">
            <w:pPr>
              <w:cnfStyle w:val="000000000000" w:firstRow="0" w:lastRow="0" w:firstColumn="0" w:lastColumn="0" w:oddVBand="0" w:evenVBand="0" w:oddHBand="0" w:evenHBand="0" w:firstRowFirstColumn="0" w:firstRowLastColumn="0" w:lastRowFirstColumn="0" w:lastRowLastColumn="0"/>
              <w:rPr>
                <w:szCs w:val="18"/>
                <w:lang w:val="nl-NL"/>
              </w:rPr>
            </w:pPr>
            <w:r w:rsidRPr="00992021">
              <w:rPr>
                <w:noProof/>
                <w:color w:val="000000" w:themeColor="text1"/>
                <w:szCs w:val="18"/>
                <w:lang w:eastAsia="nl-NL"/>
              </w:rPr>
              <w:drawing>
                <wp:inline distT="0" distB="0" distL="0" distR="0" wp14:anchorId="644C12A7" wp14:editId="5574779E">
                  <wp:extent cx="162560" cy="162560"/>
                  <wp:effectExtent l="0" t="0" r="2540" b="254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9" cstate="print">
                            <a:extLst>
                              <a:ext uri="{28A0092B-C50C-407E-A947-70E740481C1C}">
                                <a14:useLocalDpi xmlns:a14="http://schemas.microsoft.com/office/drawing/2010/main" val="0"/>
                              </a:ext>
                            </a:extLst>
                          </a:blip>
                          <a:srcRect l="4168" t="22270" r="65022" b="15915"/>
                          <a:stretch/>
                        </pic:blipFill>
                        <pic:spPr bwMode="auto">
                          <a:xfrm rot="10800000" flipV="1">
                            <a:off x="0" y="0"/>
                            <a:ext cx="162763" cy="16276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992021" w:rsidR="00F503F9" w:rsidP="00D5485D" w:rsidRDefault="00F503F9" w14:paraId="59363441" w14:textId="6533FCD3">
            <w:p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Maatschappeli</w:t>
            </w:r>
            <w:r w:rsidRPr="00992021" w:rsidR="00C20C06">
              <w:rPr>
                <w:sz w:val="16"/>
                <w:szCs w:val="16"/>
                <w:lang w:val="nl-NL"/>
              </w:rPr>
              <w:t>jke opgave expliciet beschreven en helder, maar niet duidelijk wat nu hoofddoelstelling is</w:t>
            </w:r>
            <w:r w:rsidRPr="00992021" w:rsidR="008B0554">
              <w:rPr>
                <w:sz w:val="16"/>
                <w:szCs w:val="16"/>
                <w:lang w:val="nl-NL"/>
              </w:rPr>
              <w:t>:</w:t>
            </w:r>
            <w:r w:rsidRPr="00992021" w:rsidR="00C20C06">
              <w:rPr>
                <w:sz w:val="16"/>
                <w:szCs w:val="16"/>
                <w:lang w:val="nl-NL"/>
              </w:rPr>
              <w:t xml:space="preserve"> </w:t>
            </w:r>
          </w:p>
          <w:p w:rsidRPr="00992021" w:rsidR="00C20C06" w:rsidP="00F503F9" w:rsidRDefault="00C20C06" w14:paraId="21179EE5" w14:textId="4E0DAEA3">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De 2</w:t>
            </w:r>
            <w:r w:rsidRPr="00992021">
              <w:rPr>
                <w:sz w:val="16"/>
                <w:szCs w:val="16"/>
                <w:vertAlign w:val="superscript"/>
                <w:lang w:val="nl-NL"/>
              </w:rPr>
              <w:t>e</w:t>
            </w:r>
            <w:r w:rsidRPr="00992021">
              <w:rPr>
                <w:sz w:val="16"/>
                <w:szCs w:val="16"/>
                <w:lang w:val="nl-NL"/>
              </w:rPr>
              <w:t xml:space="preserve"> </w:t>
            </w:r>
            <w:proofErr w:type="spellStart"/>
            <w:r w:rsidRPr="00992021">
              <w:rPr>
                <w:sz w:val="16"/>
                <w:szCs w:val="16"/>
                <w:lang w:val="nl-NL"/>
              </w:rPr>
              <w:t>NvW</w:t>
            </w:r>
            <w:proofErr w:type="spellEnd"/>
            <w:r w:rsidRPr="00992021">
              <w:rPr>
                <w:sz w:val="16"/>
                <w:szCs w:val="16"/>
                <w:lang w:val="nl-NL"/>
              </w:rPr>
              <w:t xml:space="preserve"> spreekt </w:t>
            </w:r>
            <w:r w:rsidRPr="00992021" w:rsidR="008B0554">
              <w:rPr>
                <w:sz w:val="16"/>
                <w:szCs w:val="16"/>
                <w:lang w:val="nl-NL"/>
              </w:rPr>
              <w:t xml:space="preserve">expliciet </w:t>
            </w:r>
            <w:r w:rsidRPr="00992021">
              <w:rPr>
                <w:sz w:val="16"/>
                <w:szCs w:val="16"/>
                <w:lang w:val="nl-NL"/>
              </w:rPr>
              <w:t xml:space="preserve">over vereenvoudiging en verbetering van het Wijzigingsvoorstel zodat klokkenluiders </w:t>
            </w:r>
            <w:r w:rsidR="000141E8">
              <w:rPr>
                <w:sz w:val="16"/>
                <w:szCs w:val="16"/>
                <w:lang w:val="nl-NL"/>
              </w:rPr>
              <w:t xml:space="preserve">meer </w:t>
            </w:r>
            <w:r w:rsidRPr="00992021">
              <w:rPr>
                <w:sz w:val="16"/>
                <w:szCs w:val="16"/>
                <w:lang w:val="nl-NL"/>
              </w:rPr>
              <w:t>duidelijkheid hebben over processtappe</w:t>
            </w:r>
            <w:r w:rsidRPr="00992021" w:rsidR="008B0554">
              <w:rPr>
                <w:sz w:val="16"/>
                <w:szCs w:val="16"/>
                <w:lang w:val="nl-NL"/>
              </w:rPr>
              <w:t xml:space="preserve">n, ondersteuning en bescherming </w:t>
            </w:r>
            <w:r w:rsidRPr="00992021">
              <w:rPr>
                <w:sz w:val="16"/>
                <w:szCs w:val="16"/>
                <w:lang w:val="nl-NL"/>
              </w:rPr>
              <w:t>(p.7-8).</w:t>
            </w:r>
          </w:p>
          <w:p w:rsidRPr="00992021" w:rsidR="00283D2E" w:rsidP="00F503F9" w:rsidRDefault="00283D2E" w14:paraId="5880BBAE" w14:textId="72C374B8">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De 2</w:t>
            </w:r>
            <w:r w:rsidRPr="00992021">
              <w:rPr>
                <w:sz w:val="16"/>
                <w:szCs w:val="16"/>
                <w:vertAlign w:val="superscript"/>
                <w:lang w:val="nl-NL"/>
              </w:rPr>
              <w:t>e</w:t>
            </w:r>
            <w:r w:rsidRPr="00992021">
              <w:rPr>
                <w:sz w:val="16"/>
                <w:szCs w:val="16"/>
                <w:lang w:val="nl-NL"/>
              </w:rPr>
              <w:t xml:space="preserve"> </w:t>
            </w:r>
            <w:proofErr w:type="spellStart"/>
            <w:r w:rsidRPr="00992021">
              <w:rPr>
                <w:sz w:val="16"/>
                <w:szCs w:val="16"/>
                <w:lang w:val="nl-NL"/>
              </w:rPr>
              <w:t>NvW</w:t>
            </w:r>
            <w:proofErr w:type="spellEnd"/>
            <w:r w:rsidRPr="00992021">
              <w:rPr>
                <w:sz w:val="16"/>
                <w:szCs w:val="16"/>
                <w:lang w:val="nl-NL"/>
              </w:rPr>
              <w:t xml:space="preserve"> </w:t>
            </w:r>
            <w:r w:rsidRPr="00992021" w:rsidR="0078210E">
              <w:rPr>
                <w:sz w:val="16"/>
                <w:szCs w:val="16"/>
                <w:lang w:val="nl-NL"/>
              </w:rPr>
              <w:t>en de kabinetsbrief noemen daarnaast impliciet</w:t>
            </w:r>
            <w:r w:rsidR="000141E8">
              <w:rPr>
                <w:sz w:val="16"/>
                <w:szCs w:val="16"/>
                <w:lang w:val="nl-NL"/>
              </w:rPr>
              <w:t xml:space="preserve">: </w:t>
            </w:r>
            <w:r w:rsidRPr="00992021">
              <w:rPr>
                <w:sz w:val="16"/>
                <w:szCs w:val="16"/>
                <w:lang w:val="nl-NL"/>
              </w:rPr>
              <w:t xml:space="preserve">bijdragen aan de oplossing van maatschappelijke </w:t>
            </w:r>
            <w:r w:rsidRPr="00992021" w:rsidR="00243302">
              <w:rPr>
                <w:sz w:val="16"/>
                <w:szCs w:val="16"/>
                <w:lang w:val="nl-NL"/>
              </w:rPr>
              <w:t>misstanden</w:t>
            </w:r>
            <w:r w:rsidRPr="00992021">
              <w:rPr>
                <w:sz w:val="16"/>
                <w:szCs w:val="16"/>
                <w:lang w:val="nl-NL"/>
              </w:rPr>
              <w:t xml:space="preserve"> en de rechtsbescherming van klokkenluiders (= doelstelling oorspronkelijke Wet Huis voor klokkenluiders)</w:t>
            </w:r>
            <w:r w:rsidRPr="00992021" w:rsidR="0078210E">
              <w:rPr>
                <w:sz w:val="16"/>
                <w:szCs w:val="16"/>
                <w:lang w:val="nl-NL"/>
              </w:rPr>
              <w:t xml:space="preserve"> (</w:t>
            </w:r>
            <w:proofErr w:type="spellStart"/>
            <w:r w:rsidRPr="00992021" w:rsidR="0078210E">
              <w:rPr>
                <w:sz w:val="16"/>
                <w:szCs w:val="16"/>
                <w:lang w:val="nl-NL"/>
              </w:rPr>
              <w:t>NvW</w:t>
            </w:r>
            <w:proofErr w:type="spellEnd"/>
            <w:r w:rsidRPr="00992021" w:rsidR="0078210E">
              <w:rPr>
                <w:sz w:val="16"/>
                <w:szCs w:val="16"/>
                <w:lang w:val="nl-NL"/>
              </w:rPr>
              <w:t>, p.12</w:t>
            </w:r>
            <w:r w:rsidR="000141E8">
              <w:rPr>
                <w:sz w:val="16"/>
                <w:szCs w:val="16"/>
                <w:lang w:val="nl-NL"/>
              </w:rPr>
              <w:t>;</w:t>
            </w:r>
            <w:r w:rsidRPr="00992021" w:rsidR="0078210E">
              <w:rPr>
                <w:sz w:val="16"/>
                <w:szCs w:val="16"/>
                <w:lang w:val="nl-NL"/>
              </w:rPr>
              <w:t xml:space="preserve"> kabinetsbrief </w:t>
            </w:r>
            <w:r w:rsidRPr="00992021" w:rsidR="001B7C45">
              <w:rPr>
                <w:sz w:val="16"/>
                <w:szCs w:val="16"/>
                <w:lang w:val="nl-NL"/>
              </w:rPr>
              <w:t>p.4</w:t>
            </w:r>
            <w:r w:rsidR="000141E8">
              <w:rPr>
                <w:sz w:val="16"/>
                <w:szCs w:val="16"/>
                <w:lang w:val="nl-NL"/>
              </w:rPr>
              <w:t xml:space="preserve"> en </w:t>
            </w:r>
            <w:r w:rsidRPr="00992021" w:rsidR="001B7C45">
              <w:rPr>
                <w:sz w:val="16"/>
                <w:szCs w:val="16"/>
                <w:lang w:val="nl-NL"/>
              </w:rPr>
              <w:t xml:space="preserve">voetnoot </w:t>
            </w:r>
            <w:r w:rsidRPr="00992021" w:rsidR="00243302">
              <w:rPr>
                <w:sz w:val="16"/>
                <w:szCs w:val="16"/>
                <w:lang w:val="nl-NL"/>
              </w:rPr>
              <w:t>29</w:t>
            </w:r>
            <w:r w:rsidRPr="00992021" w:rsidR="00BD0FD1">
              <w:rPr>
                <w:sz w:val="16"/>
                <w:szCs w:val="16"/>
                <w:lang w:val="nl-NL"/>
              </w:rPr>
              <w:t xml:space="preserve">). </w:t>
            </w:r>
          </w:p>
          <w:p w:rsidRPr="00992021" w:rsidR="00F503F9" w:rsidP="00243302" w:rsidRDefault="0078210E" w14:paraId="70187C07" w14:textId="21485B4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proofErr w:type="spellStart"/>
            <w:r w:rsidRPr="00992021">
              <w:rPr>
                <w:sz w:val="16"/>
                <w:szCs w:val="16"/>
                <w:lang w:val="nl-NL"/>
              </w:rPr>
              <w:t>MvT</w:t>
            </w:r>
            <w:proofErr w:type="spellEnd"/>
            <w:r w:rsidRPr="00992021">
              <w:rPr>
                <w:sz w:val="16"/>
                <w:szCs w:val="16"/>
                <w:lang w:val="nl-NL"/>
              </w:rPr>
              <w:t xml:space="preserve"> noemt als doelstelling</w:t>
            </w:r>
            <w:r w:rsidRPr="00992021" w:rsidR="00C20C06">
              <w:rPr>
                <w:sz w:val="16"/>
                <w:szCs w:val="16"/>
                <w:lang w:val="nl-NL"/>
              </w:rPr>
              <w:t xml:space="preserve"> implementatie van de EU-Klokkenluidersrichtlijn </w:t>
            </w:r>
            <w:r w:rsidRPr="00992021" w:rsidR="008B0554">
              <w:rPr>
                <w:sz w:val="16"/>
                <w:szCs w:val="16"/>
                <w:lang w:val="nl-NL"/>
              </w:rPr>
              <w:t xml:space="preserve">en enkele verduidelijkingen </w:t>
            </w:r>
            <w:r w:rsidRPr="00992021" w:rsidR="00C20C06">
              <w:rPr>
                <w:sz w:val="16"/>
                <w:szCs w:val="16"/>
                <w:lang w:val="nl-NL"/>
              </w:rPr>
              <w:t>(p.1).</w:t>
            </w:r>
          </w:p>
          <w:p w:rsidRPr="00992021" w:rsidR="00243302" w:rsidP="00243302" w:rsidRDefault="00243302" w14:paraId="371D3C79" w14:textId="56A81615">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In een brief van 24 februari 2022 (</w:t>
            </w:r>
            <w:r w:rsidR="00B83C25">
              <w:fldChar w:fldCharType="begin"/>
            </w:r>
            <w:r w:rsidRPr="00872681" w:rsidR="00B83C25">
              <w:rPr>
                <w:lang w:val="nl-NL"/>
              </w:rPr>
              <w:instrText xml:space="preserve"> HYPERLINK "https://zoek.officielebekendmakingen.nl/kst-35851-8.html" </w:instrText>
            </w:r>
            <w:r w:rsidR="00B83C25">
              <w:fldChar w:fldCharType="separate"/>
            </w:r>
            <w:r w:rsidRPr="00992021">
              <w:rPr>
                <w:rStyle w:val="Hyperlink"/>
                <w:sz w:val="16"/>
                <w:szCs w:val="16"/>
                <w:lang w:val="nl-NL"/>
              </w:rPr>
              <w:t>35851-8</w:t>
            </w:r>
            <w:r w:rsidR="00B83C25">
              <w:rPr>
                <w:rStyle w:val="Hyperlink"/>
                <w:sz w:val="16"/>
                <w:szCs w:val="16"/>
              </w:rPr>
              <w:fldChar w:fldCharType="end"/>
            </w:r>
            <w:r w:rsidRPr="00992021">
              <w:rPr>
                <w:sz w:val="16"/>
                <w:szCs w:val="16"/>
                <w:lang w:val="nl-NL"/>
              </w:rPr>
              <w:t xml:space="preserve">) noemt </w:t>
            </w:r>
            <w:r w:rsidRPr="00992021" w:rsidR="00685090">
              <w:rPr>
                <w:sz w:val="16"/>
                <w:szCs w:val="16"/>
                <w:lang w:val="nl-NL"/>
              </w:rPr>
              <w:t xml:space="preserve">de </w:t>
            </w:r>
            <w:r w:rsidRPr="00992021">
              <w:rPr>
                <w:sz w:val="16"/>
                <w:szCs w:val="16"/>
                <w:lang w:val="nl-NL"/>
              </w:rPr>
              <w:t xml:space="preserve">minister ook het doel om punten uit </w:t>
            </w:r>
            <w:r w:rsidRPr="00992021" w:rsidR="00BD0FD1">
              <w:rPr>
                <w:sz w:val="16"/>
                <w:szCs w:val="16"/>
                <w:lang w:val="nl-NL"/>
              </w:rPr>
              <w:t xml:space="preserve">de </w:t>
            </w:r>
            <w:r w:rsidRPr="00992021">
              <w:rPr>
                <w:sz w:val="16"/>
                <w:szCs w:val="16"/>
                <w:lang w:val="nl-NL"/>
              </w:rPr>
              <w:t xml:space="preserve">wetsevaluatie te verwerken om </w:t>
            </w:r>
            <w:r w:rsidRPr="00992021">
              <w:rPr>
                <w:sz w:val="16"/>
                <w:szCs w:val="16"/>
                <w:lang w:val="nl-NL"/>
              </w:rPr>
              <w:lastRenderedPageBreak/>
              <w:t xml:space="preserve">positie van klokkenluiders verder te versterken (p.2). </w:t>
            </w:r>
          </w:p>
        </w:tc>
        <w:tc>
          <w:tcPr>
            <w:tcW w:w="3545" w:type="dxa"/>
          </w:tcPr>
          <w:p w:rsidR="00DF688D" w:rsidP="00992021" w:rsidRDefault="003C72AC" w14:paraId="22CEC898" w14:textId="547BB0CA">
            <w:p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lastRenderedPageBreak/>
              <w:t xml:space="preserve">De wet </w:t>
            </w:r>
            <w:r w:rsidRPr="00992021" w:rsidR="00216D7A">
              <w:rPr>
                <w:sz w:val="16"/>
                <w:szCs w:val="16"/>
                <w:lang w:val="nl-NL"/>
              </w:rPr>
              <w:t>dient meerdere doelen</w:t>
            </w:r>
            <w:r w:rsidR="00B94A6E">
              <w:rPr>
                <w:sz w:val="16"/>
                <w:szCs w:val="16"/>
                <w:lang w:val="nl-NL"/>
              </w:rPr>
              <w:t>:</w:t>
            </w:r>
            <w:r w:rsidRPr="00992021">
              <w:rPr>
                <w:sz w:val="16"/>
                <w:szCs w:val="16"/>
                <w:lang w:val="nl-NL"/>
              </w:rPr>
              <w:t xml:space="preserve"> </w:t>
            </w:r>
            <w:r w:rsidRPr="00992021" w:rsidR="00216D7A">
              <w:rPr>
                <w:sz w:val="16"/>
                <w:szCs w:val="16"/>
                <w:lang w:val="nl-NL"/>
              </w:rPr>
              <w:t>implementatie EU</w:t>
            </w:r>
            <w:r w:rsidR="00E1437A">
              <w:rPr>
                <w:sz w:val="16"/>
                <w:szCs w:val="16"/>
                <w:lang w:val="nl-NL"/>
              </w:rPr>
              <w:t>-</w:t>
            </w:r>
            <w:r w:rsidRPr="00992021" w:rsidR="00216D7A">
              <w:rPr>
                <w:sz w:val="16"/>
                <w:szCs w:val="16"/>
                <w:lang w:val="nl-NL"/>
              </w:rPr>
              <w:t xml:space="preserve">richtlijn; vereenvoudiging en verbetering </w:t>
            </w:r>
            <w:r w:rsidRPr="00992021" w:rsidR="00A83358">
              <w:rPr>
                <w:sz w:val="16"/>
                <w:szCs w:val="16"/>
                <w:lang w:val="nl-NL"/>
              </w:rPr>
              <w:t xml:space="preserve">van </w:t>
            </w:r>
            <w:r w:rsidRPr="00992021" w:rsidR="00216D7A">
              <w:rPr>
                <w:sz w:val="16"/>
                <w:szCs w:val="16"/>
                <w:lang w:val="nl-NL"/>
              </w:rPr>
              <w:t xml:space="preserve">regels </w:t>
            </w:r>
            <w:r w:rsidRPr="00992021" w:rsidR="00CD066F">
              <w:rPr>
                <w:sz w:val="16"/>
                <w:szCs w:val="16"/>
                <w:lang w:val="nl-NL"/>
              </w:rPr>
              <w:t>om</w:t>
            </w:r>
            <w:r w:rsidRPr="00992021" w:rsidR="00216D7A">
              <w:rPr>
                <w:sz w:val="16"/>
                <w:szCs w:val="16"/>
                <w:lang w:val="nl-NL"/>
              </w:rPr>
              <w:t xml:space="preserve"> klokkenluiders duidelijkheid </w:t>
            </w:r>
            <w:r w:rsidRPr="00992021" w:rsidR="00CD066F">
              <w:rPr>
                <w:sz w:val="16"/>
                <w:szCs w:val="16"/>
                <w:lang w:val="nl-NL"/>
              </w:rPr>
              <w:t>te geven</w:t>
            </w:r>
            <w:r w:rsidRPr="00992021" w:rsidR="00216D7A">
              <w:rPr>
                <w:sz w:val="16"/>
                <w:szCs w:val="16"/>
                <w:lang w:val="nl-NL"/>
              </w:rPr>
              <w:t xml:space="preserve">, </w:t>
            </w:r>
            <w:r w:rsidRPr="00992021" w:rsidR="00CD066F">
              <w:rPr>
                <w:sz w:val="16"/>
                <w:szCs w:val="16"/>
                <w:lang w:val="nl-NL"/>
              </w:rPr>
              <w:t xml:space="preserve">rechtsbescherming </w:t>
            </w:r>
            <w:r w:rsidRPr="00992021" w:rsidR="00A83358">
              <w:rPr>
                <w:sz w:val="16"/>
                <w:szCs w:val="16"/>
                <w:lang w:val="nl-NL"/>
              </w:rPr>
              <w:t xml:space="preserve">van </w:t>
            </w:r>
            <w:r w:rsidRPr="00992021" w:rsidR="00CD066F">
              <w:rPr>
                <w:sz w:val="16"/>
                <w:szCs w:val="16"/>
                <w:lang w:val="nl-NL"/>
              </w:rPr>
              <w:t>klokkenluiders</w:t>
            </w:r>
            <w:r w:rsidR="00AF599B">
              <w:rPr>
                <w:sz w:val="16"/>
                <w:szCs w:val="16"/>
                <w:lang w:val="nl-NL"/>
              </w:rPr>
              <w:t xml:space="preserve"> </w:t>
            </w:r>
            <w:r w:rsidRPr="00992021" w:rsidR="00216D7A">
              <w:rPr>
                <w:sz w:val="16"/>
                <w:szCs w:val="16"/>
                <w:lang w:val="nl-NL"/>
              </w:rPr>
              <w:t xml:space="preserve">en </w:t>
            </w:r>
            <w:r w:rsidRPr="00992021">
              <w:rPr>
                <w:sz w:val="16"/>
                <w:szCs w:val="16"/>
                <w:lang w:val="nl-NL"/>
              </w:rPr>
              <w:t xml:space="preserve">bijdragen aan oplossing </w:t>
            </w:r>
            <w:r w:rsidRPr="00992021" w:rsidR="00A83358">
              <w:rPr>
                <w:sz w:val="16"/>
                <w:szCs w:val="16"/>
                <w:lang w:val="nl-NL"/>
              </w:rPr>
              <w:t xml:space="preserve">van </w:t>
            </w:r>
            <w:r w:rsidRPr="00992021">
              <w:rPr>
                <w:sz w:val="16"/>
                <w:szCs w:val="16"/>
                <w:lang w:val="nl-NL"/>
              </w:rPr>
              <w:t>maatschappelijke misstanden</w:t>
            </w:r>
            <w:r w:rsidRPr="00992021" w:rsidR="00F97937">
              <w:rPr>
                <w:sz w:val="16"/>
                <w:szCs w:val="16"/>
                <w:lang w:val="nl-NL"/>
              </w:rPr>
              <w:t>.</w:t>
            </w:r>
            <w:r w:rsidRPr="00992021" w:rsidR="00216D7A">
              <w:rPr>
                <w:sz w:val="16"/>
                <w:szCs w:val="16"/>
                <w:lang w:val="nl-NL"/>
              </w:rPr>
              <w:t xml:space="preserve"> </w:t>
            </w:r>
          </w:p>
          <w:p w:rsidR="00DF688D" w:rsidP="00992021" w:rsidRDefault="00DF688D" w14:paraId="1A8434F9"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E23BA1" w:rsidR="00DF688D" w:rsidP="00E23BA1" w:rsidRDefault="00DF688D" w14:paraId="23153572" w14:textId="57809955">
            <w:pPr>
              <w:pStyle w:val="Lijstalinea"/>
              <w:numPr>
                <w:ilvl w:val="0"/>
                <w:numId w:val="45"/>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E23BA1">
              <w:rPr>
                <w:b/>
                <w:bCs/>
                <w:sz w:val="16"/>
                <w:szCs w:val="16"/>
                <w:lang w:val="nl-NL"/>
              </w:rPr>
              <w:t>Vraag</w:t>
            </w:r>
            <w:r w:rsidR="00316A98">
              <w:rPr>
                <w:b/>
                <w:bCs/>
                <w:sz w:val="16"/>
                <w:szCs w:val="16"/>
                <w:lang w:val="nl-NL"/>
              </w:rPr>
              <w:t xml:space="preserve"> 1</w:t>
            </w:r>
            <w:r w:rsidRPr="00E23BA1">
              <w:rPr>
                <w:sz w:val="16"/>
                <w:szCs w:val="16"/>
                <w:lang w:val="nl-NL"/>
              </w:rPr>
              <w:t xml:space="preserve">: hoe verhouden de doelstellingen </w:t>
            </w:r>
            <w:r w:rsidR="00316A98">
              <w:rPr>
                <w:sz w:val="16"/>
                <w:szCs w:val="16"/>
                <w:lang w:val="nl-NL"/>
              </w:rPr>
              <w:t>‘</w:t>
            </w:r>
            <w:r w:rsidRPr="00E23BA1">
              <w:rPr>
                <w:sz w:val="16"/>
                <w:szCs w:val="16"/>
                <w:lang w:val="nl-NL"/>
              </w:rPr>
              <w:t>implementatie</w:t>
            </w:r>
            <w:r>
              <w:rPr>
                <w:sz w:val="16"/>
                <w:szCs w:val="16"/>
                <w:lang w:val="nl-NL"/>
              </w:rPr>
              <w:t xml:space="preserve"> EU-richtlijn</w:t>
            </w:r>
            <w:r w:rsidR="00316A98">
              <w:rPr>
                <w:sz w:val="16"/>
                <w:szCs w:val="16"/>
                <w:lang w:val="nl-NL"/>
              </w:rPr>
              <w:t>’</w:t>
            </w:r>
            <w:r w:rsidRPr="00E23BA1">
              <w:rPr>
                <w:sz w:val="16"/>
                <w:szCs w:val="16"/>
                <w:lang w:val="nl-NL"/>
              </w:rPr>
              <w:t xml:space="preserve"> en </w:t>
            </w:r>
            <w:r w:rsidR="00316A98">
              <w:rPr>
                <w:sz w:val="16"/>
                <w:szCs w:val="16"/>
                <w:lang w:val="nl-NL"/>
              </w:rPr>
              <w:t>‘</w:t>
            </w:r>
            <w:r>
              <w:rPr>
                <w:sz w:val="16"/>
                <w:szCs w:val="16"/>
                <w:lang w:val="nl-NL"/>
              </w:rPr>
              <w:t>rechts</w:t>
            </w:r>
            <w:r w:rsidRPr="00E23BA1">
              <w:rPr>
                <w:sz w:val="16"/>
                <w:szCs w:val="16"/>
                <w:lang w:val="nl-NL"/>
              </w:rPr>
              <w:t>bescherming</w:t>
            </w:r>
            <w:r w:rsidR="00316A98">
              <w:rPr>
                <w:sz w:val="16"/>
                <w:szCs w:val="16"/>
                <w:lang w:val="nl-NL"/>
              </w:rPr>
              <w:t>’</w:t>
            </w:r>
            <w:r w:rsidRPr="00E23BA1">
              <w:rPr>
                <w:sz w:val="16"/>
                <w:szCs w:val="16"/>
                <w:lang w:val="nl-NL"/>
              </w:rPr>
              <w:t xml:space="preserve"> zich tot elkaar? Implementatie van de richtlijn wil nog niet zeggen dat melders </w:t>
            </w:r>
            <w:r w:rsidR="00E1437A">
              <w:rPr>
                <w:sz w:val="16"/>
                <w:szCs w:val="16"/>
                <w:lang w:val="nl-NL"/>
              </w:rPr>
              <w:t>doeltreffend</w:t>
            </w:r>
            <w:r w:rsidRPr="00E23BA1">
              <w:rPr>
                <w:sz w:val="16"/>
                <w:szCs w:val="16"/>
                <w:lang w:val="nl-NL"/>
              </w:rPr>
              <w:t xml:space="preserve"> worden beschermd.</w:t>
            </w:r>
            <w:r w:rsidR="00316A98">
              <w:rPr>
                <w:sz w:val="16"/>
                <w:szCs w:val="16"/>
                <w:lang w:val="nl-NL"/>
              </w:rPr>
              <w:t xml:space="preserve"> </w:t>
            </w:r>
          </w:p>
          <w:p w:rsidR="00DF688D" w:rsidP="00992021" w:rsidRDefault="00DF688D" w14:paraId="407A8D9B"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992021" w:rsidR="00DF688D" w:rsidP="00992021" w:rsidRDefault="00CD066F" w14:paraId="1B731836" w14:textId="0E9CE6CA">
            <w:p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De </w:t>
            </w:r>
            <w:r w:rsidR="00DF688D">
              <w:rPr>
                <w:sz w:val="16"/>
                <w:szCs w:val="16"/>
                <w:lang w:val="nl-NL"/>
              </w:rPr>
              <w:t xml:space="preserve">doelstellingen </w:t>
            </w:r>
            <w:r w:rsidR="00316A98">
              <w:rPr>
                <w:sz w:val="16"/>
                <w:szCs w:val="16"/>
                <w:lang w:val="nl-NL"/>
              </w:rPr>
              <w:t>‘</w:t>
            </w:r>
            <w:r w:rsidR="00DF688D">
              <w:rPr>
                <w:sz w:val="16"/>
                <w:szCs w:val="16"/>
                <w:lang w:val="nl-NL"/>
              </w:rPr>
              <w:t>rechtsbescherming</w:t>
            </w:r>
            <w:r w:rsidR="00316A98">
              <w:rPr>
                <w:sz w:val="16"/>
                <w:szCs w:val="16"/>
                <w:lang w:val="nl-NL"/>
              </w:rPr>
              <w:t>’</w:t>
            </w:r>
            <w:r w:rsidR="00DF688D">
              <w:rPr>
                <w:sz w:val="16"/>
                <w:szCs w:val="16"/>
                <w:lang w:val="nl-NL"/>
              </w:rPr>
              <w:t xml:space="preserve"> en </w:t>
            </w:r>
            <w:r w:rsidR="00316A98">
              <w:rPr>
                <w:sz w:val="16"/>
                <w:szCs w:val="16"/>
                <w:lang w:val="nl-NL"/>
              </w:rPr>
              <w:t>‘</w:t>
            </w:r>
            <w:r w:rsidR="00DF688D">
              <w:rPr>
                <w:sz w:val="16"/>
                <w:szCs w:val="16"/>
                <w:lang w:val="nl-NL"/>
              </w:rPr>
              <w:t>oplossing misstanden</w:t>
            </w:r>
            <w:r w:rsidR="00316A98">
              <w:rPr>
                <w:sz w:val="16"/>
                <w:szCs w:val="16"/>
                <w:lang w:val="nl-NL"/>
              </w:rPr>
              <w:t>’</w:t>
            </w:r>
            <w:r w:rsidRPr="00992021" w:rsidR="003C72AC">
              <w:rPr>
                <w:sz w:val="16"/>
                <w:szCs w:val="16"/>
                <w:lang w:val="nl-NL"/>
              </w:rPr>
              <w:t xml:space="preserve"> zijn onlosmakelijk met elkaar verbonden, maar in </w:t>
            </w:r>
            <w:r w:rsidR="00CF4699">
              <w:rPr>
                <w:sz w:val="16"/>
                <w:szCs w:val="16"/>
                <w:lang w:val="nl-NL"/>
              </w:rPr>
              <w:t>de tweede</w:t>
            </w:r>
            <w:r w:rsidRPr="00992021" w:rsidR="00F97937">
              <w:rPr>
                <w:sz w:val="16"/>
                <w:szCs w:val="16"/>
                <w:lang w:val="nl-NL"/>
              </w:rPr>
              <w:t xml:space="preserve"> </w:t>
            </w:r>
            <w:r w:rsidR="00CF4699">
              <w:rPr>
                <w:sz w:val="16"/>
                <w:szCs w:val="16"/>
                <w:lang w:val="nl-NL"/>
              </w:rPr>
              <w:t>nota van wijziging (2</w:t>
            </w:r>
            <w:r w:rsidRPr="00CF4699" w:rsidR="00CF4699">
              <w:rPr>
                <w:sz w:val="16"/>
                <w:szCs w:val="16"/>
                <w:vertAlign w:val="superscript"/>
                <w:lang w:val="nl-NL"/>
              </w:rPr>
              <w:t>e</w:t>
            </w:r>
            <w:r w:rsidR="00CF4699">
              <w:rPr>
                <w:sz w:val="16"/>
                <w:szCs w:val="16"/>
                <w:lang w:val="nl-NL"/>
              </w:rPr>
              <w:t xml:space="preserve"> </w:t>
            </w:r>
            <w:proofErr w:type="spellStart"/>
            <w:r w:rsidR="00CF4699">
              <w:rPr>
                <w:sz w:val="16"/>
                <w:szCs w:val="16"/>
                <w:lang w:val="nl-NL"/>
              </w:rPr>
              <w:t>NvW</w:t>
            </w:r>
            <w:proofErr w:type="spellEnd"/>
            <w:r w:rsidR="00CF4699">
              <w:rPr>
                <w:sz w:val="16"/>
                <w:szCs w:val="16"/>
                <w:lang w:val="nl-NL"/>
              </w:rPr>
              <w:t>)</w:t>
            </w:r>
            <w:r w:rsidRPr="00992021" w:rsidR="003C72AC">
              <w:rPr>
                <w:sz w:val="16"/>
                <w:szCs w:val="16"/>
                <w:lang w:val="nl-NL"/>
              </w:rPr>
              <w:t xml:space="preserve"> ligt de nadruk op </w:t>
            </w:r>
            <w:r w:rsidR="00CF33A1">
              <w:rPr>
                <w:sz w:val="16"/>
                <w:szCs w:val="16"/>
                <w:lang w:val="nl-NL"/>
              </w:rPr>
              <w:t>rechts</w:t>
            </w:r>
            <w:r w:rsidRPr="00992021" w:rsidR="003C72AC">
              <w:rPr>
                <w:sz w:val="16"/>
                <w:szCs w:val="16"/>
                <w:lang w:val="nl-NL"/>
              </w:rPr>
              <w:t>bescherming</w:t>
            </w:r>
            <w:r w:rsidRPr="00992021" w:rsidR="00216D7A">
              <w:rPr>
                <w:sz w:val="16"/>
                <w:szCs w:val="16"/>
                <w:lang w:val="nl-NL"/>
              </w:rPr>
              <w:t>. O</w:t>
            </w:r>
            <w:r w:rsidRPr="00992021" w:rsidR="003C72AC">
              <w:rPr>
                <w:sz w:val="16"/>
                <w:szCs w:val="16"/>
                <w:lang w:val="nl-NL"/>
              </w:rPr>
              <w:t>plossing</w:t>
            </w:r>
            <w:r w:rsidRPr="00992021" w:rsidR="00A93384">
              <w:rPr>
                <w:sz w:val="16"/>
                <w:szCs w:val="16"/>
                <w:lang w:val="nl-NL"/>
              </w:rPr>
              <w:t xml:space="preserve"> van misstanden</w:t>
            </w:r>
            <w:r w:rsidRPr="00992021" w:rsidR="00705291">
              <w:rPr>
                <w:sz w:val="16"/>
                <w:szCs w:val="16"/>
                <w:lang w:val="nl-NL"/>
              </w:rPr>
              <w:t xml:space="preserve"> </w:t>
            </w:r>
            <w:r w:rsidRPr="00992021" w:rsidR="00216D7A">
              <w:rPr>
                <w:sz w:val="16"/>
                <w:szCs w:val="16"/>
                <w:lang w:val="nl-NL"/>
              </w:rPr>
              <w:t xml:space="preserve">is </w:t>
            </w:r>
            <w:r w:rsidRPr="00992021" w:rsidR="00705291">
              <w:rPr>
                <w:sz w:val="16"/>
                <w:szCs w:val="16"/>
                <w:lang w:val="nl-NL"/>
              </w:rPr>
              <w:t xml:space="preserve">naar </w:t>
            </w:r>
            <w:r w:rsidRPr="00992021" w:rsidR="00216D7A">
              <w:rPr>
                <w:sz w:val="16"/>
                <w:szCs w:val="16"/>
                <w:lang w:val="nl-NL"/>
              </w:rPr>
              <w:t xml:space="preserve">de </w:t>
            </w:r>
            <w:r w:rsidRPr="00992021" w:rsidR="00705291">
              <w:rPr>
                <w:sz w:val="16"/>
                <w:szCs w:val="16"/>
                <w:lang w:val="nl-NL"/>
              </w:rPr>
              <w:t>achtergrond verdwenen.</w:t>
            </w:r>
          </w:p>
          <w:p w:rsidRPr="009F19D9" w:rsidR="00A83358" w:rsidP="00E23BA1" w:rsidRDefault="00A83358" w14:paraId="491CDF3A" w14:textId="77777777">
            <w:pPr>
              <w:cnfStyle w:val="000000000000" w:firstRow="0" w:lastRow="0" w:firstColumn="0" w:lastColumn="0" w:oddVBand="0" w:evenVBand="0" w:oddHBand="0" w:evenHBand="0" w:firstRowFirstColumn="0" w:firstRowLastColumn="0" w:lastRowFirstColumn="0" w:lastRowLastColumn="0"/>
              <w:rPr>
                <w:lang w:val="nl-NL"/>
              </w:rPr>
            </w:pPr>
          </w:p>
          <w:p w:rsidRPr="00992021" w:rsidR="003D4B99" w:rsidP="00112EC0" w:rsidRDefault="00705291" w14:paraId="604837A3" w14:textId="448696F8">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lang w:val="nl-NL"/>
              </w:rPr>
            </w:pPr>
            <w:r w:rsidRPr="00992021">
              <w:rPr>
                <w:b/>
                <w:bCs/>
                <w:sz w:val="16"/>
                <w:szCs w:val="16"/>
                <w:lang w:val="nl-NL"/>
              </w:rPr>
              <w:t>Aanbeveling</w:t>
            </w:r>
            <w:r w:rsidRPr="009F19D9" w:rsidR="00F97937">
              <w:rPr>
                <w:b/>
                <w:bCs/>
                <w:sz w:val="16"/>
                <w:szCs w:val="16"/>
                <w:lang w:val="nl-NL"/>
              </w:rPr>
              <w:t xml:space="preserve"> </w:t>
            </w:r>
            <w:r w:rsidR="00DF688D">
              <w:rPr>
                <w:b/>
                <w:bCs/>
                <w:sz w:val="16"/>
                <w:szCs w:val="16"/>
                <w:lang w:val="nl-NL"/>
              </w:rPr>
              <w:t>1</w:t>
            </w:r>
            <w:r w:rsidRPr="00992021">
              <w:rPr>
                <w:sz w:val="16"/>
                <w:szCs w:val="16"/>
                <w:lang w:val="nl-NL"/>
              </w:rPr>
              <w:t>:</w:t>
            </w:r>
            <w:r w:rsidR="0047797A">
              <w:rPr>
                <w:sz w:val="16"/>
                <w:szCs w:val="16"/>
                <w:lang w:val="nl-NL"/>
              </w:rPr>
              <w:t xml:space="preserve"> </w:t>
            </w:r>
            <w:r w:rsidR="00B466AB">
              <w:rPr>
                <w:sz w:val="16"/>
                <w:szCs w:val="16"/>
                <w:lang w:val="nl-NL"/>
              </w:rPr>
              <w:t>o</w:t>
            </w:r>
            <w:r w:rsidRPr="00530208" w:rsidR="0047797A">
              <w:rPr>
                <w:sz w:val="16"/>
                <w:szCs w:val="16"/>
                <w:lang w:val="nl-NL"/>
              </w:rPr>
              <w:t xml:space="preserve">ntwikkel beleidsinstrumenten die ervoor zorgen dat betere rechtsbescherming ook leidt tot </w:t>
            </w:r>
            <w:r w:rsidR="00ED1F05">
              <w:rPr>
                <w:sz w:val="16"/>
                <w:szCs w:val="16"/>
                <w:lang w:val="nl-NL"/>
              </w:rPr>
              <w:t>het</w:t>
            </w:r>
            <w:r w:rsidRPr="00530208" w:rsidR="0047797A">
              <w:rPr>
                <w:sz w:val="16"/>
                <w:szCs w:val="16"/>
                <w:lang w:val="nl-NL"/>
              </w:rPr>
              <w:t xml:space="preserve"> </w:t>
            </w:r>
            <w:r w:rsidRPr="00530208" w:rsidR="0047797A">
              <w:rPr>
                <w:sz w:val="16"/>
                <w:szCs w:val="16"/>
                <w:lang w:val="nl-NL"/>
              </w:rPr>
              <w:lastRenderedPageBreak/>
              <w:t>oploss</w:t>
            </w:r>
            <w:r w:rsidR="00ED1F05">
              <w:rPr>
                <w:sz w:val="16"/>
                <w:szCs w:val="16"/>
                <w:lang w:val="nl-NL"/>
              </w:rPr>
              <w:t>en</w:t>
            </w:r>
            <w:r w:rsidRPr="00530208" w:rsidR="0047797A">
              <w:rPr>
                <w:sz w:val="16"/>
                <w:szCs w:val="16"/>
                <w:lang w:val="nl-NL"/>
              </w:rPr>
              <w:t xml:space="preserve"> van maatschappelijke misstanden.</w:t>
            </w:r>
            <w:r w:rsidRPr="00992021" w:rsidR="0047797A">
              <w:rPr>
                <w:rStyle w:val="Voetnootmarkering"/>
                <w:sz w:val="16"/>
                <w:szCs w:val="16"/>
                <w:lang w:val="nl-NL"/>
              </w:rPr>
              <w:footnoteReference w:id="3"/>
            </w:r>
          </w:p>
        </w:tc>
      </w:tr>
      <w:tr w:rsidRPr="00992021" w:rsidR="00F503F9" w:rsidTr="000C37F1" w14:paraId="489EF9C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112EC0" w:rsidR="00C37077" w:rsidP="009F19D9" w:rsidRDefault="00652DA3" w14:paraId="28258D4D" w14:textId="3815C45D">
            <w:pPr>
              <w:rPr>
                <w:szCs w:val="18"/>
                <w:lang w:val="nl-NL"/>
              </w:rPr>
            </w:pPr>
            <w:r>
              <w:rPr>
                <w:szCs w:val="18"/>
                <w:lang w:val="nl-NL"/>
              </w:rPr>
              <w:lastRenderedPageBreak/>
              <w:t xml:space="preserve">3. </w:t>
            </w:r>
            <w:r w:rsidRPr="00112EC0" w:rsidR="00F503F9">
              <w:rPr>
                <w:szCs w:val="18"/>
                <w:lang w:val="nl-NL"/>
              </w:rPr>
              <w:t>Ingezette beleidsinstrumenten</w:t>
            </w:r>
          </w:p>
          <w:p w:rsidRPr="00992021" w:rsidR="00C37077" w:rsidP="00C37077" w:rsidRDefault="00C37077" w14:paraId="037127B0" w14:textId="77777777">
            <w:pPr>
              <w:rPr>
                <w:szCs w:val="18"/>
                <w:lang w:val="nl-NL"/>
              </w:rPr>
            </w:pPr>
          </w:p>
          <w:p w:rsidRPr="00992021" w:rsidR="00C37077" w:rsidP="00C37077" w:rsidRDefault="00C37077" w14:paraId="1A088E19" w14:textId="77777777">
            <w:pPr>
              <w:rPr>
                <w:szCs w:val="18"/>
                <w:lang w:val="nl-NL"/>
              </w:rPr>
            </w:pPr>
          </w:p>
          <w:p w:rsidRPr="00992021" w:rsidR="00C37077" w:rsidP="00C37077" w:rsidRDefault="00C37077" w14:paraId="17A30472" w14:textId="77777777">
            <w:pPr>
              <w:rPr>
                <w:szCs w:val="18"/>
                <w:lang w:val="nl-NL"/>
              </w:rPr>
            </w:pPr>
          </w:p>
          <w:p w:rsidRPr="00992021" w:rsidR="00C37077" w:rsidP="00C37077" w:rsidRDefault="00C37077" w14:paraId="4A0F558C" w14:textId="77777777">
            <w:pPr>
              <w:rPr>
                <w:szCs w:val="18"/>
                <w:lang w:val="nl-NL"/>
              </w:rPr>
            </w:pPr>
          </w:p>
          <w:p w:rsidRPr="00992021" w:rsidR="00C37077" w:rsidP="00C37077" w:rsidRDefault="00C37077" w14:paraId="5CC5FBF1" w14:textId="77777777">
            <w:pPr>
              <w:rPr>
                <w:szCs w:val="18"/>
                <w:lang w:val="nl-NL"/>
              </w:rPr>
            </w:pPr>
          </w:p>
          <w:p w:rsidRPr="00992021" w:rsidR="00C37077" w:rsidP="00C37077" w:rsidRDefault="00C37077" w14:paraId="09FCBD39" w14:textId="77777777">
            <w:pPr>
              <w:rPr>
                <w:szCs w:val="18"/>
                <w:lang w:val="nl-NL"/>
              </w:rPr>
            </w:pPr>
          </w:p>
          <w:p w:rsidRPr="00992021" w:rsidR="00C37077" w:rsidP="00C37077" w:rsidRDefault="00C37077" w14:paraId="0D65ABD1" w14:textId="77777777">
            <w:pPr>
              <w:rPr>
                <w:szCs w:val="18"/>
                <w:lang w:val="nl-NL"/>
              </w:rPr>
            </w:pPr>
          </w:p>
          <w:p w:rsidRPr="00992021" w:rsidR="00C37077" w:rsidP="00C37077" w:rsidRDefault="00C37077" w14:paraId="2AAE2351" w14:textId="77777777">
            <w:pPr>
              <w:rPr>
                <w:szCs w:val="18"/>
                <w:lang w:val="nl-NL"/>
              </w:rPr>
            </w:pPr>
          </w:p>
          <w:p w:rsidRPr="00992021" w:rsidR="00C37077" w:rsidP="00C37077" w:rsidRDefault="00C37077" w14:paraId="73047E29" w14:textId="107D1C2A">
            <w:pPr>
              <w:rPr>
                <w:szCs w:val="18"/>
                <w:lang w:val="nl-NL"/>
              </w:rPr>
            </w:pPr>
          </w:p>
        </w:tc>
        <w:tc>
          <w:tcPr>
            <w:tcW w:w="0" w:type="auto"/>
          </w:tcPr>
          <w:p w:rsidRPr="00992021" w:rsidR="00F503F9" w:rsidP="000C37F1" w:rsidRDefault="00C37077" w14:paraId="0E68D84B" w14:textId="4FD74EEC">
            <w:pPr>
              <w:cnfStyle w:val="000000100000" w:firstRow="0" w:lastRow="0" w:firstColumn="0" w:lastColumn="0" w:oddVBand="0" w:evenVBand="0" w:oddHBand="1" w:evenHBand="0" w:firstRowFirstColumn="0" w:firstRowLastColumn="0" w:lastRowFirstColumn="0" w:lastRowLastColumn="0"/>
              <w:rPr>
                <w:szCs w:val="18"/>
                <w:lang w:val="nl-NL"/>
              </w:rPr>
            </w:pPr>
            <w:r w:rsidRPr="00992021">
              <w:rPr>
                <w:noProof/>
                <w:szCs w:val="18"/>
                <w:lang w:eastAsia="nl-NL"/>
              </w:rPr>
              <w:drawing>
                <wp:inline distT="0" distB="0" distL="0" distR="0" wp14:anchorId="11FBA10F" wp14:editId="7D5E7072">
                  <wp:extent cx="152400" cy="1524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1"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992021" w:rsidR="00685090" w:rsidP="00685090" w:rsidRDefault="00685090" w14:paraId="6CCCAA05" w14:textId="30E4D631">
            <w:pPr>
              <w:cnfStyle w:val="000000100000" w:firstRow="0" w:lastRow="0" w:firstColumn="0" w:lastColumn="0" w:oddVBand="0" w:evenVBand="0" w:oddHBand="1" w:evenHBand="0" w:firstRowFirstColumn="0" w:firstRowLastColumn="0" w:lastRowFirstColumn="0" w:lastRowLastColumn="0"/>
              <w:rPr>
                <w:lang w:val="nl-NL"/>
              </w:rPr>
            </w:pPr>
            <w:r w:rsidRPr="00992021">
              <w:rPr>
                <w:sz w:val="16"/>
                <w:szCs w:val="16"/>
                <w:lang w:val="nl-NL"/>
              </w:rPr>
              <w:t xml:space="preserve">De bescherming van klokkenluiders vindt vooral plaats door het vormgeven van een procedure waarbij misstanden op zorgvuldige </w:t>
            </w:r>
            <w:r w:rsidRPr="00992021" w:rsidR="005A55C0">
              <w:rPr>
                <w:sz w:val="16"/>
                <w:szCs w:val="16"/>
                <w:lang w:val="nl-NL"/>
              </w:rPr>
              <w:t xml:space="preserve">wijze </w:t>
            </w:r>
            <w:r w:rsidRPr="00992021">
              <w:rPr>
                <w:sz w:val="16"/>
                <w:szCs w:val="16"/>
                <w:lang w:val="nl-NL"/>
              </w:rPr>
              <w:t>gemeld (en onderzocht) kunnen worden, zonder benadeling van de klokkenluider. Concreet gaat het in de 2</w:t>
            </w:r>
            <w:r w:rsidRPr="00992021">
              <w:rPr>
                <w:sz w:val="16"/>
                <w:szCs w:val="16"/>
                <w:vertAlign w:val="superscript"/>
                <w:lang w:val="nl-NL"/>
              </w:rPr>
              <w:t>e</w:t>
            </w:r>
            <w:r w:rsidRPr="00992021">
              <w:rPr>
                <w:sz w:val="16"/>
                <w:szCs w:val="16"/>
                <w:lang w:val="nl-NL"/>
              </w:rPr>
              <w:t xml:space="preserve"> </w:t>
            </w:r>
            <w:proofErr w:type="spellStart"/>
            <w:r w:rsidRPr="00992021">
              <w:rPr>
                <w:sz w:val="16"/>
                <w:szCs w:val="16"/>
                <w:lang w:val="nl-NL"/>
              </w:rPr>
              <w:t>NvW</w:t>
            </w:r>
            <w:proofErr w:type="spellEnd"/>
            <w:r w:rsidRPr="00992021">
              <w:rPr>
                <w:sz w:val="16"/>
                <w:szCs w:val="16"/>
                <w:lang w:val="nl-NL"/>
              </w:rPr>
              <w:t xml:space="preserve"> om de inzet van de volgende </w:t>
            </w:r>
            <w:r w:rsidRPr="00992021">
              <w:rPr>
                <w:i/>
                <w:sz w:val="16"/>
                <w:szCs w:val="16"/>
                <w:lang w:val="nl-NL"/>
              </w:rPr>
              <w:t>juridische</w:t>
            </w:r>
            <w:r w:rsidRPr="00992021">
              <w:rPr>
                <w:sz w:val="16"/>
                <w:szCs w:val="16"/>
                <w:lang w:val="nl-NL"/>
              </w:rPr>
              <w:t xml:space="preserve"> instrumenten</w:t>
            </w:r>
            <w:r w:rsidRPr="00992021">
              <w:rPr>
                <w:lang w:val="nl-NL"/>
              </w:rPr>
              <w:t>:</w:t>
            </w:r>
          </w:p>
          <w:p w:rsidRPr="00992021" w:rsidR="003600A2" w:rsidP="00685090" w:rsidRDefault="003600A2" w14:paraId="38C231A4" w14:textId="7FEE1C9D">
            <w:pPr>
              <w:pStyle w:val="Lijstopsomteken"/>
              <w:numPr>
                <w:ilvl w:val="0"/>
                <w:numId w:val="30"/>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Opnemen integrale definitie misstand</w:t>
            </w:r>
            <w:r w:rsidRPr="00992021" w:rsidR="004B2766">
              <w:rPr>
                <w:sz w:val="16"/>
                <w:szCs w:val="16"/>
                <w:lang w:val="nl-NL"/>
              </w:rPr>
              <w:t xml:space="preserve"> (‘maatschappelijk belang’ blijft onderdeel van de definitie)</w:t>
            </w:r>
            <w:r w:rsidRPr="00992021" w:rsidR="00580DDC">
              <w:rPr>
                <w:sz w:val="16"/>
                <w:szCs w:val="16"/>
                <w:lang w:val="nl-NL"/>
              </w:rPr>
              <w:t>;</w:t>
            </w:r>
          </w:p>
          <w:p w:rsidRPr="00992021" w:rsidR="003600A2" w:rsidP="000C37F1" w:rsidRDefault="003600A2" w14:paraId="5599D6D3" w14:textId="46DBBBB6">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Verduidelijking van wat onder benadeling wordt verstaan;</w:t>
            </w:r>
          </w:p>
          <w:p w:rsidRPr="00992021" w:rsidR="003600A2" w:rsidP="000C37F1" w:rsidRDefault="003600A2" w14:paraId="78E2825E" w14:textId="0567F4B2">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Opsplitsing van benadelingsverbod zodat inzichtelijker wordt onder welke voorwaarden openbaarmaking van misstanden wordt beschermd;</w:t>
            </w:r>
          </w:p>
          <w:p w:rsidRPr="00992021" w:rsidR="003600A2" w:rsidP="000C37F1" w:rsidRDefault="003600A2" w14:paraId="5A8DF608" w14:textId="6535C1CB">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Beschermingsmaatregelen ook van toepassing op interne onderzoekers van misstanden; </w:t>
            </w:r>
          </w:p>
          <w:p w:rsidRPr="00992021" w:rsidR="003600A2" w:rsidP="000C37F1" w:rsidRDefault="003600A2" w14:paraId="7F97F9EF" w14:textId="580BF4C3">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Zwijgbeding niet nietig als zwijgbeding ziet op andere belangen dan beschermd met Wet bescherming klokkenluiders</w:t>
            </w:r>
            <w:r w:rsidRPr="00992021" w:rsidR="00BD0FD1">
              <w:rPr>
                <w:sz w:val="16"/>
                <w:szCs w:val="16"/>
                <w:lang w:val="nl-NL"/>
              </w:rPr>
              <w:t>;</w:t>
            </w:r>
          </w:p>
          <w:p w:rsidRPr="00992021" w:rsidR="003600A2" w:rsidP="000C37F1" w:rsidRDefault="003600A2" w14:paraId="613400AB" w14:textId="1C27C4FE">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Wettelijke verankering kennis- en preventietaak van Huis voor Klokkenluiders (</w:t>
            </w:r>
            <w:proofErr w:type="spellStart"/>
            <w:r w:rsidRPr="00992021">
              <w:rPr>
                <w:sz w:val="16"/>
                <w:szCs w:val="16"/>
                <w:lang w:val="nl-NL"/>
              </w:rPr>
              <w:t>HvK</w:t>
            </w:r>
            <w:proofErr w:type="spellEnd"/>
            <w:r w:rsidRPr="00992021">
              <w:rPr>
                <w:sz w:val="16"/>
                <w:szCs w:val="16"/>
                <w:lang w:val="nl-NL"/>
              </w:rPr>
              <w:t>);</w:t>
            </w:r>
          </w:p>
          <w:p w:rsidRPr="00992021" w:rsidR="003600A2" w:rsidP="000C37F1" w:rsidRDefault="00580DDC" w14:paraId="3CBD17AB" w14:textId="3E63BB56">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Instemmingsvereiste van personeel(</w:t>
            </w:r>
            <w:proofErr w:type="spellStart"/>
            <w:r w:rsidRPr="00992021">
              <w:rPr>
                <w:sz w:val="16"/>
                <w:szCs w:val="16"/>
                <w:lang w:val="nl-NL"/>
              </w:rPr>
              <w:t>svereniging</w:t>
            </w:r>
            <w:proofErr w:type="spellEnd"/>
            <w:r w:rsidRPr="00992021">
              <w:rPr>
                <w:sz w:val="16"/>
                <w:szCs w:val="16"/>
                <w:lang w:val="nl-NL"/>
              </w:rPr>
              <w:t>) bij vaststelling interne meldprocedure als er geen OR is</w:t>
            </w:r>
            <w:r w:rsidRPr="00992021" w:rsidR="005A55C0">
              <w:rPr>
                <w:sz w:val="16"/>
                <w:szCs w:val="16"/>
                <w:lang w:val="nl-NL"/>
              </w:rPr>
              <w:t>.</w:t>
            </w:r>
          </w:p>
          <w:p w:rsidRPr="00992021" w:rsidR="00832C2B" w:rsidP="00BD0FD1" w:rsidRDefault="00832C2B" w14:paraId="312204B9" w14:textId="5DCCC8B2">
            <w:p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De keuze voor dit instrumentarium wordt verantwoord</w:t>
            </w:r>
            <w:r w:rsidR="001F668D">
              <w:rPr>
                <w:sz w:val="16"/>
                <w:szCs w:val="16"/>
                <w:lang w:val="nl-NL"/>
              </w:rPr>
              <w:t xml:space="preserve"> (</w:t>
            </w:r>
            <w:r w:rsidRPr="00992021">
              <w:rPr>
                <w:sz w:val="16"/>
                <w:szCs w:val="16"/>
                <w:lang w:val="nl-NL"/>
              </w:rPr>
              <w:t>2</w:t>
            </w:r>
            <w:r w:rsidRPr="00992021">
              <w:rPr>
                <w:sz w:val="16"/>
                <w:szCs w:val="16"/>
                <w:vertAlign w:val="superscript"/>
                <w:lang w:val="nl-NL"/>
              </w:rPr>
              <w:t>e</w:t>
            </w:r>
            <w:r w:rsidRPr="00992021">
              <w:rPr>
                <w:sz w:val="16"/>
                <w:szCs w:val="16"/>
                <w:lang w:val="nl-NL"/>
              </w:rPr>
              <w:t xml:space="preserve"> </w:t>
            </w:r>
            <w:proofErr w:type="spellStart"/>
            <w:r w:rsidRPr="00992021">
              <w:rPr>
                <w:sz w:val="16"/>
                <w:szCs w:val="16"/>
                <w:lang w:val="nl-NL"/>
              </w:rPr>
              <w:t>NvW</w:t>
            </w:r>
            <w:proofErr w:type="spellEnd"/>
            <w:r w:rsidRPr="00992021" w:rsidR="00E47EBF">
              <w:rPr>
                <w:sz w:val="16"/>
                <w:szCs w:val="16"/>
                <w:lang w:val="nl-NL"/>
              </w:rPr>
              <w:t>,</w:t>
            </w:r>
            <w:r w:rsidRPr="00992021">
              <w:rPr>
                <w:sz w:val="16"/>
                <w:szCs w:val="16"/>
                <w:lang w:val="nl-NL"/>
              </w:rPr>
              <w:t xml:space="preserve"> p.6-7</w:t>
            </w:r>
            <w:r w:rsidR="001F668D">
              <w:rPr>
                <w:sz w:val="16"/>
                <w:szCs w:val="16"/>
                <w:lang w:val="nl-NL"/>
              </w:rPr>
              <w:t>).</w:t>
            </w:r>
            <w:r w:rsidRPr="00992021">
              <w:rPr>
                <w:sz w:val="16"/>
                <w:szCs w:val="16"/>
                <w:lang w:val="nl-NL"/>
              </w:rPr>
              <w:t xml:space="preserve"> </w:t>
            </w:r>
          </w:p>
          <w:p w:rsidRPr="00992021" w:rsidR="003600A2" w:rsidP="005877EC" w:rsidRDefault="003600A2" w14:paraId="623B130C" w14:textId="60AD5E18">
            <w:pPr>
              <w:pStyle w:val="Lijstalinea"/>
              <w:ind w:left="360"/>
              <w:cnfStyle w:val="000000100000" w:firstRow="0" w:lastRow="0" w:firstColumn="0" w:lastColumn="0" w:oddVBand="0" w:evenVBand="0" w:oddHBand="1" w:evenHBand="0" w:firstRowFirstColumn="0" w:firstRowLastColumn="0" w:lastRowFirstColumn="0" w:lastRowLastColumn="0"/>
              <w:rPr>
                <w:sz w:val="16"/>
                <w:szCs w:val="16"/>
                <w:lang w:val="nl-NL"/>
              </w:rPr>
            </w:pPr>
          </w:p>
          <w:p w:rsidRPr="00992021" w:rsidR="005877EC" w:rsidP="00D5485D" w:rsidRDefault="00580DDC" w14:paraId="396B19B4" w14:textId="27BEFEDE">
            <w:p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Uit de kabinetsbrief </w:t>
            </w:r>
            <w:r w:rsidRPr="00992021" w:rsidR="00832C2B">
              <w:rPr>
                <w:sz w:val="16"/>
                <w:szCs w:val="16"/>
                <w:lang w:val="nl-NL"/>
              </w:rPr>
              <w:t xml:space="preserve">blijkt ook inzet </w:t>
            </w:r>
            <w:r w:rsidRPr="00992021">
              <w:rPr>
                <w:sz w:val="16"/>
                <w:szCs w:val="16"/>
                <w:lang w:val="nl-NL"/>
              </w:rPr>
              <w:t>van</w:t>
            </w:r>
            <w:r w:rsidRPr="00992021" w:rsidR="005877EC">
              <w:rPr>
                <w:sz w:val="16"/>
                <w:szCs w:val="16"/>
                <w:lang w:val="nl-NL"/>
              </w:rPr>
              <w:t xml:space="preserve"> twee </w:t>
            </w:r>
            <w:r w:rsidRPr="00992021" w:rsidR="005877EC">
              <w:rPr>
                <w:i/>
                <w:sz w:val="16"/>
                <w:szCs w:val="16"/>
                <w:lang w:val="nl-NL"/>
              </w:rPr>
              <w:t>beleids</w:t>
            </w:r>
            <w:r w:rsidRPr="00992021" w:rsidR="005877EC">
              <w:rPr>
                <w:sz w:val="16"/>
                <w:szCs w:val="16"/>
                <w:lang w:val="nl-NL"/>
              </w:rPr>
              <w:t>voornemens, namelijk:</w:t>
            </w:r>
          </w:p>
          <w:p w:rsidRPr="00992021" w:rsidR="005877EC" w:rsidP="00F503F9" w:rsidRDefault="00580DDC" w14:paraId="5D5F7747" w14:textId="1F1F31CF">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Start pilot psychosociale ondersteuning voor alle klokkenluiders in september </w:t>
            </w:r>
            <w:r w:rsidRPr="00992021" w:rsidR="00832C2B">
              <w:rPr>
                <w:sz w:val="16"/>
                <w:szCs w:val="16"/>
                <w:lang w:val="nl-NL"/>
              </w:rPr>
              <w:t xml:space="preserve">2022 </w:t>
            </w:r>
            <w:r w:rsidRPr="00992021">
              <w:rPr>
                <w:sz w:val="16"/>
                <w:szCs w:val="16"/>
                <w:lang w:val="nl-NL"/>
              </w:rPr>
              <w:t>en voornemen pilot juridische ondersteuning voor alle klokkenluiders</w:t>
            </w:r>
            <w:r w:rsidRPr="00992021" w:rsidR="00BD0FD1">
              <w:rPr>
                <w:sz w:val="16"/>
                <w:szCs w:val="16"/>
                <w:lang w:val="nl-NL"/>
              </w:rPr>
              <w:t xml:space="preserve"> in 2023</w:t>
            </w:r>
            <w:r w:rsidRPr="00992021">
              <w:rPr>
                <w:sz w:val="16"/>
                <w:szCs w:val="16"/>
                <w:lang w:val="nl-NL"/>
              </w:rPr>
              <w:t xml:space="preserve"> (er loopt al vergelijkbar</w:t>
            </w:r>
            <w:r w:rsidRPr="00992021" w:rsidR="00BD0FD1">
              <w:rPr>
                <w:sz w:val="16"/>
                <w:szCs w:val="16"/>
                <w:lang w:val="nl-NL"/>
              </w:rPr>
              <w:t>e pilot bij sector Rijk)</w:t>
            </w:r>
            <w:r w:rsidRPr="00992021">
              <w:rPr>
                <w:sz w:val="16"/>
                <w:szCs w:val="16"/>
                <w:lang w:val="nl-NL"/>
              </w:rPr>
              <w:t>;</w:t>
            </w:r>
          </w:p>
          <w:p w:rsidRPr="00992021" w:rsidR="00580DDC" w:rsidP="00F503F9" w:rsidRDefault="00580DDC" w14:paraId="47C194D0" w14:textId="3AB2404C">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Start campagne veilig werk- en meldklimaat in september 2022.</w:t>
            </w:r>
          </w:p>
          <w:p w:rsidRPr="00992021" w:rsidR="00832C2B" w:rsidP="00BD0FD1" w:rsidRDefault="00832C2B" w14:paraId="63597820" w14:textId="53B06C4D">
            <w:p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De keuze voor dit instrumentarium </w:t>
            </w:r>
            <w:r w:rsidRPr="00992021" w:rsidR="0095235B">
              <w:rPr>
                <w:sz w:val="16"/>
                <w:szCs w:val="16"/>
                <w:lang w:val="nl-NL"/>
              </w:rPr>
              <w:t>wordt</w:t>
            </w:r>
            <w:r w:rsidRPr="00992021">
              <w:rPr>
                <w:sz w:val="16"/>
                <w:szCs w:val="16"/>
                <w:lang w:val="nl-NL"/>
              </w:rPr>
              <w:t xml:space="preserve"> verantwoord</w:t>
            </w:r>
            <w:r w:rsidRPr="00992021" w:rsidR="001814D0">
              <w:rPr>
                <w:sz w:val="16"/>
                <w:szCs w:val="16"/>
                <w:lang w:val="nl-NL"/>
              </w:rPr>
              <w:t xml:space="preserve"> </w:t>
            </w:r>
            <w:r w:rsidRPr="00992021" w:rsidR="0095235B">
              <w:rPr>
                <w:sz w:val="16"/>
                <w:szCs w:val="16"/>
                <w:lang w:val="nl-NL"/>
              </w:rPr>
              <w:t xml:space="preserve">op </w:t>
            </w:r>
            <w:r w:rsidRPr="00992021" w:rsidR="005A55C0">
              <w:rPr>
                <w:sz w:val="16"/>
                <w:szCs w:val="16"/>
                <w:lang w:val="nl-NL"/>
              </w:rPr>
              <w:t>p.</w:t>
            </w:r>
            <w:r w:rsidRPr="00992021">
              <w:rPr>
                <w:sz w:val="16"/>
                <w:szCs w:val="16"/>
                <w:lang w:val="nl-NL"/>
              </w:rPr>
              <w:t xml:space="preserve">26-29 </w:t>
            </w:r>
            <w:r w:rsidRPr="00992021" w:rsidR="00E47EBF">
              <w:rPr>
                <w:sz w:val="16"/>
                <w:szCs w:val="16"/>
                <w:lang w:val="nl-NL"/>
              </w:rPr>
              <w:t xml:space="preserve">van de </w:t>
            </w:r>
            <w:r w:rsidRPr="00992021">
              <w:rPr>
                <w:sz w:val="16"/>
                <w:szCs w:val="16"/>
                <w:lang w:val="nl-NL"/>
              </w:rPr>
              <w:t xml:space="preserve">kabinetsbrief. </w:t>
            </w:r>
          </w:p>
          <w:p w:rsidRPr="00992021" w:rsidR="00F503F9" w:rsidP="00827F1E" w:rsidRDefault="00F503F9" w14:paraId="5E39A1C2" w14:textId="7F996574">
            <w:pPr>
              <w:pStyle w:val="Lijstalinea"/>
              <w:ind w:left="360"/>
              <w:cnfStyle w:val="000000100000" w:firstRow="0" w:lastRow="0" w:firstColumn="0" w:lastColumn="0" w:oddVBand="0" w:evenVBand="0" w:oddHBand="1" w:evenHBand="0" w:firstRowFirstColumn="0" w:firstRowLastColumn="0" w:lastRowFirstColumn="0" w:lastRowLastColumn="0"/>
              <w:rPr>
                <w:sz w:val="16"/>
                <w:szCs w:val="16"/>
                <w:lang w:val="nl-NL"/>
              </w:rPr>
            </w:pPr>
          </w:p>
        </w:tc>
        <w:tc>
          <w:tcPr>
            <w:tcW w:w="3545" w:type="dxa"/>
          </w:tcPr>
          <w:p w:rsidR="00DF688D" w:rsidRDefault="00DF688D" w14:paraId="00F876A1" w14:textId="248B6FB5">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 xml:space="preserve">Bij de keuze van </w:t>
            </w:r>
            <w:r w:rsidRPr="009F19D9" w:rsidR="00D67AEA">
              <w:rPr>
                <w:sz w:val="16"/>
                <w:szCs w:val="16"/>
                <w:lang w:val="nl-NL"/>
              </w:rPr>
              <w:t>juridische</w:t>
            </w:r>
            <w:r>
              <w:rPr>
                <w:sz w:val="16"/>
                <w:szCs w:val="16"/>
                <w:lang w:val="nl-NL"/>
              </w:rPr>
              <w:t xml:space="preserve"> </w:t>
            </w:r>
            <w:r w:rsidRPr="009F19D9" w:rsidR="00D67AEA">
              <w:rPr>
                <w:sz w:val="16"/>
                <w:szCs w:val="16"/>
                <w:lang w:val="nl-NL"/>
              </w:rPr>
              <w:t>instrumente</w:t>
            </w:r>
            <w:r>
              <w:rPr>
                <w:sz w:val="16"/>
                <w:szCs w:val="16"/>
                <w:lang w:val="nl-NL"/>
              </w:rPr>
              <w:t xml:space="preserve">n is vooral gekeken naar de EU-richtlijn, maar het is niet duidelijk in hoeverre deze instrumenten een oplossing </w:t>
            </w:r>
            <w:r w:rsidR="00112EC0">
              <w:rPr>
                <w:sz w:val="16"/>
                <w:szCs w:val="16"/>
                <w:lang w:val="nl-NL"/>
              </w:rPr>
              <w:t>bieden</w:t>
            </w:r>
            <w:r>
              <w:rPr>
                <w:sz w:val="16"/>
                <w:szCs w:val="16"/>
                <w:lang w:val="nl-NL"/>
              </w:rPr>
              <w:t xml:space="preserve"> voor de eerder geconstateerde problemen bij de bescherming van klokkenluiders in ons land (Zie o.a. </w:t>
            </w:r>
            <w:r w:rsidR="00B83C25">
              <w:fldChar w:fldCharType="begin"/>
            </w:r>
            <w:r w:rsidRPr="00872681" w:rsidR="00B83C25">
              <w:rPr>
                <w:lang w:val="nl-NL"/>
              </w:rPr>
              <w:instrText xml:space="preserve"> HYPERLINK "https://www.rijksoverheid.nl/documenten/rapporten/2020/06/30/rapport-evaluatie-wet-huis-voor-klokkenluiders" </w:instrText>
            </w:r>
            <w:r w:rsidR="00B83C25">
              <w:fldChar w:fldCharType="separate"/>
            </w:r>
            <w:r w:rsidRPr="00DD336A">
              <w:rPr>
                <w:rStyle w:val="Hyperlink"/>
                <w:sz w:val="16"/>
                <w:szCs w:val="16"/>
                <w:lang w:val="nl-NL"/>
              </w:rPr>
              <w:t>Evaluatie Wet Huis voor klokkenluiders</w:t>
            </w:r>
            <w:r w:rsidR="00B83C25">
              <w:rPr>
                <w:rStyle w:val="Hyperlink"/>
                <w:sz w:val="16"/>
                <w:szCs w:val="16"/>
              </w:rPr>
              <w:fldChar w:fldCharType="end"/>
            </w:r>
            <w:r>
              <w:rPr>
                <w:sz w:val="16"/>
                <w:szCs w:val="16"/>
                <w:lang w:val="nl-NL"/>
              </w:rPr>
              <w:t xml:space="preserve">; </w:t>
            </w:r>
            <w:r w:rsidR="00B83C25">
              <w:fldChar w:fldCharType="begin"/>
            </w:r>
            <w:r w:rsidRPr="00872681" w:rsidR="00B83C25">
              <w:rPr>
                <w:lang w:val="nl-NL"/>
              </w:rPr>
              <w:instrText xml:space="preserve"> HYPERLINK "https://www.huisvoorklokkenluiders.nl/Publicaties/publicaties/2017/12/14/advies-voor-een-herstart-voor-het-huis-voor-klokkenluiders---rapport-ruys" </w:instrText>
            </w:r>
            <w:r w:rsidR="00B83C25">
              <w:fldChar w:fldCharType="separate"/>
            </w:r>
            <w:r w:rsidRPr="00DD336A">
              <w:rPr>
                <w:rStyle w:val="Hyperlink"/>
                <w:sz w:val="16"/>
                <w:szCs w:val="16"/>
                <w:lang w:val="nl-NL"/>
              </w:rPr>
              <w:t>Advies Ruys</w:t>
            </w:r>
            <w:r w:rsidR="00B83C25">
              <w:rPr>
                <w:rStyle w:val="Hyperlink"/>
                <w:sz w:val="16"/>
                <w:szCs w:val="16"/>
              </w:rPr>
              <w:fldChar w:fldCharType="end"/>
            </w:r>
            <w:r>
              <w:rPr>
                <w:sz w:val="16"/>
                <w:szCs w:val="16"/>
                <w:lang w:val="nl-NL"/>
              </w:rPr>
              <w:t xml:space="preserve">; </w:t>
            </w:r>
            <w:r w:rsidR="00B83C25">
              <w:fldChar w:fldCharType="begin"/>
            </w:r>
            <w:r w:rsidRPr="00872681" w:rsidR="00B83C25">
              <w:rPr>
                <w:lang w:val="nl-NL"/>
              </w:rPr>
              <w:instrText xml:space="preserve"> HYPERLINK "https://www.huisvoorklokkenluiders.nl/Publicaties/kamerstukken/2019/</w:instrText>
            </w:r>
            <w:r w:rsidRPr="00872681" w:rsidR="00B83C25">
              <w:rPr>
                <w:lang w:val="nl-NL"/>
              </w:rPr>
              <w:instrText xml:space="preserve">11/11/advies-nationale-ombudsman-van-zutphen-aan-minister-van-bzk-over-huis-voor-klokkenluiders" </w:instrText>
            </w:r>
            <w:r w:rsidR="00B83C25">
              <w:fldChar w:fldCharType="separate"/>
            </w:r>
            <w:r w:rsidRPr="00DD336A">
              <w:rPr>
                <w:rStyle w:val="Hyperlink"/>
                <w:sz w:val="16"/>
                <w:szCs w:val="16"/>
                <w:lang w:val="nl-NL"/>
              </w:rPr>
              <w:t>Advies Van Zutphen</w:t>
            </w:r>
            <w:r w:rsidR="00B83C25">
              <w:rPr>
                <w:rStyle w:val="Hyperlink"/>
                <w:sz w:val="16"/>
                <w:szCs w:val="16"/>
              </w:rPr>
              <w:fldChar w:fldCharType="end"/>
            </w:r>
            <w:r>
              <w:rPr>
                <w:sz w:val="16"/>
                <w:szCs w:val="16"/>
                <w:lang w:val="nl-NL"/>
              </w:rPr>
              <w:t xml:space="preserve">). </w:t>
            </w:r>
          </w:p>
          <w:p w:rsidRPr="00992021" w:rsidR="00CD066F" w:rsidRDefault="00CD066F" w14:paraId="2AA12CF8" w14:textId="40E52B34">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E23BA1" w:rsidR="00DF688D" w:rsidP="009F19D9" w:rsidRDefault="00A93384" w14:paraId="2F44D5F6" w14:textId="764BB75E">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b/>
                <w:bCs/>
                <w:sz w:val="16"/>
                <w:szCs w:val="16"/>
                <w:lang w:val="nl-NL"/>
              </w:rPr>
              <w:t>Vraag</w:t>
            </w:r>
            <w:r w:rsidR="00316A98">
              <w:rPr>
                <w:b/>
                <w:bCs/>
                <w:sz w:val="16"/>
                <w:szCs w:val="16"/>
                <w:lang w:val="nl-NL"/>
              </w:rPr>
              <w:t xml:space="preserve"> 2</w:t>
            </w:r>
            <w:r w:rsidRPr="00992021">
              <w:rPr>
                <w:sz w:val="16"/>
                <w:szCs w:val="16"/>
                <w:lang w:val="nl-NL"/>
              </w:rPr>
              <w:t>: hoe is bij de keuze van beleidsinstrumenten lering getrokken uit eerdere ervaringen met bescherming klokkenluiders?</w:t>
            </w:r>
          </w:p>
          <w:p w:rsidRPr="009F19D9" w:rsidR="00DF688D" w:rsidP="00E23BA1" w:rsidRDefault="00DF688D" w14:paraId="372194D9"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00DF688D" w:rsidP="00705291" w:rsidRDefault="00ED1F05" w14:paraId="6015B121" w14:textId="2469575A">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O</w:t>
            </w:r>
            <w:r w:rsidR="00DF688D">
              <w:rPr>
                <w:sz w:val="16"/>
                <w:szCs w:val="16"/>
                <w:lang w:val="nl-NL"/>
              </w:rPr>
              <w:t xml:space="preserve">m de toegankelijkheid van de wet te vergroten is o.m. gekozen voor </w:t>
            </w:r>
            <w:r>
              <w:rPr>
                <w:sz w:val="16"/>
                <w:szCs w:val="16"/>
                <w:lang w:val="nl-NL"/>
              </w:rPr>
              <w:t xml:space="preserve">een </w:t>
            </w:r>
            <w:r w:rsidR="00DF688D">
              <w:rPr>
                <w:sz w:val="16"/>
                <w:szCs w:val="16"/>
                <w:lang w:val="nl-NL"/>
              </w:rPr>
              <w:t xml:space="preserve">integrale definitie </w:t>
            </w:r>
            <w:r>
              <w:rPr>
                <w:sz w:val="16"/>
                <w:szCs w:val="16"/>
                <w:lang w:val="nl-NL"/>
              </w:rPr>
              <w:t xml:space="preserve">van </w:t>
            </w:r>
            <w:r w:rsidR="00DF688D">
              <w:rPr>
                <w:sz w:val="16"/>
                <w:szCs w:val="16"/>
                <w:lang w:val="nl-NL"/>
              </w:rPr>
              <w:t xml:space="preserve">‘misstand’. Uit onderzoek blijkt dat ook </w:t>
            </w:r>
            <w:r>
              <w:rPr>
                <w:sz w:val="16"/>
                <w:szCs w:val="16"/>
                <w:lang w:val="nl-NL"/>
              </w:rPr>
              <w:t xml:space="preserve">de </w:t>
            </w:r>
            <w:r w:rsidR="00DF688D">
              <w:rPr>
                <w:sz w:val="16"/>
                <w:szCs w:val="16"/>
                <w:lang w:val="nl-NL"/>
              </w:rPr>
              <w:t xml:space="preserve">definitie </w:t>
            </w:r>
            <w:r>
              <w:rPr>
                <w:sz w:val="16"/>
                <w:szCs w:val="16"/>
                <w:lang w:val="nl-NL"/>
              </w:rPr>
              <w:t xml:space="preserve">van </w:t>
            </w:r>
            <w:r w:rsidR="00DF688D">
              <w:rPr>
                <w:sz w:val="16"/>
                <w:szCs w:val="16"/>
                <w:lang w:val="nl-NL"/>
              </w:rPr>
              <w:t xml:space="preserve">‘maatschappelijk belang’ leidt tot onduidelijkheid (Zie Evaluatie Wet Huis voor klokkenluiders, blz. 43). Deze voorwaarde blijft echter gehandhaafd (met aanvullende toelichting). Het is de vraag of </w:t>
            </w:r>
            <w:r w:rsidR="00E1437A">
              <w:rPr>
                <w:sz w:val="16"/>
                <w:szCs w:val="16"/>
                <w:lang w:val="nl-NL"/>
              </w:rPr>
              <w:t xml:space="preserve">de </w:t>
            </w:r>
            <w:r w:rsidR="00DF688D">
              <w:rPr>
                <w:sz w:val="16"/>
                <w:szCs w:val="16"/>
                <w:lang w:val="nl-NL"/>
              </w:rPr>
              <w:t>toegankelijkheid hiermee voldoende is gewaarborgd.</w:t>
            </w:r>
            <w:r w:rsidR="006D284C">
              <w:rPr>
                <w:sz w:val="16"/>
                <w:szCs w:val="16"/>
                <w:lang w:val="nl-NL"/>
              </w:rPr>
              <w:t xml:space="preserve"> Potentiële melders kunnen hierdoor mogelijk </w:t>
            </w:r>
            <w:r>
              <w:rPr>
                <w:sz w:val="16"/>
                <w:szCs w:val="16"/>
                <w:lang w:val="nl-NL"/>
              </w:rPr>
              <w:t>afzien</w:t>
            </w:r>
            <w:r w:rsidR="006D284C">
              <w:rPr>
                <w:sz w:val="16"/>
                <w:szCs w:val="16"/>
                <w:lang w:val="nl-NL"/>
              </w:rPr>
              <w:t xml:space="preserve"> </w:t>
            </w:r>
            <w:r>
              <w:rPr>
                <w:sz w:val="16"/>
                <w:szCs w:val="16"/>
                <w:lang w:val="nl-NL"/>
              </w:rPr>
              <w:t xml:space="preserve">van </w:t>
            </w:r>
            <w:r w:rsidR="006D284C">
              <w:rPr>
                <w:sz w:val="16"/>
                <w:szCs w:val="16"/>
                <w:lang w:val="nl-NL"/>
              </w:rPr>
              <w:t>melding (vgl. Overweging 89 EU</w:t>
            </w:r>
            <w:r w:rsidR="00E1437A">
              <w:rPr>
                <w:sz w:val="16"/>
                <w:szCs w:val="16"/>
                <w:lang w:val="nl-NL"/>
              </w:rPr>
              <w:t>-</w:t>
            </w:r>
            <w:r w:rsidR="00913AFB">
              <w:rPr>
                <w:sz w:val="16"/>
                <w:szCs w:val="16"/>
                <w:lang w:val="nl-NL"/>
              </w:rPr>
              <w:t>r</w:t>
            </w:r>
            <w:r w:rsidR="006D284C">
              <w:rPr>
                <w:sz w:val="16"/>
                <w:szCs w:val="16"/>
                <w:lang w:val="nl-NL"/>
              </w:rPr>
              <w:t>ichtlijn).</w:t>
            </w:r>
          </w:p>
          <w:p w:rsidR="00DF688D" w:rsidP="00705291" w:rsidRDefault="00DF688D" w14:paraId="245FBD5E" w14:textId="7B0DF9F6">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6D29C1" w:rsidR="00DF688D" w:rsidP="006D29C1" w:rsidRDefault="00DF688D" w14:paraId="623B59C3" w14:textId="6C902DFE">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6D29C1">
              <w:rPr>
                <w:b/>
                <w:bCs/>
                <w:sz w:val="16"/>
                <w:szCs w:val="16"/>
                <w:lang w:val="nl-NL"/>
              </w:rPr>
              <w:t>Aanbeveling 2</w:t>
            </w:r>
            <w:r w:rsidRPr="006D29C1">
              <w:rPr>
                <w:sz w:val="16"/>
                <w:szCs w:val="16"/>
                <w:lang w:val="nl-NL"/>
              </w:rPr>
              <w:t xml:space="preserve">: </w:t>
            </w:r>
            <w:r w:rsidRPr="006D29C1" w:rsidR="00B466AB">
              <w:rPr>
                <w:sz w:val="16"/>
                <w:szCs w:val="16"/>
                <w:lang w:val="nl-NL"/>
              </w:rPr>
              <w:t>l</w:t>
            </w:r>
            <w:r w:rsidRPr="006D29C1" w:rsidR="0047797A">
              <w:rPr>
                <w:sz w:val="16"/>
                <w:szCs w:val="16"/>
                <w:lang w:val="nl-NL"/>
              </w:rPr>
              <w:t>eg (a.d.h.v. een reeks criteria) wettelijk vast wat wordt verstaan onder ‘maatschappelijk belang’ (</w:t>
            </w:r>
            <w:r w:rsidRPr="006D29C1" w:rsidR="002A43CB">
              <w:rPr>
                <w:sz w:val="16"/>
                <w:szCs w:val="16"/>
                <w:lang w:val="nl-NL"/>
              </w:rPr>
              <w:t>vergelijkbaar met bijv.</w:t>
            </w:r>
            <w:r w:rsidRPr="006D29C1" w:rsidR="0047797A">
              <w:rPr>
                <w:sz w:val="16"/>
                <w:szCs w:val="16"/>
                <w:lang w:val="nl-NL"/>
              </w:rPr>
              <w:t xml:space="preserve"> de ‘public interest test’ in het VK).</w:t>
            </w:r>
            <w:r w:rsidR="0047797A">
              <w:rPr>
                <w:rStyle w:val="Voetnootmarkering"/>
                <w:sz w:val="16"/>
                <w:szCs w:val="16"/>
                <w:lang w:val="nl-NL"/>
              </w:rPr>
              <w:footnoteReference w:id="4"/>
            </w:r>
          </w:p>
          <w:p w:rsidR="00DF688D" w:rsidRDefault="00DF688D" w14:paraId="2B4BA8C3" w14:textId="7BFF4C76">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9F19D9" w:rsidR="003C541B" w:rsidP="009F19D9" w:rsidRDefault="003C541B" w14:paraId="2795ADED" w14:textId="12253AF9">
            <w:pPr>
              <w:cnfStyle w:val="000000100000" w:firstRow="0" w:lastRow="0" w:firstColumn="0" w:lastColumn="0" w:oddVBand="0" w:evenVBand="0" w:oddHBand="1" w:evenHBand="0" w:firstRowFirstColumn="0" w:firstRowLastColumn="0" w:lastRowFirstColumn="0" w:lastRowLastColumn="0"/>
              <w:rPr>
                <w:sz w:val="16"/>
                <w:szCs w:val="16"/>
                <w:lang w:val="nl-NL"/>
              </w:rPr>
            </w:pPr>
            <w:r w:rsidRPr="009F19D9">
              <w:rPr>
                <w:sz w:val="16"/>
                <w:szCs w:val="16"/>
                <w:lang w:val="nl-NL"/>
              </w:rPr>
              <w:t xml:space="preserve">De </w:t>
            </w:r>
            <w:r w:rsidRPr="00992021" w:rsidR="00667450">
              <w:rPr>
                <w:sz w:val="16"/>
                <w:szCs w:val="16"/>
                <w:lang w:val="nl-NL"/>
              </w:rPr>
              <w:t>EU</w:t>
            </w:r>
            <w:r w:rsidRPr="009F19D9">
              <w:rPr>
                <w:sz w:val="16"/>
                <w:szCs w:val="16"/>
                <w:lang w:val="nl-NL"/>
              </w:rPr>
              <w:t>-r</w:t>
            </w:r>
            <w:r w:rsidRPr="00992021" w:rsidR="00667450">
              <w:rPr>
                <w:sz w:val="16"/>
                <w:szCs w:val="16"/>
                <w:lang w:val="nl-NL"/>
              </w:rPr>
              <w:t xml:space="preserve">ichtlijn </w:t>
            </w:r>
            <w:r w:rsidRPr="009F19D9">
              <w:rPr>
                <w:sz w:val="16"/>
                <w:szCs w:val="16"/>
                <w:lang w:val="nl-NL"/>
              </w:rPr>
              <w:t>v</w:t>
            </w:r>
            <w:r w:rsidR="00DF688D">
              <w:rPr>
                <w:sz w:val="16"/>
                <w:szCs w:val="16"/>
                <w:lang w:val="nl-NL"/>
              </w:rPr>
              <w:t>erplicht lidstaten om te zorgen voor</w:t>
            </w:r>
            <w:r w:rsidRPr="00992021" w:rsidR="00667450">
              <w:rPr>
                <w:sz w:val="16"/>
                <w:szCs w:val="16"/>
                <w:lang w:val="nl-NL"/>
              </w:rPr>
              <w:t xml:space="preserve"> ‘</w:t>
            </w:r>
            <w:r w:rsidR="00DF688D">
              <w:rPr>
                <w:sz w:val="16"/>
                <w:szCs w:val="16"/>
                <w:lang w:val="nl-NL"/>
              </w:rPr>
              <w:t xml:space="preserve">doeltreffende, evenredige </w:t>
            </w:r>
            <w:r w:rsidRPr="00992021" w:rsidR="00667450">
              <w:rPr>
                <w:sz w:val="16"/>
                <w:szCs w:val="16"/>
                <w:lang w:val="nl-NL"/>
              </w:rPr>
              <w:t>en afschrikkende sancties’</w:t>
            </w:r>
            <w:r w:rsidR="00DF688D">
              <w:rPr>
                <w:sz w:val="16"/>
                <w:szCs w:val="16"/>
                <w:lang w:val="nl-NL"/>
              </w:rPr>
              <w:t xml:space="preserve"> (Art. 23 EU</w:t>
            </w:r>
            <w:r w:rsidR="00ED1F05">
              <w:rPr>
                <w:sz w:val="16"/>
                <w:szCs w:val="16"/>
                <w:lang w:val="nl-NL"/>
              </w:rPr>
              <w:t>-</w:t>
            </w:r>
            <w:r w:rsidR="00DF688D">
              <w:rPr>
                <w:sz w:val="16"/>
                <w:szCs w:val="16"/>
                <w:lang w:val="nl-NL"/>
              </w:rPr>
              <w:t xml:space="preserve"> Richtlijn)</w:t>
            </w:r>
            <w:r w:rsidRPr="00992021" w:rsidR="00667450">
              <w:rPr>
                <w:sz w:val="16"/>
                <w:szCs w:val="16"/>
                <w:lang w:val="nl-NL"/>
              </w:rPr>
              <w:t>.</w:t>
            </w:r>
            <w:r w:rsidRPr="009F19D9">
              <w:rPr>
                <w:sz w:val="16"/>
                <w:szCs w:val="16"/>
                <w:lang w:val="nl-NL"/>
              </w:rPr>
              <w:t xml:space="preserve"> Het kabinet</w:t>
            </w:r>
            <w:r w:rsidRPr="00992021" w:rsidR="00667450">
              <w:rPr>
                <w:sz w:val="16"/>
                <w:szCs w:val="16"/>
                <w:lang w:val="nl-NL"/>
              </w:rPr>
              <w:t xml:space="preserve"> kiest </w:t>
            </w:r>
            <w:r w:rsidR="00DF688D">
              <w:rPr>
                <w:sz w:val="16"/>
                <w:szCs w:val="16"/>
                <w:lang w:val="nl-NL"/>
              </w:rPr>
              <w:t xml:space="preserve">vooral </w:t>
            </w:r>
            <w:r w:rsidRPr="00992021" w:rsidR="00667450">
              <w:rPr>
                <w:sz w:val="16"/>
                <w:szCs w:val="16"/>
                <w:lang w:val="nl-NL"/>
              </w:rPr>
              <w:t>voor civiele sancties</w:t>
            </w:r>
            <w:r w:rsidRPr="00992021" w:rsidR="0060565E">
              <w:rPr>
                <w:sz w:val="16"/>
                <w:szCs w:val="16"/>
                <w:lang w:val="nl-NL"/>
              </w:rPr>
              <w:t xml:space="preserve"> en onderbouwt die keuze </w:t>
            </w:r>
            <w:r w:rsidRPr="009F19D9">
              <w:rPr>
                <w:sz w:val="16"/>
                <w:szCs w:val="16"/>
                <w:lang w:val="nl-NL"/>
              </w:rPr>
              <w:t>normatief-juridisch, maar ‘</w:t>
            </w:r>
            <w:r w:rsidR="00DF688D">
              <w:rPr>
                <w:sz w:val="16"/>
                <w:szCs w:val="16"/>
                <w:lang w:val="nl-NL"/>
              </w:rPr>
              <w:t>doeltreffend</w:t>
            </w:r>
            <w:r w:rsidRPr="009F19D9">
              <w:rPr>
                <w:sz w:val="16"/>
                <w:szCs w:val="16"/>
                <w:lang w:val="nl-NL"/>
              </w:rPr>
              <w:t>’ en ‘</w:t>
            </w:r>
            <w:r w:rsidR="00E756DB">
              <w:rPr>
                <w:sz w:val="16"/>
                <w:szCs w:val="16"/>
                <w:lang w:val="nl-NL"/>
              </w:rPr>
              <w:t>afschrikkend</w:t>
            </w:r>
            <w:r w:rsidRPr="009F19D9">
              <w:rPr>
                <w:sz w:val="16"/>
                <w:szCs w:val="16"/>
                <w:lang w:val="nl-NL"/>
              </w:rPr>
              <w:t>’ zijn (ook) empirische</w:t>
            </w:r>
            <w:r w:rsidR="00104742">
              <w:rPr>
                <w:sz w:val="16"/>
                <w:szCs w:val="16"/>
                <w:lang w:val="nl-NL"/>
              </w:rPr>
              <w:t xml:space="preserve"> begrippen.</w:t>
            </w:r>
            <w:r w:rsidRPr="00992021" w:rsidR="0060565E">
              <w:rPr>
                <w:sz w:val="16"/>
                <w:szCs w:val="16"/>
                <w:lang w:val="nl-NL"/>
              </w:rPr>
              <w:br/>
            </w:r>
          </w:p>
          <w:p w:rsidRPr="00992021" w:rsidR="00841EBE" w:rsidP="009F19D9" w:rsidRDefault="008B636F" w14:paraId="015CA29F" w14:textId="0E6219A4">
            <w:pPr>
              <w:pStyle w:val="Lijstalinea"/>
              <w:numPr>
                <w:ilvl w:val="0"/>
                <w:numId w:val="37"/>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F19D9">
              <w:rPr>
                <w:b/>
                <w:bCs/>
                <w:sz w:val="16"/>
                <w:szCs w:val="16"/>
                <w:lang w:val="nl-NL"/>
              </w:rPr>
              <w:t>Vraag</w:t>
            </w:r>
            <w:r w:rsidR="00316A98">
              <w:rPr>
                <w:b/>
                <w:bCs/>
                <w:sz w:val="16"/>
                <w:szCs w:val="16"/>
                <w:lang w:val="nl-NL"/>
              </w:rPr>
              <w:t xml:space="preserve"> 3</w:t>
            </w:r>
            <w:r w:rsidRPr="009F19D9">
              <w:rPr>
                <w:sz w:val="16"/>
                <w:szCs w:val="16"/>
                <w:lang w:val="nl-NL"/>
              </w:rPr>
              <w:t xml:space="preserve">: </w:t>
            </w:r>
            <w:r w:rsidRPr="00992021">
              <w:rPr>
                <w:sz w:val="16"/>
                <w:szCs w:val="16"/>
                <w:lang w:val="nl-NL"/>
              </w:rPr>
              <w:t>w</w:t>
            </w:r>
            <w:r w:rsidRPr="00992021" w:rsidR="00841EBE">
              <w:rPr>
                <w:sz w:val="16"/>
                <w:szCs w:val="16"/>
                <w:lang w:val="nl-NL"/>
              </w:rPr>
              <w:t xml:space="preserve">aaruit blijkt dat </w:t>
            </w:r>
            <w:r w:rsidRPr="00992021">
              <w:rPr>
                <w:sz w:val="16"/>
                <w:szCs w:val="16"/>
                <w:lang w:val="nl-NL"/>
              </w:rPr>
              <w:t>de gekozen sancties</w:t>
            </w:r>
            <w:r w:rsidR="00DF688D">
              <w:rPr>
                <w:sz w:val="16"/>
                <w:szCs w:val="16"/>
                <w:lang w:val="nl-NL"/>
              </w:rPr>
              <w:t xml:space="preserve"> doeltreffend</w:t>
            </w:r>
            <w:r w:rsidRPr="00992021" w:rsidR="00841EBE">
              <w:rPr>
                <w:sz w:val="16"/>
                <w:szCs w:val="16"/>
                <w:lang w:val="nl-NL"/>
              </w:rPr>
              <w:t xml:space="preserve"> en afschrik</w:t>
            </w:r>
            <w:r w:rsidR="00E756DB">
              <w:rPr>
                <w:sz w:val="16"/>
                <w:szCs w:val="16"/>
                <w:lang w:val="nl-NL"/>
              </w:rPr>
              <w:t>k</w:t>
            </w:r>
            <w:r w:rsidRPr="00992021" w:rsidR="00841EBE">
              <w:rPr>
                <w:sz w:val="16"/>
                <w:szCs w:val="16"/>
                <w:lang w:val="nl-NL"/>
              </w:rPr>
              <w:t>end zijn? Is dit empirisch onderbouwd?</w:t>
            </w:r>
          </w:p>
          <w:p w:rsidRPr="00992021" w:rsidR="008B636F" w:rsidP="008B636F" w:rsidRDefault="008B636F" w14:paraId="7041205D"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992021" w:rsidR="00841EBE" w:rsidP="00DF688D" w:rsidRDefault="005336FB" w14:paraId="72907013" w14:textId="31714DCD">
            <w:p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Het is </w:t>
            </w:r>
            <w:r w:rsidR="00D90C93">
              <w:rPr>
                <w:sz w:val="16"/>
                <w:szCs w:val="16"/>
                <w:lang w:val="nl-NL"/>
              </w:rPr>
              <w:t xml:space="preserve">niet </w:t>
            </w:r>
            <w:r w:rsidRPr="00992021" w:rsidR="00841EBE">
              <w:rPr>
                <w:sz w:val="16"/>
                <w:szCs w:val="16"/>
                <w:lang w:val="nl-NL"/>
              </w:rPr>
              <w:t xml:space="preserve">duidelijk waarom </w:t>
            </w:r>
            <w:r w:rsidRPr="00992021" w:rsidR="008B636F">
              <w:rPr>
                <w:sz w:val="16"/>
                <w:szCs w:val="16"/>
                <w:lang w:val="nl-NL"/>
              </w:rPr>
              <w:t>civ</w:t>
            </w:r>
            <w:r w:rsidRPr="00992021" w:rsidR="00841EBE">
              <w:rPr>
                <w:sz w:val="16"/>
                <w:szCs w:val="16"/>
                <w:lang w:val="nl-NL"/>
              </w:rPr>
              <w:t>iele sancties</w:t>
            </w:r>
            <w:r w:rsidR="00DF688D">
              <w:rPr>
                <w:sz w:val="16"/>
                <w:szCs w:val="16"/>
                <w:lang w:val="nl-NL"/>
              </w:rPr>
              <w:t xml:space="preserve"> doeltreffender</w:t>
            </w:r>
            <w:r w:rsidRPr="00992021" w:rsidR="00841EBE">
              <w:rPr>
                <w:sz w:val="16"/>
                <w:szCs w:val="16"/>
                <w:lang w:val="nl-NL"/>
              </w:rPr>
              <w:t xml:space="preserve"> en </w:t>
            </w:r>
            <w:r w:rsidR="00E756DB">
              <w:rPr>
                <w:sz w:val="16"/>
                <w:szCs w:val="16"/>
                <w:lang w:val="nl-NL"/>
              </w:rPr>
              <w:t>afschrik</w:t>
            </w:r>
            <w:r w:rsidR="002A43CB">
              <w:rPr>
                <w:sz w:val="16"/>
                <w:szCs w:val="16"/>
                <w:lang w:val="nl-NL"/>
              </w:rPr>
              <w:t>kender</w:t>
            </w:r>
            <w:r w:rsidRPr="00992021" w:rsidR="00841EBE">
              <w:rPr>
                <w:sz w:val="16"/>
                <w:szCs w:val="16"/>
                <w:lang w:val="nl-NL"/>
              </w:rPr>
              <w:t xml:space="preserve"> </w:t>
            </w:r>
            <w:r w:rsidRPr="00992021" w:rsidR="00D53051">
              <w:rPr>
                <w:sz w:val="16"/>
                <w:szCs w:val="16"/>
                <w:lang w:val="nl-NL"/>
              </w:rPr>
              <w:t xml:space="preserve">zouden </w:t>
            </w:r>
            <w:r w:rsidRPr="00992021" w:rsidR="00841EBE">
              <w:rPr>
                <w:sz w:val="16"/>
                <w:szCs w:val="16"/>
                <w:lang w:val="nl-NL"/>
              </w:rPr>
              <w:t>zijn dan</w:t>
            </w:r>
            <w:r w:rsidR="00DF688D">
              <w:rPr>
                <w:sz w:val="16"/>
                <w:szCs w:val="16"/>
                <w:lang w:val="nl-NL"/>
              </w:rPr>
              <w:t xml:space="preserve"> </w:t>
            </w:r>
            <w:r w:rsidR="00375DD0">
              <w:rPr>
                <w:sz w:val="16"/>
                <w:szCs w:val="16"/>
                <w:lang w:val="nl-NL"/>
              </w:rPr>
              <w:t xml:space="preserve">bijv. </w:t>
            </w:r>
            <w:r w:rsidRPr="00992021" w:rsidR="008B636F">
              <w:rPr>
                <w:sz w:val="16"/>
                <w:szCs w:val="16"/>
                <w:lang w:val="nl-NL"/>
              </w:rPr>
              <w:t xml:space="preserve">strafrechtelijke of bestuursrechtelijke </w:t>
            </w:r>
            <w:r w:rsidRPr="00992021" w:rsidR="00841EBE">
              <w:rPr>
                <w:sz w:val="16"/>
                <w:szCs w:val="16"/>
                <w:lang w:val="nl-NL"/>
              </w:rPr>
              <w:t>sancties.</w:t>
            </w:r>
            <w:r w:rsidRPr="00992021">
              <w:rPr>
                <w:sz w:val="16"/>
                <w:szCs w:val="16"/>
                <w:lang w:val="nl-NL"/>
              </w:rPr>
              <w:t xml:space="preserve"> </w:t>
            </w:r>
            <w:r w:rsidR="005F3769">
              <w:rPr>
                <w:sz w:val="16"/>
                <w:szCs w:val="16"/>
                <w:lang w:val="nl-NL"/>
              </w:rPr>
              <w:t xml:space="preserve">In bijvoorbeeld </w:t>
            </w:r>
            <w:r w:rsidRPr="00992021" w:rsidR="008B636F">
              <w:rPr>
                <w:sz w:val="16"/>
                <w:szCs w:val="16"/>
                <w:lang w:val="nl-NL"/>
              </w:rPr>
              <w:t xml:space="preserve">de </w:t>
            </w:r>
            <w:r w:rsidRPr="00992021">
              <w:rPr>
                <w:sz w:val="16"/>
                <w:szCs w:val="16"/>
                <w:lang w:val="nl-NL"/>
              </w:rPr>
              <w:t xml:space="preserve">VS </w:t>
            </w:r>
            <w:r w:rsidR="005F3769">
              <w:rPr>
                <w:sz w:val="16"/>
                <w:szCs w:val="16"/>
                <w:lang w:val="nl-NL"/>
              </w:rPr>
              <w:t xml:space="preserve">zijn </w:t>
            </w:r>
            <w:r w:rsidRPr="00992021">
              <w:rPr>
                <w:sz w:val="16"/>
                <w:szCs w:val="16"/>
                <w:lang w:val="nl-NL"/>
              </w:rPr>
              <w:t xml:space="preserve">strafrechtelijke sancties juist </w:t>
            </w:r>
            <w:r w:rsidR="00DF688D">
              <w:rPr>
                <w:sz w:val="16"/>
                <w:szCs w:val="16"/>
                <w:lang w:val="nl-NL"/>
              </w:rPr>
              <w:t xml:space="preserve">wel </w:t>
            </w:r>
            <w:r w:rsidRPr="00992021" w:rsidR="00D53051">
              <w:rPr>
                <w:sz w:val="16"/>
                <w:szCs w:val="16"/>
                <w:lang w:val="nl-NL"/>
              </w:rPr>
              <w:t>effectief.</w:t>
            </w:r>
            <w:r w:rsidRPr="00992021" w:rsidR="001373DC">
              <w:rPr>
                <w:rStyle w:val="Voetnootmarkering"/>
                <w:sz w:val="16"/>
                <w:szCs w:val="16"/>
                <w:lang w:val="nl-NL"/>
              </w:rPr>
              <w:footnoteReference w:id="5"/>
            </w:r>
            <w:r w:rsidRPr="00992021" w:rsidR="0060565E">
              <w:rPr>
                <w:sz w:val="16"/>
                <w:szCs w:val="16"/>
                <w:lang w:val="nl-NL"/>
              </w:rPr>
              <w:t xml:space="preserve"> </w:t>
            </w:r>
            <w:r w:rsidRPr="00992021" w:rsidR="0060565E">
              <w:rPr>
                <w:sz w:val="16"/>
                <w:szCs w:val="16"/>
                <w:lang w:val="nl-NL"/>
              </w:rPr>
              <w:br/>
            </w:r>
          </w:p>
          <w:p w:rsidRPr="006D29C1" w:rsidR="00841EBE" w:rsidP="006D29C1" w:rsidRDefault="00841EBE" w14:paraId="74FD6747" w14:textId="0F0A5DAD">
            <w:pPr>
              <w:pStyle w:val="Lijstalinea"/>
              <w:numPr>
                <w:ilvl w:val="0"/>
                <w:numId w:val="37"/>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6D29C1">
              <w:rPr>
                <w:b/>
                <w:bCs/>
                <w:sz w:val="16"/>
                <w:szCs w:val="16"/>
                <w:lang w:val="nl-NL"/>
              </w:rPr>
              <w:t>Aanbeveling</w:t>
            </w:r>
            <w:r w:rsidRPr="006D29C1" w:rsidR="008B636F">
              <w:rPr>
                <w:b/>
                <w:bCs/>
                <w:sz w:val="16"/>
                <w:szCs w:val="16"/>
                <w:lang w:val="nl-NL"/>
              </w:rPr>
              <w:t xml:space="preserve"> </w:t>
            </w:r>
            <w:r w:rsidRPr="006D29C1" w:rsidR="00112EC0">
              <w:rPr>
                <w:b/>
                <w:bCs/>
                <w:sz w:val="16"/>
                <w:szCs w:val="16"/>
                <w:lang w:val="nl-NL"/>
              </w:rPr>
              <w:t>3</w:t>
            </w:r>
            <w:r w:rsidRPr="006D29C1">
              <w:rPr>
                <w:sz w:val="16"/>
                <w:szCs w:val="16"/>
                <w:lang w:val="nl-NL"/>
              </w:rPr>
              <w:t>:</w:t>
            </w:r>
            <w:r w:rsidRPr="006D29C1" w:rsidR="008B636F">
              <w:rPr>
                <w:sz w:val="16"/>
                <w:szCs w:val="16"/>
                <w:lang w:val="nl-NL"/>
              </w:rPr>
              <w:t xml:space="preserve"> </w:t>
            </w:r>
            <w:r w:rsidRPr="006D29C1" w:rsidR="00B466AB">
              <w:rPr>
                <w:sz w:val="16"/>
                <w:szCs w:val="16"/>
                <w:lang w:val="nl-NL"/>
              </w:rPr>
              <w:t>o</w:t>
            </w:r>
            <w:r w:rsidRPr="006D29C1" w:rsidR="0047797A">
              <w:rPr>
                <w:sz w:val="16"/>
                <w:szCs w:val="16"/>
                <w:lang w:val="nl-NL"/>
              </w:rPr>
              <w:t>verweeg de wettelijke invoering van (aanvullende) strafrechtelijke en/of bestuurlijke sancties</w:t>
            </w:r>
            <w:r w:rsidRPr="006D29C1" w:rsidR="00E1437A">
              <w:rPr>
                <w:sz w:val="16"/>
                <w:szCs w:val="16"/>
                <w:lang w:val="nl-NL"/>
              </w:rPr>
              <w:t xml:space="preserve"> (voor de benadeling van melders)</w:t>
            </w:r>
            <w:r w:rsidRPr="006D29C1" w:rsidR="0047797A">
              <w:rPr>
                <w:sz w:val="16"/>
                <w:szCs w:val="16"/>
                <w:lang w:val="nl-NL"/>
              </w:rPr>
              <w:t>.</w:t>
            </w:r>
          </w:p>
          <w:p w:rsidRPr="00992021" w:rsidR="00D53051" w:rsidP="00705291" w:rsidRDefault="00D53051" w14:paraId="6FC7D968"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992021" w:rsidR="0060565E" w:rsidRDefault="0060565E" w14:paraId="373A25E6" w14:textId="47351905">
            <w:p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Het kabinet</w:t>
            </w:r>
            <w:r w:rsidRPr="00992021" w:rsidR="008E2B29">
              <w:rPr>
                <w:sz w:val="16"/>
                <w:szCs w:val="16"/>
                <w:lang w:val="nl-NL"/>
              </w:rPr>
              <w:t xml:space="preserve"> kiest voor toezicht </w:t>
            </w:r>
            <w:r w:rsidR="00DF688D">
              <w:rPr>
                <w:sz w:val="16"/>
                <w:szCs w:val="16"/>
                <w:lang w:val="nl-NL"/>
              </w:rPr>
              <w:t xml:space="preserve">op interne meldkanalen </w:t>
            </w:r>
            <w:r w:rsidR="003E7F7F">
              <w:rPr>
                <w:sz w:val="16"/>
                <w:szCs w:val="16"/>
                <w:lang w:val="nl-NL"/>
              </w:rPr>
              <w:t>d</w:t>
            </w:r>
            <w:r w:rsidR="00FE4272">
              <w:rPr>
                <w:sz w:val="16"/>
                <w:szCs w:val="16"/>
                <w:lang w:val="nl-NL"/>
              </w:rPr>
              <w:t>.</w:t>
            </w:r>
            <w:r w:rsidR="003E7F7F">
              <w:rPr>
                <w:sz w:val="16"/>
                <w:szCs w:val="16"/>
                <w:lang w:val="nl-NL"/>
              </w:rPr>
              <w:t>m</w:t>
            </w:r>
            <w:r w:rsidR="00FE4272">
              <w:rPr>
                <w:sz w:val="16"/>
                <w:szCs w:val="16"/>
                <w:lang w:val="nl-NL"/>
              </w:rPr>
              <w:t>.</w:t>
            </w:r>
            <w:r w:rsidR="003E7F7F">
              <w:rPr>
                <w:sz w:val="16"/>
                <w:szCs w:val="16"/>
                <w:lang w:val="nl-NL"/>
              </w:rPr>
              <w:t>v</w:t>
            </w:r>
            <w:r w:rsidR="00FE4272">
              <w:rPr>
                <w:sz w:val="16"/>
                <w:szCs w:val="16"/>
                <w:lang w:val="nl-NL"/>
              </w:rPr>
              <w:t>.</w:t>
            </w:r>
            <w:r w:rsidR="003E7F7F">
              <w:rPr>
                <w:sz w:val="16"/>
                <w:szCs w:val="16"/>
                <w:lang w:val="nl-NL"/>
              </w:rPr>
              <w:t xml:space="preserve"> een rechtsgang naar</w:t>
            </w:r>
            <w:r w:rsidRPr="00992021" w:rsidR="008E2B29">
              <w:rPr>
                <w:sz w:val="16"/>
                <w:szCs w:val="16"/>
                <w:lang w:val="nl-NL"/>
              </w:rPr>
              <w:t xml:space="preserve"> </w:t>
            </w:r>
            <w:r w:rsidR="00E1437A">
              <w:rPr>
                <w:sz w:val="16"/>
                <w:szCs w:val="16"/>
                <w:lang w:val="nl-NL"/>
              </w:rPr>
              <w:t xml:space="preserve">de </w:t>
            </w:r>
            <w:r w:rsidRPr="00992021" w:rsidR="008E2B29">
              <w:rPr>
                <w:sz w:val="16"/>
                <w:szCs w:val="16"/>
                <w:lang w:val="nl-NL"/>
              </w:rPr>
              <w:t>kantonrechter.</w:t>
            </w:r>
            <w:r w:rsidRPr="00992021">
              <w:rPr>
                <w:sz w:val="16"/>
                <w:szCs w:val="16"/>
                <w:lang w:val="nl-NL"/>
              </w:rPr>
              <w:t xml:space="preserve"> </w:t>
            </w:r>
            <w:r w:rsidRPr="00992021" w:rsidR="00602B97">
              <w:rPr>
                <w:sz w:val="16"/>
                <w:szCs w:val="16"/>
                <w:lang w:val="nl-NL"/>
              </w:rPr>
              <w:lastRenderedPageBreak/>
              <w:t xml:space="preserve">Toezicht </w:t>
            </w:r>
            <w:r w:rsidRPr="00992021" w:rsidR="008E2B29">
              <w:rPr>
                <w:sz w:val="16"/>
                <w:szCs w:val="16"/>
                <w:lang w:val="nl-NL"/>
              </w:rPr>
              <w:t>wordt hiermee een taak van de melder i</w:t>
            </w:r>
            <w:r w:rsidRPr="00992021">
              <w:rPr>
                <w:sz w:val="16"/>
                <w:szCs w:val="16"/>
                <w:lang w:val="nl-NL"/>
              </w:rPr>
              <w:t>.</w:t>
            </w:r>
            <w:r w:rsidRPr="00992021" w:rsidR="008E2B29">
              <w:rPr>
                <w:sz w:val="16"/>
                <w:szCs w:val="16"/>
                <w:lang w:val="nl-NL"/>
              </w:rPr>
              <w:t>p</w:t>
            </w:r>
            <w:r w:rsidRPr="00992021">
              <w:rPr>
                <w:sz w:val="16"/>
                <w:szCs w:val="16"/>
                <w:lang w:val="nl-NL"/>
              </w:rPr>
              <w:t>.</w:t>
            </w:r>
            <w:r w:rsidRPr="00992021" w:rsidR="008E2B29">
              <w:rPr>
                <w:sz w:val="16"/>
                <w:szCs w:val="16"/>
                <w:lang w:val="nl-NL"/>
              </w:rPr>
              <w:t>v</w:t>
            </w:r>
            <w:r w:rsidRPr="00992021">
              <w:rPr>
                <w:sz w:val="16"/>
                <w:szCs w:val="16"/>
                <w:lang w:val="nl-NL"/>
              </w:rPr>
              <w:t>.</w:t>
            </w:r>
            <w:r w:rsidRPr="00992021" w:rsidR="008E2B29">
              <w:rPr>
                <w:sz w:val="16"/>
                <w:szCs w:val="16"/>
                <w:lang w:val="nl-NL"/>
              </w:rPr>
              <w:t xml:space="preserve"> </w:t>
            </w:r>
            <w:r w:rsidRPr="00992021" w:rsidR="00602B97">
              <w:rPr>
                <w:sz w:val="16"/>
                <w:szCs w:val="16"/>
                <w:lang w:val="nl-NL"/>
              </w:rPr>
              <w:t xml:space="preserve">van </w:t>
            </w:r>
            <w:r w:rsidRPr="00992021" w:rsidR="008E2B29">
              <w:rPr>
                <w:sz w:val="16"/>
                <w:szCs w:val="16"/>
                <w:lang w:val="nl-NL"/>
              </w:rPr>
              <w:t>de overheid</w:t>
            </w:r>
            <w:r w:rsidR="00FE4272">
              <w:rPr>
                <w:sz w:val="16"/>
                <w:szCs w:val="16"/>
                <w:lang w:val="nl-NL"/>
              </w:rPr>
              <w:t>.</w:t>
            </w:r>
            <w:r w:rsidRPr="00992021" w:rsidR="0076240D">
              <w:rPr>
                <w:rStyle w:val="Voetnootmarkering"/>
                <w:sz w:val="16"/>
                <w:szCs w:val="16"/>
                <w:lang w:val="nl-NL"/>
              </w:rPr>
              <w:footnoteReference w:id="6"/>
            </w:r>
          </w:p>
          <w:p w:rsidRPr="00992021" w:rsidR="0060565E" w:rsidP="0060565E" w:rsidRDefault="0060565E" w14:paraId="4F3B1D5C"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992021" w:rsidR="0060565E" w:rsidP="00D67AEA" w:rsidRDefault="0060565E" w14:paraId="7061D9F9" w14:textId="79D8780D">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F19D9">
              <w:rPr>
                <w:b/>
                <w:bCs/>
                <w:sz w:val="16"/>
                <w:szCs w:val="16"/>
                <w:lang w:val="nl-NL"/>
              </w:rPr>
              <w:t>Vraag</w:t>
            </w:r>
            <w:r w:rsidR="00316A98">
              <w:rPr>
                <w:b/>
                <w:bCs/>
                <w:sz w:val="16"/>
                <w:szCs w:val="16"/>
                <w:lang w:val="nl-NL"/>
              </w:rPr>
              <w:t xml:space="preserve"> 4</w:t>
            </w:r>
            <w:r w:rsidRPr="00992021">
              <w:rPr>
                <w:sz w:val="16"/>
                <w:szCs w:val="16"/>
                <w:lang w:val="nl-NL"/>
              </w:rPr>
              <w:t xml:space="preserve">: waaruit blijkt dat toezicht via de </w:t>
            </w:r>
            <w:r w:rsidR="003E7F7F">
              <w:rPr>
                <w:sz w:val="16"/>
                <w:szCs w:val="16"/>
                <w:lang w:val="nl-NL"/>
              </w:rPr>
              <w:t>civiele rechtsgang</w:t>
            </w:r>
            <w:r w:rsidRPr="00992021">
              <w:rPr>
                <w:sz w:val="16"/>
                <w:szCs w:val="16"/>
                <w:lang w:val="nl-NL"/>
              </w:rPr>
              <w:t xml:space="preserve"> </w:t>
            </w:r>
            <w:r w:rsidR="00DF688D">
              <w:rPr>
                <w:sz w:val="16"/>
                <w:szCs w:val="16"/>
                <w:lang w:val="nl-NL"/>
              </w:rPr>
              <w:t>doeltreffender</w:t>
            </w:r>
            <w:r w:rsidRPr="00992021">
              <w:rPr>
                <w:sz w:val="16"/>
                <w:szCs w:val="16"/>
                <w:lang w:val="nl-NL"/>
              </w:rPr>
              <w:t xml:space="preserve"> is dan bijv. toezicht door de Arbeidsinspectie? </w:t>
            </w:r>
          </w:p>
          <w:p w:rsidRPr="00992021" w:rsidR="00114BC9" w:rsidP="009F19D9" w:rsidRDefault="00114BC9" w14:paraId="4152FFFF"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6D29C1" w:rsidR="0047797A" w:rsidP="006D29C1" w:rsidRDefault="002E365B" w14:paraId="1F297B0E" w14:textId="2F4AB803">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6D29C1">
              <w:rPr>
                <w:b/>
                <w:bCs/>
                <w:sz w:val="16"/>
                <w:szCs w:val="16"/>
                <w:lang w:val="nl-NL"/>
              </w:rPr>
              <w:t>Aanbeveling</w:t>
            </w:r>
            <w:r w:rsidRPr="006D29C1" w:rsidR="0060565E">
              <w:rPr>
                <w:b/>
                <w:bCs/>
                <w:sz w:val="16"/>
                <w:szCs w:val="16"/>
                <w:lang w:val="nl-NL"/>
              </w:rPr>
              <w:t xml:space="preserve"> </w:t>
            </w:r>
            <w:r w:rsidRPr="006D29C1" w:rsidR="00112EC0">
              <w:rPr>
                <w:b/>
                <w:bCs/>
                <w:sz w:val="16"/>
                <w:szCs w:val="16"/>
                <w:lang w:val="nl-NL"/>
              </w:rPr>
              <w:t>4</w:t>
            </w:r>
            <w:r w:rsidRPr="006D29C1" w:rsidR="0060565E">
              <w:rPr>
                <w:sz w:val="16"/>
                <w:szCs w:val="16"/>
                <w:lang w:val="nl-NL"/>
              </w:rPr>
              <w:t xml:space="preserve">: </w:t>
            </w:r>
            <w:r w:rsidRPr="006D29C1" w:rsidR="00B466AB">
              <w:rPr>
                <w:sz w:val="16"/>
                <w:szCs w:val="16"/>
                <w:lang w:val="nl-NL"/>
              </w:rPr>
              <w:t>m</w:t>
            </w:r>
            <w:r w:rsidRPr="006D29C1" w:rsidR="0047797A">
              <w:rPr>
                <w:sz w:val="16"/>
                <w:szCs w:val="16"/>
                <w:lang w:val="nl-NL"/>
              </w:rPr>
              <w:t>aak een publieke instantie (</w:t>
            </w:r>
            <w:r w:rsidRPr="006D29C1" w:rsidR="002A43CB">
              <w:rPr>
                <w:sz w:val="16"/>
                <w:szCs w:val="16"/>
                <w:lang w:val="nl-NL"/>
              </w:rPr>
              <w:t xml:space="preserve">zoals </w:t>
            </w:r>
            <w:r w:rsidRPr="006D29C1" w:rsidR="0047797A">
              <w:rPr>
                <w:sz w:val="16"/>
                <w:szCs w:val="16"/>
                <w:lang w:val="nl-NL"/>
              </w:rPr>
              <w:t>bijvoorbeeld de Arbeidsinspectie) wettelijk verantwoordelijk voor het toezicht op de interne meldkanalen.</w:t>
            </w:r>
          </w:p>
          <w:p w:rsidRPr="00530208" w:rsidR="002E365B" w:rsidP="00530208" w:rsidRDefault="002E365B" w14:paraId="43E7A4FB" w14:textId="05D9194D">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992021" w:rsidR="00553E9C" w:rsidRDefault="00114BC9" w14:paraId="2E8A60FC" w14:textId="5613A242">
            <w:p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Een klokkenluider krijgt pas erkenning als</w:t>
            </w:r>
            <w:r w:rsidRPr="00992021" w:rsidR="00987CC9">
              <w:rPr>
                <w:sz w:val="16"/>
                <w:szCs w:val="16"/>
                <w:lang w:val="nl-NL"/>
              </w:rPr>
              <w:t xml:space="preserve"> sprake is van een maatschappelijke misstand</w:t>
            </w:r>
            <w:r w:rsidRPr="00992021">
              <w:rPr>
                <w:sz w:val="16"/>
                <w:szCs w:val="16"/>
                <w:lang w:val="nl-NL"/>
              </w:rPr>
              <w:t>,</w:t>
            </w:r>
            <w:r w:rsidRPr="00992021" w:rsidR="00D729F0">
              <w:rPr>
                <w:sz w:val="16"/>
                <w:szCs w:val="16"/>
                <w:lang w:val="nl-NL"/>
              </w:rPr>
              <w:t xml:space="preserve"> </w:t>
            </w:r>
            <w:r w:rsidRPr="00992021" w:rsidR="001505CB">
              <w:rPr>
                <w:sz w:val="16"/>
                <w:szCs w:val="16"/>
                <w:lang w:val="nl-NL"/>
              </w:rPr>
              <w:t>maar</w:t>
            </w:r>
            <w:r w:rsidRPr="009F19D9" w:rsidR="001505CB">
              <w:rPr>
                <w:sz w:val="16"/>
                <w:szCs w:val="16"/>
                <w:lang w:val="nl-NL"/>
              </w:rPr>
              <w:t xml:space="preserve"> </w:t>
            </w:r>
            <w:r w:rsidRPr="00992021">
              <w:rPr>
                <w:sz w:val="16"/>
                <w:szCs w:val="16"/>
                <w:lang w:val="nl-NL"/>
              </w:rPr>
              <w:t>moet</w:t>
            </w:r>
            <w:r w:rsidRPr="009F19D9">
              <w:rPr>
                <w:sz w:val="16"/>
                <w:szCs w:val="16"/>
                <w:lang w:val="nl-NL"/>
              </w:rPr>
              <w:t xml:space="preserve"> </w:t>
            </w:r>
            <w:r w:rsidRPr="00992021" w:rsidR="00D729F0">
              <w:rPr>
                <w:sz w:val="16"/>
                <w:szCs w:val="16"/>
                <w:lang w:val="nl-NL"/>
              </w:rPr>
              <w:t>vervolgens de rechtsgang</w:t>
            </w:r>
            <w:r w:rsidRPr="00992021" w:rsidR="0054789D">
              <w:rPr>
                <w:sz w:val="16"/>
                <w:szCs w:val="16"/>
                <w:lang w:val="nl-NL"/>
              </w:rPr>
              <w:t xml:space="preserve"> </w:t>
            </w:r>
            <w:r w:rsidRPr="00992021">
              <w:rPr>
                <w:sz w:val="16"/>
                <w:szCs w:val="16"/>
                <w:lang w:val="nl-NL"/>
              </w:rPr>
              <w:t xml:space="preserve">zelf voeren, </w:t>
            </w:r>
            <w:r w:rsidRPr="00992021" w:rsidR="0054789D">
              <w:rPr>
                <w:sz w:val="16"/>
                <w:szCs w:val="16"/>
                <w:lang w:val="nl-NL"/>
              </w:rPr>
              <w:t>als een individuele casus</w:t>
            </w:r>
            <w:r w:rsidRPr="00992021" w:rsidR="00D729F0">
              <w:rPr>
                <w:sz w:val="16"/>
                <w:szCs w:val="16"/>
                <w:lang w:val="nl-NL"/>
              </w:rPr>
              <w:t>. Als sprake is van schending van het algemeen belang</w:t>
            </w:r>
            <w:r w:rsidRPr="00992021">
              <w:rPr>
                <w:sz w:val="16"/>
                <w:szCs w:val="16"/>
                <w:lang w:val="nl-NL"/>
              </w:rPr>
              <w:t xml:space="preserve"> </w:t>
            </w:r>
            <w:r w:rsidRPr="00992021" w:rsidR="00D729F0">
              <w:rPr>
                <w:sz w:val="16"/>
                <w:szCs w:val="16"/>
                <w:lang w:val="nl-NL"/>
              </w:rPr>
              <w:t xml:space="preserve">zou het </w:t>
            </w:r>
            <w:r w:rsidRPr="00992021" w:rsidR="00C45214">
              <w:rPr>
                <w:sz w:val="16"/>
                <w:szCs w:val="16"/>
                <w:lang w:val="nl-NL"/>
              </w:rPr>
              <w:t xml:space="preserve">proces van </w:t>
            </w:r>
            <w:r w:rsidRPr="00992021" w:rsidR="00D729F0">
              <w:rPr>
                <w:sz w:val="16"/>
                <w:szCs w:val="16"/>
                <w:lang w:val="nl-NL"/>
              </w:rPr>
              <w:t>herstel van dat belang parallel moeten kunnen lopen aan de (rechts)gang van de betrokken melder</w:t>
            </w:r>
            <w:r w:rsidRPr="00992021">
              <w:rPr>
                <w:sz w:val="16"/>
                <w:szCs w:val="16"/>
                <w:lang w:val="nl-NL"/>
              </w:rPr>
              <w:t>.</w:t>
            </w:r>
            <w:r w:rsidRPr="00992021" w:rsidR="00D729F0">
              <w:rPr>
                <w:sz w:val="16"/>
                <w:szCs w:val="16"/>
                <w:lang w:val="nl-NL"/>
              </w:rPr>
              <w:t xml:space="preserve"> </w:t>
            </w:r>
            <w:r w:rsidRPr="00992021">
              <w:rPr>
                <w:sz w:val="16"/>
                <w:szCs w:val="16"/>
                <w:lang w:val="nl-NL"/>
              </w:rPr>
              <w:t>Alleen al de</w:t>
            </w:r>
            <w:r w:rsidRPr="00992021" w:rsidR="001505CB">
              <w:rPr>
                <w:sz w:val="16"/>
                <w:szCs w:val="16"/>
                <w:lang w:val="nl-NL"/>
              </w:rPr>
              <w:t xml:space="preserve"> erkenning van dat verband is van grote waarde voor de melder.</w:t>
            </w:r>
          </w:p>
          <w:p w:rsidRPr="00992021" w:rsidR="00D729F0" w:rsidP="00D729F0" w:rsidRDefault="00D729F0" w14:paraId="1F384B7F" w14:textId="5DE76C20">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9F19D9" w:rsidR="00DF688D" w:rsidP="00E23BA1" w:rsidRDefault="00D729F0" w14:paraId="027B1950" w14:textId="7D7506D7">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F19D9">
              <w:rPr>
                <w:b/>
                <w:bCs/>
                <w:sz w:val="16"/>
                <w:szCs w:val="16"/>
                <w:lang w:val="nl-NL"/>
              </w:rPr>
              <w:t>Aanbeveling</w:t>
            </w:r>
            <w:r w:rsidRPr="009F19D9" w:rsidR="001505CB">
              <w:rPr>
                <w:b/>
                <w:bCs/>
                <w:sz w:val="16"/>
                <w:szCs w:val="16"/>
                <w:lang w:val="nl-NL"/>
              </w:rPr>
              <w:t xml:space="preserve"> </w:t>
            </w:r>
            <w:r w:rsidRPr="00E23BA1" w:rsidR="00112EC0">
              <w:rPr>
                <w:b/>
                <w:bCs/>
                <w:sz w:val="16"/>
                <w:szCs w:val="16"/>
                <w:lang w:val="nl-NL"/>
              </w:rPr>
              <w:t>5</w:t>
            </w:r>
            <w:r w:rsidRPr="009F19D9">
              <w:rPr>
                <w:sz w:val="16"/>
                <w:szCs w:val="16"/>
                <w:lang w:val="nl-NL"/>
              </w:rPr>
              <w:t>:</w:t>
            </w:r>
            <w:r w:rsidRPr="009F19D9" w:rsidR="001505CB">
              <w:rPr>
                <w:sz w:val="16"/>
                <w:szCs w:val="16"/>
                <w:lang w:val="nl-NL"/>
              </w:rPr>
              <w:t xml:space="preserve"> k</w:t>
            </w:r>
            <w:r w:rsidRPr="009F19D9">
              <w:rPr>
                <w:sz w:val="16"/>
                <w:szCs w:val="16"/>
                <w:lang w:val="nl-NL"/>
              </w:rPr>
              <w:t xml:space="preserve">oppel het herstel van het algemeen belang van de melding </w:t>
            </w:r>
            <w:r w:rsidRPr="009F19D9" w:rsidR="002272E2">
              <w:rPr>
                <w:sz w:val="16"/>
                <w:szCs w:val="16"/>
                <w:lang w:val="nl-NL"/>
              </w:rPr>
              <w:t xml:space="preserve">expliciet </w:t>
            </w:r>
            <w:r w:rsidRPr="009F19D9">
              <w:rPr>
                <w:sz w:val="16"/>
                <w:szCs w:val="16"/>
                <w:lang w:val="nl-NL"/>
              </w:rPr>
              <w:t xml:space="preserve">aan het individuele belang van de melder. </w:t>
            </w:r>
            <w:r w:rsidR="003E7F7F">
              <w:rPr>
                <w:sz w:val="16"/>
                <w:szCs w:val="16"/>
                <w:lang w:val="nl-NL"/>
              </w:rPr>
              <w:t>Creëer bijvoorbeeld een opzegverbod als sprake is van de melding van een misstand.</w:t>
            </w:r>
          </w:p>
          <w:p w:rsidR="009F19D9" w:rsidP="00DF688D" w:rsidRDefault="009F19D9" w14:paraId="51F44860"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992021" w:rsidR="00DF688D" w:rsidP="00DF688D" w:rsidRDefault="00DF688D" w14:paraId="5D741BC8" w14:textId="6BD85D39">
            <w:p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De </w:t>
            </w:r>
            <w:r w:rsidRPr="001D1C2B">
              <w:rPr>
                <w:sz w:val="16"/>
                <w:szCs w:val="16"/>
                <w:lang w:val="nl-NL"/>
              </w:rPr>
              <w:t>2</w:t>
            </w:r>
            <w:r w:rsidRPr="001D1C2B">
              <w:rPr>
                <w:sz w:val="16"/>
                <w:szCs w:val="16"/>
                <w:vertAlign w:val="superscript"/>
                <w:lang w:val="nl-NL"/>
              </w:rPr>
              <w:t>e</w:t>
            </w:r>
            <w:r w:rsidRPr="001D1C2B">
              <w:rPr>
                <w:sz w:val="16"/>
                <w:szCs w:val="16"/>
                <w:lang w:val="nl-NL"/>
              </w:rPr>
              <w:t xml:space="preserve"> </w:t>
            </w:r>
            <w:proofErr w:type="spellStart"/>
            <w:r w:rsidRPr="00992021">
              <w:rPr>
                <w:sz w:val="16"/>
                <w:szCs w:val="16"/>
                <w:lang w:val="nl-NL"/>
              </w:rPr>
              <w:t>NvW</w:t>
            </w:r>
            <w:proofErr w:type="spellEnd"/>
            <w:r w:rsidRPr="00992021">
              <w:rPr>
                <w:sz w:val="16"/>
                <w:szCs w:val="16"/>
                <w:lang w:val="nl-NL"/>
              </w:rPr>
              <w:t xml:space="preserve"> leunt zwaar op eigen initiatief en zelfredzaamheid van </w:t>
            </w:r>
            <w:r w:rsidR="00290CC0">
              <w:rPr>
                <w:sz w:val="16"/>
                <w:szCs w:val="16"/>
                <w:lang w:val="nl-NL"/>
              </w:rPr>
              <w:t xml:space="preserve">de </w:t>
            </w:r>
            <w:r w:rsidRPr="00992021">
              <w:rPr>
                <w:sz w:val="16"/>
                <w:szCs w:val="16"/>
                <w:lang w:val="nl-NL"/>
              </w:rPr>
              <w:t xml:space="preserve">melder. Bij deze aanname </w:t>
            </w:r>
            <w:r w:rsidR="00FE4272">
              <w:rPr>
                <w:sz w:val="16"/>
                <w:szCs w:val="16"/>
                <w:lang w:val="nl-NL"/>
              </w:rPr>
              <w:t>passen</w:t>
            </w:r>
            <w:r w:rsidRPr="001D1C2B">
              <w:rPr>
                <w:sz w:val="16"/>
                <w:szCs w:val="16"/>
                <w:lang w:val="nl-NL"/>
              </w:rPr>
              <w:t xml:space="preserve"> </w:t>
            </w:r>
            <w:r w:rsidRPr="00992021">
              <w:rPr>
                <w:sz w:val="16"/>
                <w:szCs w:val="16"/>
                <w:lang w:val="nl-NL"/>
              </w:rPr>
              <w:t>vraagtekens.</w:t>
            </w:r>
            <w:r w:rsidRPr="00992021">
              <w:rPr>
                <w:rStyle w:val="Voetnootmarkering"/>
                <w:sz w:val="16"/>
                <w:szCs w:val="16"/>
                <w:lang w:val="nl-NL"/>
              </w:rPr>
              <w:footnoteReference w:id="7"/>
            </w:r>
            <w:r w:rsidRPr="00992021">
              <w:rPr>
                <w:sz w:val="16"/>
                <w:szCs w:val="16"/>
                <w:lang w:val="nl-NL"/>
              </w:rPr>
              <w:t xml:space="preserve"> In de praktijk bestaan vaak grote obstakels om de rechter in te schakelen.</w:t>
            </w:r>
            <w:r w:rsidRPr="00992021">
              <w:rPr>
                <w:rStyle w:val="Voetnootmarkering"/>
                <w:sz w:val="16"/>
                <w:szCs w:val="16"/>
                <w:lang w:val="nl-NL"/>
              </w:rPr>
              <w:footnoteReference w:id="8"/>
            </w:r>
          </w:p>
          <w:p w:rsidRPr="00992021" w:rsidR="00DF688D" w:rsidP="00DF688D" w:rsidRDefault="00DF688D" w14:paraId="4A5AA11F"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530208" w:rsidR="00DF688D" w:rsidP="0047797A" w:rsidRDefault="00DF688D" w14:paraId="11E3F775" w14:textId="5C9453D2">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b/>
                <w:bCs/>
                <w:sz w:val="16"/>
                <w:szCs w:val="16"/>
                <w:lang w:val="nl-NL"/>
              </w:rPr>
              <w:t>Aanbeveling</w:t>
            </w:r>
            <w:r w:rsidRPr="001D1C2B">
              <w:rPr>
                <w:b/>
                <w:bCs/>
                <w:sz w:val="16"/>
                <w:szCs w:val="16"/>
                <w:lang w:val="nl-NL"/>
              </w:rPr>
              <w:t xml:space="preserve"> </w:t>
            </w:r>
            <w:r w:rsidR="00112EC0">
              <w:rPr>
                <w:b/>
                <w:bCs/>
                <w:sz w:val="16"/>
                <w:szCs w:val="16"/>
                <w:lang w:val="nl-NL"/>
              </w:rPr>
              <w:t>6</w:t>
            </w:r>
            <w:r w:rsidRPr="00992021">
              <w:rPr>
                <w:sz w:val="16"/>
                <w:szCs w:val="16"/>
                <w:lang w:val="nl-NL"/>
              </w:rPr>
              <w:t>:</w:t>
            </w:r>
            <w:r w:rsidR="0047797A">
              <w:rPr>
                <w:sz w:val="16"/>
                <w:szCs w:val="16"/>
                <w:lang w:val="nl-NL"/>
              </w:rPr>
              <w:t xml:space="preserve"> </w:t>
            </w:r>
            <w:r w:rsidR="00B466AB">
              <w:rPr>
                <w:sz w:val="16"/>
                <w:szCs w:val="16"/>
                <w:lang w:val="nl-NL"/>
              </w:rPr>
              <w:t>v</w:t>
            </w:r>
            <w:r w:rsidR="0047797A">
              <w:rPr>
                <w:sz w:val="16"/>
                <w:szCs w:val="16"/>
                <w:lang w:val="nl-NL"/>
              </w:rPr>
              <w:t>ersterk (met wetgeving en andere instrumenten) de positie van de melder door het wegnemen van obstakels voor praktische rechtsbescherming.</w:t>
            </w:r>
            <w:r w:rsidRPr="00992021">
              <w:rPr>
                <w:rStyle w:val="Voetnootmarkering"/>
                <w:sz w:val="16"/>
                <w:szCs w:val="16"/>
                <w:lang w:val="nl-NL"/>
              </w:rPr>
              <w:footnoteReference w:id="9"/>
            </w:r>
          </w:p>
          <w:p w:rsidR="00DF688D" w:rsidP="00DF688D" w:rsidRDefault="00DF688D" w14:paraId="136C9DE2" w14:textId="335F6D8A">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992021" w:rsidR="00746A3E" w:rsidP="00367936" w:rsidRDefault="00746A3E" w14:paraId="0E23B4A7" w14:textId="41607CE0">
            <w:p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Het is onduidelijk waarom de instelling van </w:t>
            </w:r>
            <w:r w:rsidR="00290CC0">
              <w:rPr>
                <w:sz w:val="16"/>
                <w:szCs w:val="16"/>
                <w:lang w:val="nl-NL"/>
              </w:rPr>
              <w:t xml:space="preserve">een </w:t>
            </w:r>
            <w:r w:rsidRPr="00992021">
              <w:rPr>
                <w:sz w:val="16"/>
                <w:szCs w:val="16"/>
                <w:lang w:val="nl-NL"/>
              </w:rPr>
              <w:t>fonds voor klokkenluiders nog langer moet worden uitgesteld</w:t>
            </w:r>
            <w:r w:rsidR="006D284C">
              <w:rPr>
                <w:sz w:val="16"/>
                <w:szCs w:val="16"/>
                <w:lang w:val="nl-NL"/>
              </w:rPr>
              <w:t xml:space="preserve"> (zie ook artikel 20, lid 2, EU Richtlijn)</w:t>
            </w:r>
            <w:r w:rsidRPr="009F19D9" w:rsidR="006D284C">
              <w:rPr>
                <w:sz w:val="16"/>
                <w:szCs w:val="16"/>
                <w:lang w:val="nl-NL"/>
              </w:rPr>
              <w:t>.</w:t>
            </w:r>
            <w:r w:rsidRPr="00992021">
              <w:rPr>
                <w:sz w:val="16"/>
                <w:szCs w:val="16"/>
                <w:lang w:val="nl-NL"/>
              </w:rPr>
              <w:t xml:space="preserve"> Veel melders ondervinden negatieve </w:t>
            </w:r>
            <w:r w:rsidR="00290CC0">
              <w:rPr>
                <w:sz w:val="16"/>
                <w:szCs w:val="16"/>
                <w:lang w:val="nl-NL"/>
              </w:rPr>
              <w:t>financiële</w:t>
            </w:r>
            <w:r w:rsidR="00112EC0">
              <w:rPr>
                <w:sz w:val="16"/>
                <w:szCs w:val="16"/>
                <w:lang w:val="nl-NL"/>
              </w:rPr>
              <w:t xml:space="preserve"> </w:t>
            </w:r>
            <w:r w:rsidRPr="00992021">
              <w:rPr>
                <w:sz w:val="16"/>
                <w:szCs w:val="16"/>
                <w:lang w:val="nl-NL"/>
              </w:rPr>
              <w:t>gevolgen van hun melding</w:t>
            </w:r>
            <w:r w:rsidR="00112EC0">
              <w:rPr>
                <w:sz w:val="16"/>
                <w:szCs w:val="16"/>
                <w:lang w:val="nl-NL"/>
              </w:rPr>
              <w:t xml:space="preserve">. </w:t>
            </w:r>
            <w:r w:rsidRPr="00992021" w:rsidR="00367936">
              <w:rPr>
                <w:sz w:val="16"/>
                <w:szCs w:val="16"/>
                <w:lang w:val="nl-NL"/>
              </w:rPr>
              <w:t>W</w:t>
            </w:r>
            <w:r w:rsidRPr="00992021">
              <w:rPr>
                <w:sz w:val="16"/>
                <w:szCs w:val="16"/>
                <w:lang w:val="nl-NL"/>
              </w:rPr>
              <w:t xml:space="preserve">aarom </w:t>
            </w:r>
            <w:r w:rsidR="00290CC0">
              <w:rPr>
                <w:sz w:val="16"/>
                <w:szCs w:val="16"/>
                <w:lang w:val="nl-NL"/>
              </w:rPr>
              <w:t>wachten</w:t>
            </w:r>
            <w:r w:rsidRPr="00992021">
              <w:rPr>
                <w:sz w:val="16"/>
                <w:szCs w:val="16"/>
                <w:lang w:val="nl-NL"/>
              </w:rPr>
              <w:t xml:space="preserve"> op </w:t>
            </w:r>
            <w:r w:rsidRPr="00992021" w:rsidR="00367936">
              <w:rPr>
                <w:sz w:val="16"/>
                <w:szCs w:val="16"/>
                <w:lang w:val="nl-NL"/>
              </w:rPr>
              <w:t xml:space="preserve">de </w:t>
            </w:r>
            <w:r w:rsidRPr="00992021">
              <w:rPr>
                <w:sz w:val="16"/>
                <w:szCs w:val="16"/>
                <w:lang w:val="nl-NL"/>
              </w:rPr>
              <w:t xml:space="preserve">uitkomst </w:t>
            </w:r>
            <w:r w:rsidRPr="00992021" w:rsidR="00367936">
              <w:rPr>
                <w:sz w:val="16"/>
                <w:szCs w:val="16"/>
                <w:lang w:val="nl-NL"/>
              </w:rPr>
              <w:t xml:space="preserve">van de </w:t>
            </w:r>
            <w:r w:rsidRPr="00992021">
              <w:rPr>
                <w:sz w:val="16"/>
                <w:szCs w:val="16"/>
                <w:lang w:val="nl-NL"/>
              </w:rPr>
              <w:t>pilots?</w:t>
            </w:r>
            <w:r w:rsidRPr="00992021" w:rsidR="00367936">
              <w:rPr>
                <w:sz w:val="16"/>
                <w:szCs w:val="16"/>
                <w:lang w:val="nl-NL"/>
              </w:rPr>
              <w:t xml:space="preserve"> Die leveren</w:t>
            </w:r>
            <w:r w:rsidRPr="00992021">
              <w:rPr>
                <w:sz w:val="16"/>
                <w:szCs w:val="16"/>
                <w:lang w:val="nl-NL"/>
              </w:rPr>
              <w:t xml:space="preserve"> </w:t>
            </w:r>
            <w:r w:rsidRPr="00992021" w:rsidR="00367936">
              <w:rPr>
                <w:sz w:val="16"/>
                <w:szCs w:val="16"/>
                <w:lang w:val="nl-NL"/>
              </w:rPr>
              <w:t xml:space="preserve">hoogstens </w:t>
            </w:r>
            <w:r w:rsidRPr="00992021">
              <w:rPr>
                <w:sz w:val="16"/>
                <w:szCs w:val="16"/>
                <w:lang w:val="nl-NL"/>
              </w:rPr>
              <w:t xml:space="preserve">informatie </w:t>
            </w:r>
            <w:r w:rsidRPr="00992021" w:rsidR="00367936">
              <w:rPr>
                <w:sz w:val="16"/>
                <w:szCs w:val="16"/>
                <w:lang w:val="nl-NL"/>
              </w:rPr>
              <w:t>op t.b.v.</w:t>
            </w:r>
            <w:r w:rsidRPr="00992021">
              <w:rPr>
                <w:sz w:val="16"/>
                <w:szCs w:val="16"/>
                <w:lang w:val="nl-NL"/>
              </w:rPr>
              <w:t xml:space="preserve"> financiële </w:t>
            </w:r>
            <w:r w:rsidRPr="00992021" w:rsidR="00367936">
              <w:rPr>
                <w:sz w:val="16"/>
                <w:szCs w:val="16"/>
                <w:lang w:val="nl-NL"/>
              </w:rPr>
              <w:t xml:space="preserve">uitwerking. </w:t>
            </w:r>
          </w:p>
          <w:p w:rsidRPr="00992021" w:rsidR="00367936" w:rsidP="00367936" w:rsidRDefault="00367936" w14:paraId="1BEBAD19" w14:textId="3B5C6662">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992021" w:rsidR="00367936" w:rsidP="00992021" w:rsidRDefault="00367936" w14:paraId="73E8E4D0" w14:textId="0D87904D">
            <w:pPr>
              <w:pStyle w:val="Lijstalinea"/>
              <w:numPr>
                <w:ilvl w:val="0"/>
                <w:numId w:val="40"/>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F19D9">
              <w:rPr>
                <w:b/>
                <w:bCs/>
                <w:sz w:val="16"/>
                <w:szCs w:val="16"/>
                <w:lang w:val="nl-NL"/>
              </w:rPr>
              <w:t xml:space="preserve">Aanbeveling </w:t>
            </w:r>
            <w:r w:rsidR="00112EC0">
              <w:rPr>
                <w:b/>
                <w:bCs/>
                <w:sz w:val="16"/>
                <w:szCs w:val="16"/>
                <w:lang w:val="nl-NL"/>
              </w:rPr>
              <w:t>7</w:t>
            </w:r>
            <w:r w:rsidRPr="009F19D9">
              <w:rPr>
                <w:sz w:val="16"/>
                <w:szCs w:val="16"/>
                <w:lang w:val="nl-NL"/>
              </w:rPr>
              <w:t xml:space="preserve">: maak haast met het </w:t>
            </w:r>
            <w:r w:rsidR="006D284C">
              <w:rPr>
                <w:sz w:val="16"/>
                <w:szCs w:val="16"/>
                <w:lang w:val="nl-NL"/>
              </w:rPr>
              <w:t xml:space="preserve">wettelijk </w:t>
            </w:r>
            <w:r w:rsidRPr="009F19D9">
              <w:rPr>
                <w:sz w:val="16"/>
                <w:szCs w:val="16"/>
                <w:lang w:val="nl-NL"/>
              </w:rPr>
              <w:t>instellen van een fonds voor klokkenluiders.</w:t>
            </w:r>
          </w:p>
        </w:tc>
      </w:tr>
      <w:tr w:rsidRPr="00992021" w:rsidR="001F257F" w:rsidTr="000C37F1" w14:paraId="29514DE5"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992021" w:rsidR="001F257F" w:rsidP="001F257F" w:rsidRDefault="001F257F" w14:paraId="6617CACF" w14:textId="0E462FE7">
            <w:pPr>
              <w:pStyle w:val="Lijstalinea"/>
              <w:numPr>
                <w:ilvl w:val="0"/>
                <w:numId w:val="20"/>
              </w:numPr>
              <w:rPr>
                <w:szCs w:val="18"/>
                <w:lang w:val="nl-NL"/>
              </w:rPr>
            </w:pPr>
            <w:r w:rsidRPr="00992021">
              <w:rPr>
                <w:szCs w:val="18"/>
                <w:lang w:val="nl-NL"/>
              </w:rPr>
              <w:lastRenderedPageBreak/>
              <w:t>Doeltreffendheid</w:t>
            </w:r>
          </w:p>
          <w:p w:rsidRPr="00992021" w:rsidR="00A325D3" w:rsidP="00A325D3" w:rsidRDefault="00A325D3" w14:paraId="35A85735" w14:textId="410BCAED">
            <w:pPr>
              <w:rPr>
                <w:szCs w:val="18"/>
                <w:lang w:val="nl-NL"/>
              </w:rPr>
            </w:pPr>
          </w:p>
          <w:p w:rsidRPr="00992021" w:rsidR="00A325D3" w:rsidP="00A325D3" w:rsidRDefault="00A325D3" w14:paraId="7C74B239" w14:textId="77777777">
            <w:pPr>
              <w:rPr>
                <w:szCs w:val="18"/>
                <w:lang w:val="nl-NL"/>
              </w:rPr>
            </w:pPr>
          </w:p>
          <w:p w:rsidRPr="00992021" w:rsidR="001F257F" w:rsidP="000C37F1" w:rsidRDefault="001F257F" w14:paraId="45218CF7" w14:textId="77777777">
            <w:pPr>
              <w:rPr>
                <w:szCs w:val="18"/>
                <w:lang w:val="nl-NL"/>
              </w:rPr>
            </w:pPr>
          </w:p>
        </w:tc>
        <w:tc>
          <w:tcPr>
            <w:tcW w:w="0" w:type="auto"/>
          </w:tcPr>
          <w:p w:rsidRPr="00992021" w:rsidR="001F257F" w:rsidP="000C37F1" w:rsidRDefault="00C15D34" w14:paraId="3329BA9F" w14:textId="38D2D6C5">
            <w:pPr>
              <w:cnfStyle w:val="000000000000" w:firstRow="0" w:lastRow="0" w:firstColumn="0" w:lastColumn="0" w:oddVBand="0" w:evenVBand="0" w:oddHBand="0" w:evenHBand="0" w:firstRowFirstColumn="0" w:firstRowLastColumn="0" w:lastRowFirstColumn="0" w:lastRowLastColumn="0"/>
              <w:rPr>
                <w:szCs w:val="18"/>
                <w:lang w:val="nl-NL"/>
              </w:rPr>
            </w:pPr>
            <w:r w:rsidRPr="00992021">
              <w:rPr>
                <w:noProof/>
                <w:szCs w:val="18"/>
                <w:lang w:eastAsia="nl-NL"/>
              </w:rPr>
              <w:drawing>
                <wp:inline distT="0" distB="0" distL="0" distR="0" wp14:anchorId="0B861864" wp14:editId="3262591E">
                  <wp:extent cx="152400" cy="152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1"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1F668D" w:rsidR="00BE172C" w:rsidP="001F668D" w:rsidRDefault="00642802" w14:paraId="43A1A42B" w14:textId="7DB30618">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1F668D">
              <w:rPr>
                <w:sz w:val="16"/>
                <w:szCs w:val="16"/>
                <w:lang w:val="nl-NL"/>
              </w:rPr>
              <w:t xml:space="preserve">Bijdrage van instrumenten aan doelen </w:t>
            </w:r>
            <w:r w:rsidRPr="001F668D" w:rsidR="008E3421">
              <w:rPr>
                <w:sz w:val="16"/>
                <w:szCs w:val="16"/>
                <w:lang w:val="nl-NL"/>
              </w:rPr>
              <w:t>vooral genoemd</w:t>
            </w:r>
            <w:r w:rsidRPr="001F668D">
              <w:rPr>
                <w:sz w:val="16"/>
                <w:szCs w:val="16"/>
                <w:lang w:val="nl-NL"/>
              </w:rPr>
              <w:t xml:space="preserve"> in kabinetsbrief,</w:t>
            </w:r>
            <w:r w:rsidRPr="001F668D" w:rsidR="008E3421">
              <w:rPr>
                <w:sz w:val="16"/>
                <w:szCs w:val="16"/>
                <w:lang w:val="nl-NL"/>
              </w:rPr>
              <w:t xml:space="preserve"> en</w:t>
            </w:r>
            <w:r w:rsidRPr="001F668D">
              <w:rPr>
                <w:sz w:val="16"/>
                <w:szCs w:val="16"/>
                <w:lang w:val="nl-NL"/>
              </w:rPr>
              <w:t xml:space="preserve"> v</w:t>
            </w:r>
            <w:r w:rsidRPr="001F668D" w:rsidR="00B6683B">
              <w:rPr>
                <w:sz w:val="16"/>
                <w:szCs w:val="16"/>
                <w:lang w:val="nl-NL"/>
              </w:rPr>
              <w:t xml:space="preserve">ooral terug te zien in argumentatie </w:t>
            </w:r>
            <w:r w:rsidRPr="001F668D" w:rsidR="00AA1258">
              <w:rPr>
                <w:sz w:val="16"/>
                <w:szCs w:val="16"/>
                <w:lang w:val="nl-NL"/>
              </w:rPr>
              <w:t>waarom kabinet bepaalde</w:t>
            </w:r>
            <w:r w:rsidRPr="001F668D" w:rsidR="00B6683B">
              <w:rPr>
                <w:sz w:val="16"/>
                <w:szCs w:val="16"/>
                <w:lang w:val="nl-NL"/>
              </w:rPr>
              <w:t xml:space="preserve"> instrumenten </w:t>
            </w:r>
            <w:r w:rsidRPr="001F668D" w:rsidR="00B6683B">
              <w:rPr>
                <w:i/>
                <w:sz w:val="16"/>
                <w:szCs w:val="16"/>
                <w:lang w:val="nl-NL"/>
              </w:rPr>
              <w:t xml:space="preserve">(nog) </w:t>
            </w:r>
            <w:r w:rsidRPr="001F668D" w:rsidR="00B6683B">
              <w:rPr>
                <w:iCs/>
                <w:sz w:val="16"/>
                <w:szCs w:val="16"/>
                <w:lang w:val="nl-NL"/>
              </w:rPr>
              <w:t>niet</w:t>
            </w:r>
            <w:r w:rsidRPr="001F668D" w:rsidR="00B6683B">
              <w:rPr>
                <w:sz w:val="16"/>
                <w:szCs w:val="16"/>
                <w:lang w:val="nl-NL"/>
              </w:rPr>
              <w:t xml:space="preserve"> </w:t>
            </w:r>
            <w:r w:rsidRPr="001F668D" w:rsidR="00D6433C">
              <w:rPr>
                <w:sz w:val="16"/>
                <w:szCs w:val="16"/>
                <w:lang w:val="nl-NL"/>
              </w:rPr>
              <w:t>inzet</w:t>
            </w:r>
            <w:r w:rsidRPr="001F668D" w:rsidR="00B6683B">
              <w:rPr>
                <w:sz w:val="16"/>
                <w:szCs w:val="16"/>
                <w:lang w:val="nl-NL"/>
              </w:rPr>
              <w:t>. Daarbij koppeling gemaakt met doel</w:t>
            </w:r>
            <w:r w:rsidRPr="001F668D" w:rsidR="00A62C70">
              <w:rPr>
                <w:sz w:val="16"/>
                <w:szCs w:val="16"/>
                <w:lang w:val="nl-NL"/>
              </w:rPr>
              <w:t>en:</w:t>
            </w:r>
            <w:r w:rsidRPr="001F668D" w:rsidR="00BD0FD1">
              <w:rPr>
                <w:sz w:val="16"/>
                <w:szCs w:val="16"/>
                <w:lang w:val="nl-NL"/>
              </w:rPr>
              <w:t xml:space="preserve"> doen wat noodzakelijk is voor</w:t>
            </w:r>
            <w:r w:rsidRPr="001F668D" w:rsidR="00B6683B">
              <w:rPr>
                <w:sz w:val="16"/>
                <w:szCs w:val="16"/>
                <w:lang w:val="nl-NL"/>
              </w:rPr>
              <w:t xml:space="preserve"> </w:t>
            </w:r>
            <w:r w:rsidRPr="001F668D" w:rsidR="00D5485D">
              <w:rPr>
                <w:sz w:val="16"/>
                <w:szCs w:val="16"/>
                <w:lang w:val="nl-NL"/>
              </w:rPr>
              <w:t xml:space="preserve">implementatie </w:t>
            </w:r>
            <w:r w:rsidRPr="001F668D" w:rsidR="00B6683B">
              <w:rPr>
                <w:sz w:val="16"/>
                <w:szCs w:val="16"/>
                <w:lang w:val="nl-NL"/>
              </w:rPr>
              <w:t>EU-richtli</w:t>
            </w:r>
            <w:r w:rsidRPr="001F668D" w:rsidR="00D5485D">
              <w:rPr>
                <w:sz w:val="16"/>
                <w:szCs w:val="16"/>
                <w:lang w:val="nl-NL"/>
              </w:rPr>
              <w:t>jn</w:t>
            </w:r>
            <w:r w:rsidRPr="001F668D" w:rsidR="00A62C70">
              <w:rPr>
                <w:sz w:val="16"/>
                <w:szCs w:val="16"/>
                <w:lang w:val="nl-NL"/>
              </w:rPr>
              <w:t xml:space="preserve"> </w:t>
            </w:r>
            <w:r w:rsidRPr="001F668D" w:rsidR="00AA1258">
              <w:rPr>
                <w:sz w:val="16"/>
                <w:szCs w:val="16"/>
                <w:lang w:val="nl-NL"/>
              </w:rPr>
              <w:t>(</w:t>
            </w:r>
            <w:r w:rsidRPr="001F668D" w:rsidR="005A55C0">
              <w:rPr>
                <w:sz w:val="16"/>
                <w:szCs w:val="16"/>
                <w:lang w:val="nl-NL"/>
              </w:rPr>
              <w:t xml:space="preserve">zie </w:t>
            </w:r>
            <w:r w:rsidRPr="001F668D" w:rsidR="00AA1258">
              <w:rPr>
                <w:sz w:val="16"/>
                <w:szCs w:val="16"/>
                <w:lang w:val="nl-NL"/>
              </w:rPr>
              <w:t xml:space="preserve">bijv. </w:t>
            </w:r>
            <w:r w:rsidRPr="001F668D" w:rsidR="00D5485D">
              <w:rPr>
                <w:sz w:val="16"/>
                <w:szCs w:val="16"/>
                <w:lang w:val="nl-NL"/>
              </w:rPr>
              <w:t xml:space="preserve">kabinetsbrief </w:t>
            </w:r>
            <w:r w:rsidRPr="001F668D" w:rsidR="00AA1258">
              <w:rPr>
                <w:sz w:val="16"/>
                <w:szCs w:val="16"/>
                <w:lang w:val="nl-NL"/>
              </w:rPr>
              <w:t>onder voorstel 3) en oplossen maatschappelijke misstanden (</w:t>
            </w:r>
            <w:r w:rsidRPr="001F668D" w:rsidR="005A55C0">
              <w:rPr>
                <w:sz w:val="16"/>
                <w:szCs w:val="16"/>
                <w:lang w:val="nl-NL"/>
              </w:rPr>
              <w:t xml:space="preserve">zie </w:t>
            </w:r>
            <w:r w:rsidRPr="001F668D" w:rsidR="00AA1258">
              <w:rPr>
                <w:sz w:val="16"/>
                <w:szCs w:val="16"/>
                <w:lang w:val="nl-NL"/>
              </w:rPr>
              <w:t xml:space="preserve">bijv. </w:t>
            </w:r>
            <w:r w:rsidRPr="001F668D" w:rsidR="00D5485D">
              <w:rPr>
                <w:sz w:val="16"/>
                <w:szCs w:val="16"/>
                <w:lang w:val="nl-NL"/>
              </w:rPr>
              <w:t>kabinetsbrief</w:t>
            </w:r>
            <w:r w:rsidRPr="001F668D" w:rsidR="00A62C70">
              <w:rPr>
                <w:sz w:val="16"/>
                <w:szCs w:val="16"/>
                <w:lang w:val="nl-NL"/>
              </w:rPr>
              <w:t xml:space="preserve">, </w:t>
            </w:r>
            <w:r w:rsidRPr="001F668D" w:rsidR="00AA1258">
              <w:rPr>
                <w:sz w:val="16"/>
                <w:szCs w:val="16"/>
                <w:lang w:val="nl-NL"/>
              </w:rPr>
              <w:t>voorstel 1).</w:t>
            </w:r>
            <w:r w:rsidRPr="001F668D" w:rsidR="001F668D">
              <w:rPr>
                <w:sz w:val="16"/>
                <w:szCs w:val="16"/>
                <w:lang w:val="nl-NL"/>
              </w:rPr>
              <w:t xml:space="preserve"> </w:t>
            </w:r>
          </w:p>
          <w:p w:rsidRPr="00992021" w:rsidR="000141E8" w:rsidP="00C1448B" w:rsidRDefault="000141E8" w14:paraId="4F69CA0A"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1F668D" w:rsidR="001F668D" w:rsidP="001F668D" w:rsidRDefault="00117998" w14:paraId="4AE3EAA6" w14:textId="4F5F6944">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1F668D">
              <w:rPr>
                <w:sz w:val="16"/>
                <w:szCs w:val="16"/>
                <w:lang w:val="nl-NL"/>
              </w:rPr>
              <w:t xml:space="preserve">(Onzekerheid over) effectiviteit en invloed van externe factoren worden aangehaald ter rechtvaardiging van nader onderzoek. </w:t>
            </w:r>
            <w:r w:rsidRPr="001F668D" w:rsidR="003C262C">
              <w:rPr>
                <w:sz w:val="16"/>
                <w:szCs w:val="16"/>
                <w:lang w:val="nl-NL"/>
              </w:rPr>
              <w:t xml:space="preserve">In de kabinetsbrief wordt </w:t>
            </w:r>
            <w:r w:rsidRPr="001F668D" w:rsidR="00827F1E">
              <w:rPr>
                <w:sz w:val="16"/>
                <w:szCs w:val="16"/>
                <w:lang w:val="nl-NL"/>
              </w:rPr>
              <w:t>onderzoek</w:t>
            </w:r>
            <w:r w:rsidRPr="001F668D" w:rsidR="000141E8">
              <w:rPr>
                <w:sz w:val="16"/>
                <w:szCs w:val="16"/>
                <w:lang w:val="nl-NL"/>
              </w:rPr>
              <w:t xml:space="preserve"> of </w:t>
            </w:r>
            <w:r w:rsidRPr="001F668D" w:rsidR="003C262C">
              <w:rPr>
                <w:sz w:val="16"/>
                <w:szCs w:val="16"/>
                <w:lang w:val="nl-NL"/>
              </w:rPr>
              <w:t xml:space="preserve">overleg </w:t>
            </w:r>
            <w:r w:rsidRPr="001F668D" w:rsidR="00827F1E">
              <w:rPr>
                <w:sz w:val="16"/>
                <w:szCs w:val="16"/>
                <w:lang w:val="nl-NL"/>
              </w:rPr>
              <w:t>aangekondigd over:</w:t>
            </w:r>
          </w:p>
          <w:p w:rsidRPr="00992021" w:rsidR="00642802" w:rsidP="001F668D" w:rsidRDefault="00642802" w14:paraId="4A102028" w14:textId="59E943F5">
            <w:pPr>
              <w:pStyle w:val="Lijstalinea"/>
              <w:numPr>
                <w:ilvl w:val="0"/>
                <w:numId w:val="4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Aparte voorziening melden staatsgeheime informatie </w:t>
            </w:r>
            <w:r w:rsidR="000141E8">
              <w:rPr>
                <w:sz w:val="16"/>
                <w:szCs w:val="16"/>
                <w:lang w:val="nl-NL"/>
              </w:rPr>
              <w:t>(r</w:t>
            </w:r>
            <w:r w:rsidRPr="00992021">
              <w:rPr>
                <w:sz w:val="16"/>
                <w:szCs w:val="16"/>
                <w:lang w:val="nl-NL"/>
              </w:rPr>
              <w:t>eactie voorstel 6);</w:t>
            </w:r>
          </w:p>
          <w:p w:rsidRPr="00992021" w:rsidR="00827F1E" w:rsidP="001F668D" w:rsidRDefault="00827F1E" w14:paraId="49DE47EE" w14:textId="64E0F807">
            <w:pPr>
              <w:pStyle w:val="Lijstalinea"/>
              <w:numPr>
                <w:ilvl w:val="0"/>
                <w:numId w:val="4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Benadelingsverbod ter bescherming van familieleden buiten het </w:t>
            </w:r>
            <w:r w:rsidRPr="00992021" w:rsidR="006046D6">
              <w:rPr>
                <w:sz w:val="16"/>
                <w:szCs w:val="16"/>
                <w:lang w:val="nl-NL"/>
              </w:rPr>
              <w:t>werk</w:t>
            </w:r>
            <w:r w:rsidRPr="00992021" w:rsidR="003C262C">
              <w:rPr>
                <w:sz w:val="16"/>
                <w:szCs w:val="16"/>
                <w:lang w:val="nl-NL"/>
              </w:rPr>
              <w:t>gerelateerde</w:t>
            </w:r>
            <w:r w:rsidRPr="00992021">
              <w:rPr>
                <w:sz w:val="16"/>
                <w:szCs w:val="16"/>
                <w:lang w:val="nl-NL"/>
              </w:rPr>
              <w:t xml:space="preserve"> v</w:t>
            </w:r>
            <w:r w:rsidRPr="00992021" w:rsidR="003C262C">
              <w:rPr>
                <w:sz w:val="16"/>
                <w:szCs w:val="16"/>
                <w:lang w:val="nl-NL"/>
              </w:rPr>
              <w:t>erband (reactie</w:t>
            </w:r>
            <w:r w:rsidRPr="00992021">
              <w:rPr>
                <w:sz w:val="16"/>
                <w:szCs w:val="16"/>
                <w:lang w:val="nl-NL"/>
              </w:rPr>
              <w:t xml:space="preserve"> voorstel 9)</w:t>
            </w:r>
            <w:r w:rsidRPr="00992021" w:rsidR="003C262C">
              <w:rPr>
                <w:sz w:val="16"/>
                <w:szCs w:val="16"/>
                <w:lang w:val="nl-NL"/>
              </w:rPr>
              <w:t>;</w:t>
            </w:r>
          </w:p>
          <w:p w:rsidRPr="00992021" w:rsidR="003C262C" w:rsidP="001F668D" w:rsidRDefault="003C262C" w14:paraId="7E0034D1" w14:textId="2597FF35">
            <w:pPr>
              <w:pStyle w:val="Lijstalinea"/>
              <w:numPr>
                <w:ilvl w:val="0"/>
                <w:numId w:val="4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Instelling van een fonds </w:t>
            </w:r>
            <w:r w:rsidRPr="00992021" w:rsidR="006046D6">
              <w:rPr>
                <w:sz w:val="16"/>
                <w:szCs w:val="16"/>
                <w:lang w:val="nl-NL"/>
              </w:rPr>
              <w:t xml:space="preserve">voor klokkenluiders </w:t>
            </w:r>
            <w:r w:rsidRPr="00992021">
              <w:rPr>
                <w:sz w:val="16"/>
                <w:szCs w:val="16"/>
                <w:lang w:val="nl-NL"/>
              </w:rPr>
              <w:t>(reactie voorstel 11)</w:t>
            </w:r>
            <w:r w:rsidRPr="00992021" w:rsidR="006046D6">
              <w:rPr>
                <w:sz w:val="16"/>
                <w:szCs w:val="16"/>
                <w:lang w:val="nl-NL"/>
              </w:rPr>
              <w:t>;</w:t>
            </w:r>
          </w:p>
          <w:p w:rsidRPr="00992021" w:rsidR="00827F1E" w:rsidP="001F668D" w:rsidRDefault="00C1448B" w14:paraId="425DCD5A" w14:textId="532665DA">
            <w:pPr>
              <w:pStyle w:val="Lijstalinea"/>
              <w:numPr>
                <w:ilvl w:val="0"/>
                <w:numId w:val="4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Meer sanctiemogelijkheden. Strafrechtelijke sancties niet effectief </w:t>
            </w:r>
            <w:r w:rsidRPr="00992021" w:rsidR="006046D6">
              <w:rPr>
                <w:sz w:val="16"/>
                <w:szCs w:val="16"/>
                <w:lang w:val="nl-NL"/>
              </w:rPr>
              <w:t xml:space="preserve">volgens minister, andere sancties wellicht wel </w:t>
            </w:r>
            <w:r w:rsidRPr="00992021" w:rsidR="003C262C">
              <w:rPr>
                <w:sz w:val="16"/>
                <w:szCs w:val="16"/>
                <w:lang w:val="nl-NL"/>
              </w:rPr>
              <w:t>(reactie voorstel 12);</w:t>
            </w:r>
            <w:r w:rsidRPr="00992021">
              <w:rPr>
                <w:sz w:val="16"/>
                <w:szCs w:val="16"/>
                <w:lang w:val="nl-NL"/>
              </w:rPr>
              <w:t xml:space="preserve"> </w:t>
            </w:r>
          </w:p>
          <w:p w:rsidRPr="00992021" w:rsidR="00827F1E" w:rsidP="001F668D" w:rsidRDefault="003C262C" w14:paraId="2AF71222" w14:textId="031E2E9F">
            <w:pPr>
              <w:pStyle w:val="Lijstalinea"/>
              <w:numPr>
                <w:ilvl w:val="0"/>
                <w:numId w:val="4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Toezicht op interne meldkanalen (reactie voorstel 13);</w:t>
            </w:r>
          </w:p>
          <w:p w:rsidRPr="00992021" w:rsidR="003C262C" w:rsidP="001F668D" w:rsidRDefault="003C262C" w14:paraId="10FBB429" w14:textId="37EF35BF">
            <w:pPr>
              <w:pStyle w:val="Lijstalinea"/>
              <w:numPr>
                <w:ilvl w:val="0"/>
                <w:numId w:val="4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Anoniem </w:t>
            </w:r>
            <w:r w:rsidRPr="00992021" w:rsidR="00C1448B">
              <w:rPr>
                <w:sz w:val="16"/>
                <w:szCs w:val="16"/>
                <w:lang w:val="nl-NL"/>
              </w:rPr>
              <w:t>melden. Minister heeft twijfels over effectiviteit van volledig anoniem melden</w:t>
            </w:r>
            <w:r w:rsidRPr="00992021" w:rsidR="00790BB3">
              <w:rPr>
                <w:sz w:val="16"/>
                <w:szCs w:val="16"/>
                <w:lang w:val="nl-NL"/>
              </w:rPr>
              <w:t xml:space="preserve"> </w:t>
            </w:r>
            <w:r w:rsidRPr="00992021">
              <w:rPr>
                <w:sz w:val="16"/>
                <w:szCs w:val="16"/>
                <w:lang w:val="nl-NL"/>
              </w:rPr>
              <w:t>(reactie voorstel 14);</w:t>
            </w:r>
          </w:p>
          <w:p w:rsidRPr="00992021" w:rsidR="003C262C" w:rsidP="001F668D" w:rsidRDefault="003C262C" w14:paraId="5016B501" w14:textId="6EEDABC4">
            <w:pPr>
              <w:pStyle w:val="Lijstalinea"/>
              <w:numPr>
                <w:ilvl w:val="0"/>
                <w:numId w:val="4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Verbod afluisteren of onderscheppen van informatie bij meldkanalen (re</w:t>
            </w:r>
            <w:r w:rsidRPr="00992021" w:rsidR="006046D6">
              <w:rPr>
                <w:sz w:val="16"/>
                <w:szCs w:val="16"/>
                <w:lang w:val="nl-NL"/>
              </w:rPr>
              <w:t>a</w:t>
            </w:r>
            <w:r w:rsidRPr="00992021">
              <w:rPr>
                <w:sz w:val="16"/>
                <w:szCs w:val="16"/>
                <w:lang w:val="nl-NL"/>
              </w:rPr>
              <w:t>ctie voorstel 15).</w:t>
            </w:r>
          </w:p>
          <w:p w:rsidRPr="001F668D" w:rsidR="001F668D" w:rsidP="001F668D" w:rsidRDefault="00642802" w14:paraId="2618AE7F" w14:textId="2CC20DA4">
            <w:pPr>
              <w:pStyle w:val="Lijstalinea"/>
              <w:numPr>
                <w:ilvl w:val="0"/>
                <w:numId w:val="4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Procesbevoegdheid voor het </w:t>
            </w:r>
            <w:proofErr w:type="spellStart"/>
            <w:r w:rsidRPr="00992021">
              <w:rPr>
                <w:sz w:val="16"/>
                <w:szCs w:val="16"/>
                <w:lang w:val="nl-NL"/>
              </w:rPr>
              <w:t>HvK</w:t>
            </w:r>
            <w:proofErr w:type="spellEnd"/>
            <w:r w:rsidRPr="00992021">
              <w:rPr>
                <w:sz w:val="16"/>
                <w:szCs w:val="16"/>
                <w:lang w:val="nl-NL"/>
              </w:rPr>
              <w:t xml:space="preserve"> (p.29).</w:t>
            </w:r>
          </w:p>
          <w:p w:rsidRPr="001F668D" w:rsidR="001F668D" w:rsidP="001F668D" w:rsidRDefault="001F668D" w14:paraId="24AD7E60"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001F668D" w:rsidP="000902C3" w:rsidRDefault="000902C3" w14:paraId="5C265695" w14:textId="77777777">
            <w:pPr>
              <w:pStyle w:val="Lijstalinea"/>
              <w:numPr>
                <w:ilvl w:val="0"/>
                <w:numId w:val="50"/>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1F668D">
              <w:rPr>
                <w:sz w:val="16"/>
                <w:szCs w:val="16"/>
                <w:lang w:val="nl-NL"/>
              </w:rPr>
              <w:t>Doelen niet expliciet gekoppeld aan brede welvaartsdoelen</w:t>
            </w:r>
            <w:r w:rsidRPr="001F668D" w:rsidR="00BD0FD1">
              <w:rPr>
                <w:sz w:val="16"/>
                <w:szCs w:val="16"/>
                <w:lang w:val="nl-NL"/>
              </w:rPr>
              <w:t>.</w:t>
            </w:r>
            <w:r w:rsidRPr="00992021">
              <w:rPr>
                <w:rStyle w:val="Voetnootmarkering"/>
                <w:szCs w:val="18"/>
                <w:lang w:val="nl-NL"/>
              </w:rPr>
              <w:footnoteReference w:id="10"/>
            </w:r>
            <w:r w:rsidRPr="001F668D" w:rsidR="00BE172C">
              <w:rPr>
                <w:sz w:val="16"/>
                <w:szCs w:val="16"/>
                <w:lang w:val="nl-NL"/>
              </w:rPr>
              <w:t xml:space="preserve"> </w:t>
            </w:r>
            <w:r w:rsidRPr="001F668D" w:rsidR="00BD0FD1">
              <w:rPr>
                <w:sz w:val="16"/>
                <w:szCs w:val="16"/>
                <w:lang w:val="nl-NL"/>
              </w:rPr>
              <w:t>I</w:t>
            </w:r>
            <w:r w:rsidRPr="001F668D">
              <w:rPr>
                <w:sz w:val="16"/>
                <w:szCs w:val="16"/>
                <w:lang w:val="nl-NL"/>
              </w:rPr>
              <w:t>ndicatoren voor de brede welvaart niet benoemd</w:t>
            </w:r>
            <w:r w:rsidRPr="001F668D" w:rsidR="00BE172C">
              <w:rPr>
                <w:sz w:val="16"/>
                <w:szCs w:val="16"/>
                <w:lang w:val="nl-NL"/>
              </w:rPr>
              <w:t>.</w:t>
            </w:r>
            <w:r w:rsidRPr="00992021">
              <w:rPr>
                <w:rStyle w:val="Voetnootmarkering"/>
                <w:sz w:val="16"/>
                <w:szCs w:val="16"/>
                <w:lang w:val="nl-NL"/>
              </w:rPr>
              <w:footnoteReference w:id="11"/>
            </w:r>
            <w:r w:rsidRPr="001F668D" w:rsidR="00BE172C">
              <w:rPr>
                <w:sz w:val="16"/>
                <w:szCs w:val="16"/>
                <w:lang w:val="nl-NL"/>
              </w:rPr>
              <w:t xml:space="preserve"> </w:t>
            </w:r>
          </w:p>
          <w:p w:rsidR="001F668D" w:rsidP="00C1448B" w:rsidRDefault="001F668D" w14:paraId="343BFDFD" w14:textId="77777777">
            <w:pPr>
              <w:pStyle w:val="Lijstalinea"/>
              <w:numPr>
                <w:ilvl w:val="0"/>
                <w:numId w:val="50"/>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Op</w:t>
            </w:r>
            <w:r w:rsidRPr="001F668D" w:rsidR="000C37F1">
              <w:rPr>
                <w:sz w:val="16"/>
                <w:szCs w:val="16"/>
                <w:lang w:val="nl-NL"/>
              </w:rPr>
              <w:t xml:space="preserve"> (gebrek aan) effectiviteit </w:t>
            </w:r>
            <w:r w:rsidRPr="001F668D" w:rsidR="006046D6">
              <w:rPr>
                <w:sz w:val="16"/>
                <w:szCs w:val="16"/>
                <w:lang w:val="nl-NL"/>
              </w:rPr>
              <w:t xml:space="preserve">van extra </w:t>
            </w:r>
            <w:r w:rsidRPr="001F668D" w:rsidR="000C37F1">
              <w:rPr>
                <w:sz w:val="16"/>
                <w:szCs w:val="16"/>
                <w:lang w:val="nl-NL"/>
              </w:rPr>
              <w:t>ondersteuning</w:t>
            </w:r>
            <w:r w:rsidRPr="001F668D" w:rsidR="006046D6">
              <w:rPr>
                <w:sz w:val="16"/>
                <w:szCs w:val="16"/>
                <w:lang w:val="nl-NL"/>
              </w:rPr>
              <w:t xml:space="preserve"> voor</w:t>
            </w:r>
            <w:r w:rsidRPr="001F668D" w:rsidR="000C37F1">
              <w:rPr>
                <w:sz w:val="16"/>
                <w:szCs w:val="16"/>
                <w:lang w:val="nl-NL"/>
              </w:rPr>
              <w:t xml:space="preserve"> klokkenluiders wordt expliciet ingegaan in de kabinetsbrief (p.26-27). </w:t>
            </w:r>
          </w:p>
          <w:p w:rsidRPr="001F668D" w:rsidR="001F257F" w:rsidP="00C1448B" w:rsidRDefault="000902C3" w14:paraId="0817A1DD" w14:textId="5FA7678A">
            <w:pPr>
              <w:pStyle w:val="Lijstalinea"/>
              <w:numPr>
                <w:ilvl w:val="0"/>
                <w:numId w:val="50"/>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1F668D">
              <w:rPr>
                <w:sz w:val="16"/>
                <w:szCs w:val="16"/>
                <w:lang w:val="nl-NL"/>
              </w:rPr>
              <w:t xml:space="preserve">In de kabinetsbrief gaat minister ook in op noodzaak van bevorderen veilig werk– en meldklimaat </w:t>
            </w:r>
            <w:r w:rsidRPr="001F668D" w:rsidR="008E3421">
              <w:rPr>
                <w:sz w:val="16"/>
                <w:szCs w:val="16"/>
                <w:lang w:val="nl-NL"/>
              </w:rPr>
              <w:t xml:space="preserve">naast het beschermen van klokkenluiders </w:t>
            </w:r>
            <w:r w:rsidRPr="001F668D">
              <w:rPr>
                <w:sz w:val="16"/>
                <w:szCs w:val="16"/>
                <w:lang w:val="nl-NL"/>
              </w:rPr>
              <w:t>(p</w:t>
            </w:r>
            <w:r w:rsidRPr="001F668D" w:rsidR="00790BB3">
              <w:rPr>
                <w:sz w:val="16"/>
                <w:szCs w:val="16"/>
                <w:lang w:val="nl-NL"/>
              </w:rPr>
              <w:t>.</w:t>
            </w:r>
            <w:r w:rsidRPr="001F668D">
              <w:rPr>
                <w:sz w:val="16"/>
                <w:szCs w:val="16"/>
                <w:lang w:val="nl-NL"/>
              </w:rPr>
              <w:t xml:space="preserve">28-29). </w:t>
            </w:r>
            <w:r w:rsidRPr="001F668D" w:rsidR="008E3421">
              <w:rPr>
                <w:sz w:val="16"/>
                <w:szCs w:val="16"/>
                <w:lang w:val="nl-NL"/>
              </w:rPr>
              <w:t>Om zo te</w:t>
            </w:r>
            <w:r w:rsidRPr="001F668D">
              <w:rPr>
                <w:sz w:val="16"/>
                <w:szCs w:val="16"/>
                <w:lang w:val="nl-NL"/>
              </w:rPr>
              <w:t xml:space="preserve"> voorkomen dat </w:t>
            </w:r>
            <w:r w:rsidRPr="001F668D" w:rsidR="008E3421">
              <w:rPr>
                <w:sz w:val="16"/>
                <w:szCs w:val="16"/>
                <w:lang w:val="nl-NL"/>
              </w:rPr>
              <w:t xml:space="preserve">het </w:t>
            </w:r>
            <w:r w:rsidRPr="001F668D">
              <w:rPr>
                <w:sz w:val="16"/>
                <w:szCs w:val="16"/>
                <w:lang w:val="nl-NL"/>
              </w:rPr>
              <w:t>nodig is om überhaupt klok te luiden.</w:t>
            </w:r>
            <w:r w:rsidRPr="001F668D" w:rsidR="00316A98">
              <w:rPr>
                <w:sz w:val="16"/>
                <w:szCs w:val="16"/>
                <w:lang w:val="nl-NL"/>
              </w:rPr>
              <w:t xml:space="preserve"> </w:t>
            </w:r>
          </w:p>
        </w:tc>
        <w:tc>
          <w:tcPr>
            <w:tcW w:w="3545" w:type="dxa"/>
          </w:tcPr>
          <w:p w:rsidRPr="00992021" w:rsidR="001F257F" w:rsidP="009204AF" w:rsidRDefault="00746A3E" w14:paraId="14DF1486" w14:textId="1D7E0599">
            <w:p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lastRenderedPageBreak/>
              <w:t>De 2</w:t>
            </w:r>
            <w:r w:rsidRPr="00992021">
              <w:rPr>
                <w:sz w:val="16"/>
                <w:szCs w:val="16"/>
                <w:vertAlign w:val="superscript"/>
                <w:lang w:val="nl-NL"/>
              </w:rPr>
              <w:t>e</w:t>
            </w:r>
            <w:r w:rsidRPr="00992021">
              <w:rPr>
                <w:sz w:val="16"/>
                <w:szCs w:val="16"/>
                <w:lang w:val="nl-NL"/>
              </w:rPr>
              <w:t xml:space="preserve"> </w:t>
            </w:r>
            <w:proofErr w:type="spellStart"/>
            <w:r w:rsidRPr="00992021">
              <w:rPr>
                <w:sz w:val="16"/>
                <w:szCs w:val="16"/>
                <w:lang w:val="nl-NL"/>
              </w:rPr>
              <w:t>NvW</w:t>
            </w:r>
            <w:proofErr w:type="spellEnd"/>
            <w:r w:rsidRPr="00992021">
              <w:rPr>
                <w:sz w:val="16"/>
                <w:szCs w:val="16"/>
                <w:lang w:val="nl-NL"/>
              </w:rPr>
              <w:t xml:space="preserve"> heeft een instrumentalistisch karakter. </w:t>
            </w:r>
            <w:r w:rsidRPr="00992021" w:rsidR="009204AF">
              <w:rPr>
                <w:sz w:val="16"/>
                <w:szCs w:val="16"/>
                <w:lang w:val="nl-NL"/>
              </w:rPr>
              <w:t xml:space="preserve">Van een aantal instrumenten wordt doeltreffendheid aangenomen, </w:t>
            </w:r>
            <w:r w:rsidR="00290CC0">
              <w:rPr>
                <w:sz w:val="16"/>
                <w:szCs w:val="16"/>
                <w:lang w:val="nl-NL"/>
              </w:rPr>
              <w:t xml:space="preserve">maar </w:t>
            </w:r>
            <w:r w:rsidRPr="00992021" w:rsidR="009204AF">
              <w:rPr>
                <w:sz w:val="16"/>
                <w:szCs w:val="16"/>
                <w:lang w:val="nl-NL"/>
              </w:rPr>
              <w:t xml:space="preserve">waarop </w:t>
            </w:r>
            <w:r w:rsidR="00290CC0">
              <w:rPr>
                <w:sz w:val="16"/>
                <w:szCs w:val="16"/>
                <w:lang w:val="nl-NL"/>
              </w:rPr>
              <w:t xml:space="preserve">is </w:t>
            </w:r>
            <w:r w:rsidRPr="00992021" w:rsidR="00C02F19">
              <w:rPr>
                <w:sz w:val="16"/>
                <w:szCs w:val="16"/>
                <w:lang w:val="nl-NL"/>
              </w:rPr>
              <w:t xml:space="preserve">die aanname </w:t>
            </w:r>
            <w:r w:rsidRPr="00992021" w:rsidR="009204AF">
              <w:rPr>
                <w:sz w:val="16"/>
                <w:szCs w:val="16"/>
                <w:lang w:val="nl-NL"/>
              </w:rPr>
              <w:t>gebaseerd</w:t>
            </w:r>
            <w:r w:rsidR="00290CC0">
              <w:rPr>
                <w:sz w:val="16"/>
                <w:szCs w:val="16"/>
                <w:lang w:val="nl-NL"/>
              </w:rPr>
              <w:t>?</w:t>
            </w:r>
            <w:r w:rsidRPr="00992021" w:rsidR="009204AF">
              <w:rPr>
                <w:sz w:val="16"/>
                <w:szCs w:val="16"/>
                <w:lang w:val="nl-NL"/>
              </w:rPr>
              <w:t xml:space="preserve"> </w:t>
            </w:r>
          </w:p>
          <w:p w:rsidRPr="00992021" w:rsidR="00E93041" w:rsidP="00E93041" w:rsidRDefault="00E93041" w14:paraId="72532C65" w14:textId="7E70F3B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141B86" w:rsidR="0047797A" w:rsidP="00141B86" w:rsidRDefault="00ED4991" w14:paraId="1DED98BD" w14:textId="648BC98A">
            <w:pPr>
              <w:pStyle w:val="Lijstalinea"/>
              <w:numPr>
                <w:ilvl w:val="0"/>
                <w:numId w:val="48"/>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141B86">
              <w:rPr>
                <w:b/>
                <w:bCs/>
                <w:sz w:val="16"/>
                <w:szCs w:val="16"/>
                <w:lang w:val="nl-NL"/>
              </w:rPr>
              <w:t xml:space="preserve">Aanbeveling </w:t>
            </w:r>
            <w:r w:rsidRPr="00141B86" w:rsidR="00112EC0">
              <w:rPr>
                <w:b/>
                <w:bCs/>
                <w:sz w:val="16"/>
                <w:szCs w:val="16"/>
                <w:lang w:val="nl-NL"/>
              </w:rPr>
              <w:t>8</w:t>
            </w:r>
            <w:r w:rsidRPr="00141B86">
              <w:rPr>
                <w:b/>
                <w:bCs/>
                <w:sz w:val="16"/>
                <w:szCs w:val="16"/>
                <w:lang w:val="nl-NL"/>
              </w:rPr>
              <w:t>:</w:t>
            </w:r>
            <w:r w:rsidRPr="00141B86">
              <w:rPr>
                <w:sz w:val="16"/>
                <w:szCs w:val="16"/>
                <w:lang w:val="nl-NL"/>
              </w:rPr>
              <w:t xml:space="preserve"> </w:t>
            </w:r>
            <w:r w:rsidRPr="00141B86" w:rsidR="00B466AB">
              <w:rPr>
                <w:sz w:val="16"/>
                <w:szCs w:val="16"/>
                <w:lang w:val="nl-NL"/>
              </w:rPr>
              <w:t>m</w:t>
            </w:r>
            <w:r w:rsidRPr="00141B86" w:rsidR="0047797A">
              <w:rPr>
                <w:sz w:val="16"/>
                <w:szCs w:val="16"/>
                <w:lang w:val="nl-NL"/>
              </w:rPr>
              <w:t xml:space="preserve">aak de keuze van beleidsinstrumenten meer </w:t>
            </w:r>
            <w:proofErr w:type="spellStart"/>
            <w:r w:rsidRPr="00141B86" w:rsidR="0047797A">
              <w:rPr>
                <w:sz w:val="16"/>
                <w:szCs w:val="16"/>
                <w:lang w:val="nl-NL"/>
              </w:rPr>
              <w:t>evidence-based</w:t>
            </w:r>
            <w:proofErr w:type="spellEnd"/>
            <w:r w:rsidRPr="00141B86" w:rsidR="0047797A">
              <w:rPr>
                <w:sz w:val="16"/>
                <w:szCs w:val="16"/>
                <w:lang w:val="nl-NL"/>
              </w:rPr>
              <w:t xml:space="preserve"> door doelen meetbaar te maken en de doeltreffendheid beter te onderbouwen.</w:t>
            </w:r>
          </w:p>
          <w:p w:rsidRPr="00992021" w:rsidR="00F65805" w:rsidP="00530208" w:rsidRDefault="00F65805" w14:paraId="13A5C75C" w14:textId="7260B350">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p>
          <w:p w:rsidRPr="009F19D9" w:rsidR="00F65805" w:rsidP="009F19D9" w:rsidRDefault="00F65805" w14:paraId="792AEF15" w14:textId="12FA4F19">
            <w:pPr>
              <w:pStyle w:val="Lijstalinea"/>
              <w:numPr>
                <w:ilvl w:val="0"/>
                <w:numId w:val="38"/>
              </w:numPr>
              <w:cnfStyle w:val="000000000000" w:firstRow="0" w:lastRow="0" w:firstColumn="0" w:lastColumn="0" w:oddVBand="0" w:evenVBand="0" w:oddHBand="0" w:evenHBand="0" w:firstRowFirstColumn="0" w:firstRowLastColumn="0" w:lastRowFirstColumn="0" w:lastRowLastColumn="0"/>
              <w:rPr>
                <w:sz w:val="16"/>
                <w:szCs w:val="16"/>
              </w:rPr>
            </w:pPr>
            <w:r w:rsidRPr="009F19D9">
              <w:rPr>
                <w:b/>
                <w:bCs/>
                <w:sz w:val="16"/>
                <w:szCs w:val="16"/>
                <w:lang w:val="nl-NL"/>
              </w:rPr>
              <w:t xml:space="preserve">Aanbeveling </w:t>
            </w:r>
            <w:r w:rsidR="00112EC0">
              <w:rPr>
                <w:b/>
                <w:bCs/>
                <w:sz w:val="16"/>
                <w:szCs w:val="16"/>
                <w:lang w:val="nl-NL"/>
              </w:rPr>
              <w:t>9</w:t>
            </w:r>
            <w:r w:rsidRPr="009F19D9">
              <w:rPr>
                <w:sz w:val="16"/>
                <w:szCs w:val="16"/>
                <w:lang w:val="nl-NL"/>
              </w:rPr>
              <w:t xml:space="preserve">: koppel de doelen aan dimensies van de brede </w:t>
            </w:r>
            <w:r w:rsidRPr="009F19D9">
              <w:rPr>
                <w:sz w:val="16"/>
                <w:szCs w:val="16"/>
                <w:lang w:val="nl-NL"/>
              </w:rPr>
              <w:lastRenderedPageBreak/>
              <w:t xml:space="preserve">welvaart. </w:t>
            </w:r>
            <w:proofErr w:type="spellStart"/>
            <w:r w:rsidRPr="009F19D9">
              <w:rPr>
                <w:sz w:val="16"/>
                <w:szCs w:val="16"/>
              </w:rPr>
              <w:t>De</w:t>
            </w:r>
            <w:r w:rsidRPr="00DF674C">
              <w:rPr>
                <w:sz w:val="16"/>
                <w:szCs w:val="16"/>
              </w:rPr>
              <w:t>nk</w:t>
            </w:r>
            <w:proofErr w:type="spellEnd"/>
            <w:r w:rsidRPr="00DF674C">
              <w:rPr>
                <w:sz w:val="16"/>
                <w:szCs w:val="16"/>
              </w:rPr>
              <w:t xml:space="preserve"> </w:t>
            </w:r>
            <w:proofErr w:type="spellStart"/>
            <w:r w:rsidRPr="00DF674C">
              <w:rPr>
                <w:sz w:val="16"/>
                <w:szCs w:val="16"/>
              </w:rPr>
              <w:t>aan</w:t>
            </w:r>
            <w:proofErr w:type="spellEnd"/>
            <w:r w:rsidRPr="00DF674C">
              <w:rPr>
                <w:sz w:val="16"/>
                <w:szCs w:val="16"/>
              </w:rPr>
              <w:t xml:space="preserve"> </w:t>
            </w:r>
            <w:proofErr w:type="spellStart"/>
            <w:r w:rsidRPr="00DF674C">
              <w:rPr>
                <w:sz w:val="16"/>
                <w:szCs w:val="16"/>
              </w:rPr>
              <w:t>indicatoren</w:t>
            </w:r>
            <w:proofErr w:type="spellEnd"/>
            <w:r w:rsidRPr="00DF674C">
              <w:rPr>
                <w:sz w:val="16"/>
                <w:szCs w:val="16"/>
              </w:rPr>
              <w:t xml:space="preserve"> </w:t>
            </w:r>
            <w:proofErr w:type="spellStart"/>
            <w:r w:rsidRPr="00DF674C">
              <w:rPr>
                <w:sz w:val="16"/>
                <w:szCs w:val="16"/>
              </w:rPr>
              <w:t>als</w:t>
            </w:r>
            <w:proofErr w:type="spellEnd"/>
            <w:r w:rsidRPr="00DF674C">
              <w:rPr>
                <w:sz w:val="16"/>
                <w:szCs w:val="16"/>
              </w:rPr>
              <w:t xml:space="preserve"> </w:t>
            </w:r>
            <w:r w:rsidRPr="009F19D9">
              <w:rPr>
                <w:i/>
                <w:iCs/>
                <w:sz w:val="16"/>
                <w:szCs w:val="16"/>
              </w:rPr>
              <w:t>Voice and Accountability, Control of Corruption</w:t>
            </w:r>
            <w:r w:rsidRPr="009F19D9">
              <w:rPr>
                <w:sz w:val="16"/>
                <w:szCs w:val="16"/>
              </w:rPr>
              <w:t xml:space="preserve"> </w:t>
            </w:r>
            <w:proofErr w:type="spellStart"/>
            <w:r w:rsidRPr="009F19D9">
              <w:rPr>
                <w:sz w:val="16"/>
                <w:szCs w:val="16"/>
              </w:rPr>
              <w:t>en</w:t>
            </w:r>
            <w:proofErr w:type="spellEnd"/>
            <w:r w:rsidRPr="009F19D9">
              <w:rPr>
                <w:sz w:val="16"/>
                <w:szCs w:val="16"/>
              </w:rPr>
              <w:t xml:space="preserve"> </w:t>
            </w:r>
            <w:r w:rsidRPr="009F19D9">
              <w:rPr>
                <w:i/>
                <w:iCs/>
                <w:sz w:val="16"/>
                <w:szCs w:val="16"/>
              </w:rPr>
              <w:t>Rule of Law</w:t>
            </w:r>
            <w:r w:rsidRPr="009F19D9">
              <w:rPr>
                <w:sz w:val="16"/>
                <w:szCs w:val="16"/>
              </w:rPr>
              <w:t xml:space="preserve">. </w:t>
            </w:r>
          </w:p>
          <w:p w:rsidRPr="009F19D9" w:rsidR="00F65805" w:rsidRDefault="00F65805" w14:paraId="705D0A58" w14:textId="7F22E353">
            <w:pPr>
              <w:cnfStyle w:val="000000000000" w:firstRow="0" w:lastRow="0" w:firstColumn="0" w:lastColumn="0" w:oddVBand="0" w:evenVBand="0" w:oddHBand="0" w:evenHBand="0" w:firstRowFirstColumn="0" w:firstRowLastColumn="0" w:lastRowFirstColumn="0" w:lastRowLastColumn="0"/>
              <w:rPr>
                <w:sz w:val="16"/>
                <w:szCs w:val="16"/>
              </w:rPr>
            </w:pPr>
          </w:p>
          <w:p w:rsidRPr="00992021" w:rsidR="00ED4991" w:rsidP="00ED4991" w:rsidRDefault="00746A3E" w14:paraId="34BEBD9F" w14:textId="6B9180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Wetgeving is slechts het begin. Ook cultuurverandering is noodzakelijk</w:t>
            </w:r>
            <w:r w:rsidR="00913AFB">
              <w:rPr>
                <w:sz w:val="16"/>
                <w:szCs w:val="16"/>
                <w:lang w:val="nl-NL"/>
              </w:rPr>
              <w:t>,</w:t>
            </w:r>
            <w:r w:rsidRPr="00992021">
              <w:rPr>
                <w:rStyle w:val="Voetnootmarkering"/>
                <w:sz w:val="16"/>
                <w:szCs w:val="16"/>
                <w:lang w:val="nl-NL"/>
              </w:rPr>
              <w:footnoteReference w:id="12"/>
            </w:r>
            <w:r w:rsidRPr="00992021">
              <w:rPr>
                <w:sz w:val="16"/>
                <w:szCs w:val="16"/>
                <w:lang w:val="nl-NL"/>
              </w:rPr>
              <w:t xml:space="preserve"> zoals de minister </w:t>
            </w:r>
            <w:r w:rsidR="00913AFB">
              <w:rPr>
                <w:sz w:val="16"/>
                <w:szCs w:val="16"/>
                <w:lang w:val="nl-NL"/>
              </w:rPr>
              <w:t>beaamt</w:t>
            </w:r>
            <w:r w:rsidRPr="00992021">
              <w:rPr>
                <w:sz w:val="16"/>
                <w:szCs w:val="16"/>
                <w:lang w:val="nl-NL"/>
              </w:rPr>
              <w:t>.</w:t>
            </w:r>
            <w:r w:rsidRPr="00992021">
              <w:rPr>
                <w:sz w:val="16"/>
                <w:szCs w:val="16"/>
                <w:lang w:val="nl-NL"/>
              </w:rPr>
              <w:br/>
            </w:r>
          </w:p>
          <w:p w:rsidRPr="006D29C1" w:rsidR="00B466AB" w:rsidP="006D29C1" w:rsidRDefault="00ED4991" w14:paraId="36B31FC2" w14:textId="40D0E8B5">
            <w:pPr>
              <w:pStyle w:val="Lijstalinea"/>
              <w:numPr>
                <w:ilvl w:val="0"/>
                <w:numId w:val="38"/>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6D29C1">
              <w:rPr>
                <w:b/>
                <w:bCs/>
                <w:sz w:val="16"/>
                <w:szCs w:val="16"/>
                <w:lang w:val="nl-NL"/>
              </w:rPr>
              <w:t xml:space="preserve">Aanbeveling </w:t>
            </w:r>
            <w:r w:rsidRPr="006D29C1" w:rsidR="00112EC0">
              <w:rPr>
                <w:b/>
                <w:bCs/>
                <w:sz w:val="16"/>
                <w:szCs w:val="16"/>
                <w:lang w:val="nl-NL"/>
              </w:rPr>
              <w:t>10</w:t>
            </w:r>
            <w:r w:rsidRPr="006D29C1">
              <w:rPr>
                <w:sz w:val="16"/>
                <w:szCs w:val="16"/>
                <w:lang w:val="nl-NL"/>
              </w:rPr>
              <w:t xml:space="preserve">: </w:t>
            </w:r>
            <w:r w:rsidRPr="006D29C1" w:rsidR="00B466AB">
              <w:rPr>
                <w:sz w:val="16"/>
                <w:szCs w:val="16"/>
                <w:lang w:val="nl-NL"/>
              </w:rPr>
              <w:t xml:space="preserve">voer tegelijkertijd met de voorliggende wet ook </w:t>
            </w:r>
            <w:r w:rsidRPr="006D29C1" w:rsidR="002A43CB">
              <w:rPr>
                <w:sz w:val="16"/>
                <w:szCs w:val="16"/>
                <w:lang w:val="nl-NL"/>
              </w:rPr>
              <w:t xml:space="preserve">aanvullende </w:t>
            </w:r>
            <w:r w:rsidRPr="006D29C1" w:rsidR="00B466AB">
              <w:rPr>
                <w:sz w:val="16"/>
                <w:szCs w:val="16"/>
                <w:lang w:val="nl-NL"/>
              </w:rPr>
              <w:t>maatregelen in die een effectieve bijdrage leveren aan cultuurverandering.</w:t>
            </w:r>
          </w:p>
          <w:p w:rsidRPr="00992021" w:rsidR="00361738" w:rsidP="00361738" w:rsidRDefault="00361738" w14:paraId="70CD990B" w14:textId="0578BCE4">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141B86" w:rsidR="00367936" w:rsidP="00361738" w:rsidRDefault="00367936" w14:paraId="03F33C84" w14:textId="5DDE1247">
            <w:pPr>
              <w:cnfStyle w:val="000000000000" w:firstRow="0" w:lastRow="0" w:firstColumn="0" w:lastColumn="0" w:oddVBand="0" w:evenVBand="0" w:oddHBand="0" w:evenHBand="0" w:firstRowFirstColumn="0" w:firstRowLastColumn="0" w:lastRowFirstColumn="0" w:lastRowLastColumn="0"/>
              <w:rPr>
                <w:sz w:val="16"/>
                <w:szCs w:val="16"/>
                <w:lang w:val="nl-NL"/>
              </w:rPr>
            </w:pPr>
            <w:r w:rsidRPr="00141B86">
              <w:rPr>
                <w:sz w:val="16"/>
                <w:szCs w:val="16"/>
                <w:lang w:val="nl-NL"/>
              </w:rPr>
              <w:t xml:space="preserve">Nederlands onderzoek naar de mentale gezondheid van klokkenluiders toont aan dat 85% van de (erkende) klokkenluiders </w:t>
            </w:r>
            <w:r w:rsidRPr="00141B86">
              <w:rPr>
                <w:i/>
                <w:iCs/>
                <w:sz w:val="16"/>
                <w:szCs w:val="16"/>
                <w:lang w:val="nl-NL"/>
              </w:rPr>
              <w:t>‘</w:t>
            </w:r>
            <w:proofErr w:type="spellStart"/>
            <w:r w:rsidRPr="00141B86">
              <w:rPr>
                <w:i/>
                <w:iCs/>
                <w:sz w:val="16"/>
                <w:szCs w:val="16"/>
                <w:lang w:val="nl-NL"/>
              </w:rPr>
              <w:t>suffered</w:t>
            </w:r>
            <w:proofErr w:type="spellEnd"/>
            <w:r w:rsidRPr="00141B86">
              <w:rPr>
                <w:i/>
                <w:iCs/>
                <w:sz w:val="16"/>
                <w:szCs w:val="16"/>
                <w:lang w:val="nl-NL"/>
              </w:rPr>
              <w:t xml:space="preserve"> </w:t>
            </w:r>
            <w:proofErr w:type="spellStart"/>
            <w:r w:rsidRPr="00141B86">
              <w:rPr>
                <w:i/>
                <w:iCs/>
                <w:sz w:val="16"/>
                <w:szCs w:val="16"/>
                <w:lang w:val="nl-NL"/>
              </w:rPr>
              <w:t>from</w:t>
            </w:r>
            <w:proofErr w:type="spellEnd"/>
            <w:r w:rsidRPr="00141B86">
              <w:rPr>
                <w:i/>
                <w:iCs/>
                <w:sz w:val="16"/>
                <w:szCs w:val="16"/>
                <w:lang w:val="nl-NL"/>
              </w:rPr>
              <w:t xml:space="preserve"> severe </w:t>
            </w:r>
            <w:proofErr w:type="spellStart"/>
            <w:r w:rsidRPr="00141B86">
              <w:rPr>
                <w:i/>
                <w:iCs/>
                <w:sz w:val="16"/>
                <w:szCs w:val="16"/>
                <w:lang w:val="nl-NL"/>
              </w:rPr>
              <w:t>anxiety</w:t>
            </w:r>
            <w:proofErr w:type="spellEnd"/>
            <w:r w:rsidRPr="00141B86">
              <w:rPr>
                <w:i/>
                <w:iCs/>
                <w:sz w:val="16"/>
                <w:szCs w:val="16"/>
                <w:lang w:val="nl-NL"/>
              </w:rPr>
              <w:t>’</w:t>
            </w:r>
            <w:r w:rsidRPr="00141B86">
              <w:rPr>
                <w:sz w:val="16"/>
                <w:szCs w:val="16"/>
                <w:lang w:val="nl-NL"/>
              </w:rPr>
              <w:t>, naast andere mentale problemen.</w:t>
            </w:r>
            <w:r w:rsidRPr="00141B86" w:rsidR="00704D82">
              <w:rPr>
                <w:rStyle w:val="Voetnootmarkering"/>
                <w:sz w:val="16"/>
                <w:szCs w:val="16"/>
                <w:lang w:val="nl-NL"/>
              </w:rPr>
              <w:footnoteReference w:id="13"/>
            </w:r>
            <w:r w:rsidRPr="00141B86">
              <w:rPr>
                <w:sz w:val="16"/>
                <w:szCs w:val="16"/>
                <w:lang w:val="nl-NL"/>
              </w:rPr>
              <w:t xml:space="preserve"> Niet alleen de klokkenluider zelf, maar ook de omgeving leidt vaak grote schade. </w:t>
            </w:r>
            <w:r w:rsidRPr="00141B86" w:rsidR="00F57074">
              <w:rPr>
                <w:sz w:val="16"/>
                <w:szCs w:val="16"/>
                <w:lang w:val="nl-NL"/>
              </w:rPr>
              <w:t>Dat kan leiden tot de</w:t>
            </w:r>
            <w:r w:rsidRPr="00141B86">
              <w:rPr>
                <w:sz w:val="16"/>
                <w:szCs w:val="16"/>
                <w:lang w:val="nl-NL"/>
              </w:rPr>
              <w:t xml:space="preserve"> conclusie dat de gevolgen beschouwd </w:t>
            </w:r>
            <w:r w:rsidRPr="00141B86" w:rsidR="00F57074">
              <w:rPr>
                <w:sz w:val="16"/>
                <w:szCs w:val="16"/>
                <w:lang w:val="nl-NL"/>
              </w:rPr>
              <w:t>moeten</w:t>
            </w:r>
            <w:r w:rsidRPr="00141B86">
              <w:rPr>
                <w:sz w:val="16"/>
                <w:szCs w:val="16"/>
                <w:lang w:val="nl-NL"/>
              </w:rPr>
              <w:t xml:space="preserve"> worden als een beroepsziekte, waarvoor geldt dat de werkgever op grond van art. 7:658 BW in beginsel 100% aansprakelijk is voor alle schade. Ook hier geldt dat de betrokkene alleen staat in het verhalen van die schade door middel van vaak langdurige rechtsgangen.</w:t>
            </w:r>
          </w:p>
          <w:p w:rsidRPr="00141B86" w:rsidR="00367936" w:rsidP="00361738" w:rsidRDefault="00367936" w14:paraId="0AB42066" w14:textId="0C82E55F">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992021" w:rsidR="00913AFB" w:rsidP="00913AFB" w:rsidRDefault="00913AFB" w14:paraId="4651C44E"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141B86">
              <w:rPr>
                <w:sz w:val="16"/>
                <w:szCs w:val="16"/>
                <w:lang w:val="nl-NL"/>
              </w:rPr>
              <w:t>In de 2</w:t>
            </w:r>
            <w:r w:rsidRPr="00141B86">
              <w:rPr>
                <w:sz w:val="16"/>
                <w:szCs w:val="16"/>
                <w:vertAlign w:val="superscript"/>
                <w:lang w:val="nl-NL"/>
              </w:rPr>
              <w:t>e</w:t>
            </w:r>
            <w:r w:rsidRPr="00141B86">
              <w:rPr>
                <w:sz w:val="16"/>
                <w:szCs w:val="16"/>
                <w:lang w:val="nl-NL"/>
              </w:rPr>
              <w:t xml:space="preserve"> </w:t>
            </w:r>
            <w:proofErr w:type="spellStart"/>
            <w:r w:rsidRPr="00141B86">
              <w:rPr>
                <w:sz w:val="16"/>
                <w:szCs w:val="16"/>
                <w:lang w:val="nl-NL"/>
              </w:rPr>
              <w:t>NvW</w:t>
            </w:r>
            <w:proofErr w:type="spellEnd"/>
            <w:r w:rsidRPr="00141B86">
              <w:rPr>
                <w:sz w:val="16"/>
                <w:szCs w:val="16"/>
                <w:lang w:val="nl-NL"/>
              </w:rPr>
              <w:t xml:space="preserve"> wordt geen relatie gelegd tussen de klokkenluidersproblematiek en arbeidsrecht. Toch zal de voorliggende wetgeving ook daar een rol spelen. Immers, de jurisprudentie toont dat rechters weinig oog hebben voor de specifieke problematiek.</w:t>
            </w:r>
            <w:r w:rsidRPr="00141B86">
              <w:rPr>
                <w:rStyle w:val="Voetnootmarkering"/>
                <w:sz w:val="16"/>
                <w:szCs w:val="16"/>
                <w:lang w:val="nl-NL"/>
              </w:rPr>
              <w:footnoteReference w:id="14"/>
            </w:r>
            <w:r w:rsidRPr="00141B86">
              <w:rPr>
                <w:sz w:val="16"/>
                <w:szCs w:val="16"/>
                <w:lang w:val="nl-NL"/>
              </w:rPr>
              <w:t xml:space="preserve"> Onduidelijk is hoe de positie van (erkende) klokkenluider doorwerkt in de arbeidsrelatie. Omdat wordt gekozen voor de individuele arbeidsrelatie als startpunt van een procedure, moet de connectie met het arbeidsrecht nadrukkelijk worden uitgewerkt.</w:t>
            </w:r>
            <w:r w:rsidRPr="00992021">
              <w:rPr>
                <w:sz w:val="16"/>
                <w:szCs w:val="16"/>
                <w:lang w:val="nl-NL"/>
              </w:rPr>
              <w:t xml:space="preserve"> </w:t>
            </w:r>
          </w:p>
          <w:p w:rsidRPr="00992021" w:rsidR="00913AFB" w:rsidP="00361738" w:rsidRDefault="00913AFB" w14:paraId="14A62E7A"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00913AFB" w:rsidP="00913AFB" w:rsidRDefault="00361738" w14:paraId="0FAA00D7" w14:textId="7777777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b/>
                <w:bCs/>
                <w:sz w:val="16"/>
                <w:szCs w:val="16"/>
                <w:lang w:val="nl-NL"/>
              </w:rPr>
              <w:t xml:space="preserve">Aanbeveling </w:t>
            </w:r>
            <w:r w:rsidR="00112EC0">
              <w:rPr>
                <w:b/>
                <w:bCs/>
                <w:sz w:val="16"/>
                <w:szCs w:val="16"/>
                <w:lang w:val="nl-NL"/>
              </w:rPr>
              <w:t>11</w:t>
            </w:r>
            <w:r w:rsidRPr="00992021">
              <w:rPr>
                <w:sz w:val="16"/>
                <w:szCs w:val="16"/>
                <w:lang w:val="nl-NL"/>
              </w:rPr>
              <w:t xml:space="preserve">: expliciteer de relatie tussen </w:t>
            </w:r>
            <w:r w:rsidR="00777C37">
              <w:rPr>
                <w:sz w:val="16"/>
                <w:szCs w:val="16"/>
                <w:lang w:val="nl-NL"/>
              </w:rPr>
              <w:t>(</w:t>
            </w:r>
            <w:proofErr w:type="spellStart"/>
            <w:r w:rsidR="00777C37">
              <w:rPr>
                <w:sz w:val="16"/>
                <w:szCs w:val="16"/>
                <w:lang w:val="nl-NL"/>
              </w:rPr>
              <w:t>arbeids</w:t>
            </w:r>
            <w:proofErr w:type="spellEnd"/>
            <w:r w:rsidR="00777C37">
              <w:rPr>
                <w:sz w:val="16"/>
                <w:szCs w:val="16"/>
                <w:lang w:val="nl-NL"/>
              </w:rPr>
              <w:t>)</w:t>
            </w:r>
            <w:r w:rsidRPr="00992021">
              <w:rPr>
                <w:sz w:val="16"/>
                <w:szCs w:val="16"/>
                <w:lang w:val="nl-NL"/>
              </w:rPr>
              <w:t>wetgeving</w:t>
            </w:r>
            <w:r w:rsidR="00777C37">
              <w:rPr>
                <w:sz w:val="16"/>
                <w:szCs w:val="16"/>
                <w:lang w:val="nl-NL"/>
              </w:rPr>
              <w:t xml:space="preserve"> en de jurisprudentie</w:t>
            </w:r>
            <w:r w:rsidRPr="00992021">
              <w:rPr>
                <w:sz w:val="16"/>
                <w:szCs w:val="16"/>
                <w:lang w:val="nl-NL"/>
              </w:rPr>
              <w:t xml:space="preserve">. </w:t>
            </w:r>
            <w:r w:rsidR="00777C37">
              <w:rPr>
                <w:sz w:val="16"/>
                <w:szCs w:val="16"/>
                <w:lang w:val="nl-NL"/>
              </w:rPr>
              <w:t xml:space="preserve">Geef aan hoe de gekozen oplossingen een remedie bieden voor de huidige tekortkomingen. </w:t>
            </w:r>
            <w:r w:rsidRPr="00992021">
              <w:rPr>
                <w:sz w:val="16"/>
                <w:szCs w:val="16"/>
                <w:lang w:val="nl-NL"/>
              </w:rPr>
              <w:t>Definieer de mogelijke rol van de Arbeidsinspectie daarbij.</w:t>
            </w:r>
          </w:p>
          <w:p w:rsidR="00913AFB" w:rsidP="009834B3" w:rsidRDefault="00361738" w14:paraId="1F1B6CDE" w14:textId="7A2C46EE">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 </w:t>
            </w:r>
          </w:p>
          <w:p w:rsidRPr="00913AFB" w:rsidR="00381246" w:rsidP="00913AFB" w:rsidRDefault="006D284C" w14:paraId="2564DBCF" w14:textId="7EC8E50C">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13AFB">
              <w:rPr>
                <w:b/>
                <w:bCs/>
                <w:sz w:val="16"/>
                <w:szCs w:val="16"/>
                <w:lang w:val="nl-NL"/>
              </w:rPr>
              <w:t>Concluderend</w:t>
            </w:r>
            <w:r w:rsidRPr="00913AFB" w:rsidR="00913AFB">
              <w:rPr>
                <w:sz w:val="16"/>
                <w:szCs w:val="16"/>
                <w:lang w:val="nl-NL"/>
              </w:rPr>
              <w:t>:</w:t>
            </w:r>
            <w:r w:rsidRPr="00913AFB">
              <w:rPr>
                <w:sz w:val="16"/>
                <w:szCs w:val="16"/>
                <w:lang w:val="nl-NL"/>
              </w:rPr>
              <w:t xml:space="preserve"> de wet die voorligt</w:t>
            </w:r>
            <w:r w:rsidRPr="00913AFB" w:rsidR="002A43CB">
              <w:rPr>
                <w:sz w:val="16"/>
                <w:szCs w:val="16"/>
                <w:lang w:val="nl-NL"/>
              </w:rPr>
              <w:t xml:space="preserve"> </w:t>
            </w:r>
            <w:r w:rsidRPr="00913AFB" w:rsidR="00913AFB">
              <w:rPr>
                <w:sz w:val="16"/>
                <w:szCs w:val="16"/>
                <w:lang w:val="nl-NL"/>
              </w:rPr>
              <w:t xml:space="preserve">is </w:t>
            </w:r>
            <w:r w:rsidRPr="00913AFB" w:rsidR="002A43CB">
              <w:rPr>
                <w:sz w:val="16"/>
                <w:szCs w:val="16"/>
                <w:lang w:val="nl-NL"/>
              </w:rPr>
              <w:t>wél in overeenstemming</w:t>
            </w:r>
            <w:r w:rsidRPr="00913AFB">
              <w:rPr>
                <w:sz w:val="16"/>
                <w:szCs w:val="16"/>
                <w:lang w:val="nl-NL"/>
              </w:rPr>
              <w:t xml:space="preserve"> </w:t>
            </w:r>
            <w:r w:rsidRPr="00913AFB" w:rsidR="00B718B4">
              <w:rPr>
                <w:sz w:val="16"/>
                <w:szCs w:val="16"/>
                <w:lang w:val="nl-NL"/>
              </w:rPr>
              <w:t xml:space="preserve">met </w:t>
            </w:r>
            <w:r w:rsidRPr="00913AFB">
              <w:rPr>
                <w:sz w:val="16"/>
                <w:szCs w:val="16"/>
                <w:lang w:val="nl-NL"/>
              </w:rPr>
              <w:t xml:space="preserve">de </w:t>
            </w:r>
            <w:r w:rsidRPr="00913AFB">
              <w:rPr>
                <w:i/>
                <w:iCs/>
                <w:sz w:val="16"/>
                <w:szCs w:val="16"/>
                <w:lang w:val="nl-NL"/>
              </w:rPr>
              <w:t>letter</w:t>
            </w:r>
            <w:r w:rsidRPr="00913AFB">
              <w:rPr>
                <w:sz w:val="16"/>
                <w:szCs w:val="16"/>
                <w:lang w:val="nl-NL"/>
              </w:rPr>
              <w:t>, maar n</w:t>
            </w:r>
            <w:r w:rsidRPr="00913AFB" w:rsidR="002A43CB">
              <w:rPr>
                <w:sz w:val="16"/>
                <w:szCs w:val="16"/>
                <w:lang w:val="nl-NL"/>
              </w:rPr>
              <w:t>í</w:t>
            </w:r>
            <w:r w:rsidRPr="00913AFB">
              <w:rPr>
                <w:sz w:val="16"/>
                <w:szCs w:val="16"/>
                <w:lang w:val="nl-NL"/>
              </w:rPr>
              <w:t xml:space="preserve">et met de </w:t>
            </w:r>
            <w:r w:rsidRPr="00913AFB">
              <w:rPr>
                <w:i/>
                <w:iCs/>
                <w:sz w:val="16"/>
                <w:szCs w:val="16"/>
                <w:lang w:val="nl-NL"/>
              </w:rPr>
              <w:t>geest</w:t>
            </w:r>
            <w:r w:rsidRPr="00913AFB">
              <w:rPr>
                <w:sz w:val="16"/>
                <w:szCs w:val="16"/>
                <w:lang w:val="nl-NL"/>
              </w:rPr>
              <w:t xml:space="preserve"> van de EU</w:t>
            </w:r>
            <w:r w:rsidRPr="00913AFB" w:rsidR="00FE4272">
              <w:rPr>
                <w:sz w:val="16"/>
                <w:szCs w:val="16"/>
                <w:lang w:val="nl-NL"/>
              </w:rPr>
              <w:t>-r</w:t>
            </w:r>
            <w:r w:rsidRPr="00913AFB">
              <w:rPr>
                <w:sz w:val="16"/>
                <w:szCs w:val="16"/>
                <w:lang w:val="nl-NL"/>
              </w:rPr>
              <w:t>ichtlijn (vgl. Overweging 108 EU</w:t>
            </w:r>
            <w:r w:rsidRPr="00913AFB" w:rsidR="00FE4272">
              <w:rPr>
                <w:sz w:val="16"/>
                <w:szCs w:val="16"/>
                <w:lang w:val="nl-NL"/>
              </w:rPr>
              <w:t>-r</w:t>
            </w:r>
            <w:r w:rsidRPr="00913AFB">
              <w:rPr>
                <w:sz w:val="16"/>
                <w:szCs w:val="16"/>
                <w:lang w:val="nl-NL"/>
              </w:rPr>
              <w:t>ichtlijn). D</w:t>
            </w:r>
            <w:r w:rsidRPr="00913AFB" w:rsidR="00DF688D">
              <w:rPr>
                <w:sz w:val="16"/>
                <w:szCs w:val="16"/>
                <w:lang w:val="nl-NL"/>
              </w:rPr>
              <w:t xml:space="preserve">e wet </w:t>
            </w:r>
            <w:r w:rsidRPr="00913AFB">
              <w:rPr>
                <w:sz w:val="16"/>
                <w:szCs w:val="16"/>
                <w:lang w:val="nl-NL"/>
              </w:rPr>
              <w:t xml:space="preserve">leidt </w:t>
            </w:r>
            <w:r w:rsidRPr="00913AFB" w:rsidR="00DF688D">
              <w:rPr>
                <w:sz w:val="16"/>
                <w:szCs w:val="16"/>
                <w:lang w:val="nl-NL"/>
              </w:rPr>
              <w:t xml:space="preserve">waarschijnlijk niet tot </w:t>
            </w:r>
            <w:r w:rsidRPr="00913AFB" w:rsidR="00112EC0">
              <w:rPr>
                <w:sz w:val="16"/>
                <w:szCs w:val="16"/>
                <w:lang w:val="nl-NL"/>
              </w:rPr>
              <w:t>doeltreffende</w:t>
            </w:r>
            <w:r w:rsidRPr="00913AFB" w:rsidR="00DF688D">
              <w:rPr>
                <w:sz w:val="16"/>
                <w:szCs w:val="16"/>
                <w:lang w:val="nl-NL"/>
              </w:rPr>
              <w:t xml:space="preserve"> bescherming van klokkenluiders en de oplossing van maatschappelijke misstanden.</w:t>
            </w:r>
            <w:r w:rsidRPr="00913AFB">
              <w:rPr>
                <w:sz w:val="16"/>
                <w:szCs w:val="16"/>
                <w:lang w:val="nl-NL"/>
              </w:rPr>
              <w:t xml:space="preserve"> </w:t>
            </w:r>
          </w:p>
        </w:tc>
      </w:tr>
      <w:tr w:rsidRPr="00992021" w:rsidR="00F503F9" w:rsidTr="000C37F1" w14:paraId="6DCB371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992021" w:rsidR="00F503F9" w:rsidP="00F503F9" w:rsidRDefault="00F503F9" w14:paraId="477A81FA" w14:textId="4182DB0E">
            <w:pPr>
              <w:pStyle w:val="Lijstalinea"/>
              <w:numPr>
                <w:ilvl w:val="0"/>
                <w:numId w:val="20"/>
              </w:numPr>
              <w:rPr>
                <w:szCs w:val="18"/>
                <w:lang w:val="nl-NL"/>
              </w:rPr>
            </w:pPr>
            <w:r w:rsidRPr="00992021">
              <w:rPr>
                <w:szCs w:val="18"/>
                <w:lang w:val="nl-NL"/>
              </w:rPr>
              <w:lastRenderedPageBreak/>
              <w:t>Doelmatigheid</w:t>
            </w:r>
          </w:p>
          <w:p w:rsidRPr="00992021" w:rsidR="001F257F" w:rsidP="001F257F" w:rsidRDefault="001F257F" w14:paraId="541A90E9" w14:textId="77777777">
            <w:pPr>
              <w:pStyle w:val="Lijstalinea"/>
              <w:ind w:left="360"/>
              <w:rPr>
                <w:szCs w:val="18"/>
                <w:lang w:val="nl-NL"/>
              </w:rPr>
            </w:pPr>
          </w:p>
          <w:p w:rsidRPr="00992021" w:rsidR="00C37077" w:rsidP="00C37077" w:rsidRDefault="00C37077" w14:paraId="799AA9B4" w14:textId="77777777">
            <w:pPr>
              <w:rPr>
                <w:szCs w:val="18"/>
                <w:lang w:val="nl-NL"/>
              </w:rPr>
            </w:pPr>
          </w:p>
          <w:p w:rsidRPr="00992021" w:rsidR="00C37077" w:rsidP="00C37077" w:rsidRDefault="00C37077" w14:paraId="269C4CEF" w14:textId="77777777">
            <w:pPr>
              <w:rPr>
                <w:szCs w:val="18"/>
                <w:lang w:val="nl-NL"/>
              </w:rPr>
            </w:pPr>
          </w:p>
          <w:p w:rsidRPr="00992021" w:rsidR="00C37077" w:rsidP="00C37077" w:rsidRDefault="00C37077" w14:paraId="1C936890" w14:textId="77777777">
            <w:pPr>
              <w:rPr>
                <w:szCs w:val="18"/>
                <w:lang w:val="nl-NL"/>
              </w:rPr>
            </w:pPr>
          </w:p>
          <w:p w:rsidRPr="00992021" w:rsidR="00C37077" w:rsidP="00C37077" w:rsidRDefault="00C37077" w14:paraId="6BE0C532" w14:textId="77777777">
            <w:pPr>
              <w:rPr>
                <w:szCs w:val="18"/>
                <w:lang w:val="nl-NL"/>
              </w:rPr>
            </w:pPr>
          </w:p>
          <w:p w:rsidRPr="00992021" w:rsidR="00C37077" w:rsidP="00C37077" w:rsidRDefault="00C37077" w14:paraId="1891A47D" w14:textId="77777777">
            <w:pPr>
              <w:rPr>
                <w:szCs w:val="18"/>
                <w:lang w:val="nl-NL"/>
              </w:rPr>
            </w:pPr>
          </w:p>
          <w:p w:rsidRPr="00992021" w:rsidR="00C37077" w:rsidP="00C37077" w:rsidRDefault="00C37077" w14:paraId="4B673B21" w14:textId="77777777">
            <w:pPr>
              <w:rPr>
                <w:szCs w:val="18"/>
                <w:lang w:val="nl-NL"/>
              </w:rPr>
            </w:pPr>
          </w:p>
          <w:p w:rsidRPr="00992021" w:rsidR="00C37077" w:rsidP="00C37077" w:rsidRDefault="00C37077" w14:paraId="051100CD" w14:textId="77777777">
            <w:pPr>
              <w:rPr>
                <w:szCs w:val="18"/>
                <w:lang w:val="nl-NL"/>
              </w:rPr>
            </w:pPr>
          </w:p>
          <w:p w:rsidRPr="00992021" w:rsidR="00C37077" w:rsidP="00C37077" w:rsidRDefault="00C37077" w14:paraId="0DBBBDA3" w14:textId="52543F66">
            <w:pPr>
              <w:rPr>
                <w:szCs w:val="18"/>
                <w:lang w:val="nl-NL"/>
              </w:rPr>
            </w:pPr>
          </w:p>
        </w:tc>
        <w:tc>
          <w:tcPr>
            <w:tcW w:w="0" w:type="auto"/>
          </w:tcPr>
          <w:p w:rsidRPr="00992021" w:rsidR="00F503F9" w:rsidP="000C37F1" w:rsidRDefault="00CA17F8" w14:paraId="7666BB87" w14:textId="2F7D5321">
            <w:pPr>
              <w:cnfStyle w:val="000000100000" w:firstRow="0" w:lastRow="0" w:firstColumn="0" w:lastColumn="0" w:oddVBand="0" w:evenVBand="0" w:oddHBand="1" w:evenHBand="0" w:firstRowFirstColumn="0" w:firstRowLastColumn="0" w:lastRowFirstColumn="0" w:lastRowLastColumn="0"/>
              <w:rPr>
                <w:szCs w:val="18"/>
                <w:lang w:val="nl-NL"/>
              </w:rPr>
            </w:pPr>
            <w:r w:rsidRPr="00992021">
              <w:rPr>
                <w:noProof/>
                <w:szCs w:val="18"/>
                <w:lang w:eastAsia="nl-NL"/>
              </w:rPr>
              <w:lastRenderedPageBreak/>
              <w:drawing>
                <wp:inline distT="0" distB="0" distL="0" distR="0" wp14:anchorId="3F26B8EC" wp14:editId="4B911CAF">
                  <wp:extent cx="193040" cy="164727"/>
                  <wp:effectExtent l="0" t="0" r="0" b="63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0"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992021" w:rsidR="00BC7D51" w:rsidP="00BC7D51" w:rsidRDefault="00F503F9" w14:paraId="4F81ECD3" w14:textId="1B3B573E">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Doelmatigheid </w:t>
            </w:r>
            <w:r w:rsidRPr="00992021" w:rsidR="00847AAD">
              <w:rPr>
                <w:sz w:val="16"/>
                <w:szCs w:val="16"/>
                <w:lang w:val="nl-NL"/>
              </w:rPr>
              <w:t xml:space="preserve">wordt </w:t>
            </w:r>
            <w:r w:rsidRPr="00992021" w:rsidR="00BC7D51">
              <w:rPr>
                <w:sz w:val="16"/>
                <w:szCs w:val="16"/>
                <w:lang w:val="nl-NL"/>
              </w:rPr>
              <w:t>aangest</w:t>
            </w:r>
            <w:r w:rsidRPr="00992021" w:rsidR="006046D6">
              <w:rPr>
                <w:sz w:val="16"/>
                <w:szCs w:val="16"/>
                <w:lang w:val="nl-NL"/>
              </w:rPr>
              <w:t xml:space="preserve">ipt in de </w:t>
            </w:r>
            <w:proofErr w:type="spellStart"/>
            <w:r w:rsidRPr="00992021" w:rsidR="006046D6">
              <w:rPr>
                <w:sz w:val="16"/>
                <w:szCs w:val="16"/>
                <w:lang w:val="nl-NL"/>
              </w:rPr>
              <w:t>MvT</w:t>
            </w:r>
            <w:proofErr w:type="spellEnd"/>
            <w:r w:rsidRPr="00992021" w:rsidR="006046D6">
              <w:rPr>
                <w:sz w:val="16"/>
                <w:szCs w:val="16"/>
                <w:lang w:val="nl-NL"/>
              </w:rPr>
              <w:t>. Daar wordt op p.</w:t>
            </w:r>
            <w:r w:rsidRPr="00992021" w:rsidR="00BC7D51">
              <w:rPr>
                <w:sz w:val="16"/>
                <w:szCs w:val="16"/>
                <w:lang w:val="nl-NL"/>
              </w:rPr>
              <w:t xml:space="preserve">45-52 ingegaan op bestuurlijke lasten, regeldruk, uitvoeringskosten en </w:t>
            </w:r>
            <w:r w:rsidRPr="00992021" w:rsidR="00BC7D51">
              <w:rPr>
                <w:sz w:val="16"/>
                <w:szCs w:val="16"/>
                <w:lang w:val="nl-NL"/>
              </w:rPr>
              <w:lastRenderedPageBreak/>
              <w:t>gegevensbescherming (</w:t>
            </w:r>
            <w:r w:rsidRPr="00992021" w:rsidR="006046D6">
              <w:rPr>
                <w:sz w:val="16"/>
                <w:szCs w:val="16"/>
                <w:lang w:val="nl-NL"/>
              </w:rPr>
              <w:t xml:space="preserve">NB </w:t>
            </w:r>
            <w:r w:rsidRPr="00992021" w:rsidR="00BC7D51">
              <w:rPr>
                <w:sz w:val="16"/>
                <w:szCs w:val="16"/>
                <w:lang w:val="nl-NL"/>
              </w:rPr>
              <w:t>de nieuwe maatregelen uit de 2</w:t>
            </w:r>
            <w:r w:rsidRPr="00992021" w:rsidR="00BC7D51">
              <w:rPr>
                <w:sz w:val="16"/>
                <w:szCs w:val="16"/>
                <w:vertAlign w:val="superscript"/>
                <w:lang w:val="nl-NL"/>
              </w:rPr>
              <w:t>e</w:t>
            </w:r>
            <w:r w:rsidRPr="00992021" w:rsidR="00BC7D51">
              <w:rPr>
                <w:sz w:val="16"/>
                <w:szCs w:val="16"/>
                <w:lang w:val="nl-NL"/>
              </w:rPr>
              <w:t xml:space="preserve"> </w:t>
            </w:r>
            <w:proofErr w:type="spellStart"/>
            <w:r w:rsidRPr="00992021" w:rsidR="00BC7D51">
              <w:rPr>
                <w:sz w:val="16"/>
                <w:szCs w:val="16"/>
                <w:lang w:val="nl-NL"/>
              </w:rPr>
              <w:t>NvW</w:t>
            </w:r>
            <w:proofErr w:type="spellEnd"/>
            <w:r w:rsidRPr="00992021" w:rsidR="00BC7D51">
              <w:rPr>
                <w:sz w:val="16"/>
                <w:szCs w:val="16"/>
                <w:lang w:val="nl-NL"/>
              </w:rPr>
              <w:t xml:space="preserve"> zijn hierin</w:t>
            </w:r>
            <w:r w:rsidRPr="00992021" w:rsidR="006046D6">
              <w:rPr>
                <w:sz w:val="16"/>
                <w:szCs w:val="16"/>
                <w:lang w:val="nl-NL"/>
              </w:rPr>
              <w:t xml:space="preserve"> dus nog</w:t>
            </w:r>
            <w:r w:rsidRPr="00992021" w:rsidR="00BC7D51">
              <w:rPr>
                <w:sz w:val="16"/>
                <w:szCs w:val="16"/>
                <w:lang w:val="nl-NL"/>
              </w:rPr>
              <w:t xml:space="preserve"> niet meegenomen). </w:t>
            </w:r>
            <w:r w:rsidRPr="00992021" w:rsidR="000C37F1">
              <w:rPr>
                <w:sz w:val="16"/>
                <w:szCs w:val="16"/>
                <w:lang w:val="nl-NL"/>
              </w:rPr>
              <w:t xml:space="preserve">Algemene conclusie is </w:t>
            </w:r>
            <w:r w:rsidRPr="00992021" w:rsidR="00BC7D51">
              <w:rPr>
                <w:sz w:val="16"/>
                <w:szCs w:val="16"/>
                <w:lang w:val="nl-NL"/>
              </w:rPr>
              <w:t xml:space="preserve">dat </w:t>
            </w:r>
            <w:r w:rsidRPr="00992021" w:rsidR="000C37F1">
              <w:rPr>
                <w:sz w:val="16"/>
                <w:szCs w:val="16"/>
                <w:lang w:val="nl-NL"/>
              </w:rPr>
              <w:t xml:space="preserve">doelmatigheidsinschattingen lastig zijn </w:t>
            </w:r>
            <w:r w:rsidRPr="00992021" w:rsidR="00BC7D51">
              <w:rPr>
                <w:sz w:val="16"/>
                <w:szCs w:val="16"/>
                <w:lang w:val="nl-NL"/>
              </w:rPr>
              <w:t>wegens het ontbreken van gegevens over het aantal meldingen en onzekerh</w:t>
            </w:r>
            <w:r w:rsidRPr="00992021" w:rsidR="000C37F1">
              <w:rPr>
                <w:sz w:val="16"/>
                <w:szCs w:val="16"/>
                <w:lang w:val="nl-NL"/>
              </w:rPr>
              <w:t>eid over dit aantal in toekomst (</w:t>
            </w:r>
            <w:proofErr w:type="spellStart"/>
            <w:r w:rsidRPr="00992021" w:rsidR="000C37F1">
              <w:rPr>
                <w:sz w:val="16"/>
                <w:szCs w:val="16"/>
                <w:lang w:val="nl-NL"/>
              </w:rPr>
              <w:t>MvT</w:t>
            </w:r>
            <w:proofErr w:type="spellEnd"/>
            <w:r w:rsidRPr="00992021" w:rsidR="00E47EBF">
              <w:rPr>
                <w:sz w:val="16"/>
                <w:szCs w:val="16"/>
                <w:lang w:val="nl-NL"/>
              </w:rPr>
              <w:t>,</w:t>
            </w:r>
            <w:r w:rsidRPr="00992021" w:rsidR="000C37F1">
              <w:rPr>
                <w:sz w:val="16"/>
                <w:szCs w:val="16"/>
                <w:lang w:val="nl-NL"/>
              </w:rPr>
              <w:t xml:space="preserve"> p.46 en </w:t>
            </w:r>
            <w:proofErr w:type="spellStart"/>
            <w:r w:rsidRPr="00992021" w:rsidR="000C37F1">
              <w:rPr>
                <w:sz w:val="16"/>
                <w:szCs w:val="16"/>
                <w:lang w:val="nl-NL"/>
              </w:rPr>
              <w:t>MvT</w:t>
            </w:r>
            <w:proofErr w:type="spellEnd"/>
            <w:r w:rsidRPr="00992021" w:rsidR="000C37F1">
              <w:rPr>
                <w:sz w:val="16"/>
                <w:szCs w:val="16"/>
                <w:lang w:val="nl-NL"/>
              </w:rPr>
              <w:t xml:space="preserve"> p.48). </w:t>
            </w:r>
            <w:r w:rsidRPr="00992021" w:rsidR="00241BE5">
              <w:rPr>
                <w:sz w:val="16"/>
                <w:szCs w:val="16"/>
                <w:lang w:val="nl-NL"/>
              </w:rPr>
              <w:t>Ontbreken cijfermateriaal is ook reden geweest voor ATR</w:t>
            </w:r>
            <w:r w:rsidRPr="00992021" w:rsidR="00CC09F3">
              <w:rPr>
                <w:rStyle w:val="Voetnootmarkering"/>
                <w:sz w:val="16"/>
                <w:szCs w:val="16"/>
                <w:lang w:val="nl-NL"/>
              </w:rPr>
              <w:footnoteReference w:id="15"/>
            </w:r>
            <w:r w:rsidRPr="00992021" w:rsidR="00241BE5">
              <w:rPr>
                <w:sz w:val="16"/>
                <w:szCs w:val="16"/>
                <w:lang w:val="nl-NL"/>
              </w:rPr>
              <w:t xml:space="preserve"> om geen officieel advies uit te brengen (</w:t>
            </w:r>
            <w:proofErr w:type="spellStart"/>
            <w:r w:rsidRPr="00992021" w:rsidR="00241BE5">
              <w:rPr>
                <w:sz w:val="16"/>
                <w:szCs w:val="16"/>
                <w:lang w:val="nl-NL"/>
              </w:rPr>
              <w:t>Mv</w:t>
            </w:r>
            <w:r w:rsidRPr="00992021" w:rsidR="00E47EBF">
              <w:rPr>
                <w:sz w:val="16"/>
                <w:szCs w:val="16"/>
                <w:lang w:val="nl-NL"/>
              </w:rPr>
              <w:t>T</w:t>
            </w:r>
            <w:proofErr w:type="spellEnd"/>
            <w:r w:rsidRPr="00992021" w:rsidR="00E47EBF">
              <w:rPr>
                <w:sz w:val="16"/>
                <w:szCs w:val="16"/>
                <w:lang w:val="nl-NL"/>
              </w:rPr>
              <w:t xml:space="preserve">, </w:t>
            </w:r>
            <w:r w:rsidRPr="00992021" w:rsidR="00241BE5">
              <w:rPr>
                <w:sz w:val="16"/>
                <w:szCs w:val="16"/>
                <w:lang w:val="nl-NL"/>
              </w:rPr>
              <w:t xml:space="preserve">voetnoot 176). </w:t>
            </w:r>
          </w:p>
          <w:p w:rsidRPr="00992021" w:rsidR="000C37F1" w:rsidP="00BC7D51" w:rsidRDefault="009E2EEE" w14:paraId="5178469C" w14:textId="05F15926">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Aan diverse </w:t>
            </w:r>
            <w:r w:rsidRPr="00992021" w:rsidR="000C37F1">
              <w:rPr>
                <w:sz w:val="16"/>
                <w:szCs w:val="16"/>
                <w:lang w:val="nl-NL"/>
              </w:rPr>
              <w:t>autoriteiten is gevraagd een uitvoerings-en handhavingstoets te doen. Deze instanties achten het (oorspronkelijke) wetsvoorstel uitvoerbaar en verwachten geen aanvullende middelen nodig te hebben. Dat geldt niet voor de AP</w:t>
            </w:r>
            <w:r w:rsidRPr="00992021" w:rsidR="00ED54C3">
              <w:rPr>
                <w:rStyle w:val="Voetnootmarkering"/>
                <w:sz w:val="16"/>
                <w:szCs w:val="16"/>
                <w:lang w:val="nl-NL"/>
              </w:rPr>
              <w:footnoteReference w:id="16"/>
            </w:r>
            <w:r w:rsidRPr="00992021" w:rsidR="006046D6">
              <w:rPr>
                <w:sz w:val="16"/>
                <w:szCs w:val="16"/>
                <w:lang w:val="nl-NL"/>
              </w:rPr>
              <w:t xml:space="preserve">. Dit </w:t>
            </w:r>
            <w:r w:rsidRPr="00992021" w:rsidR="001642C6">
              <w:rPr>
                <w:sz w:val="16"/>
                <w:szCs w:val="16"/>
                <w:lang w:val="nl-NL"/>
              </w:rPr>
              <w:t>i</w:t>
            </w:r>
            <w:r w:rsidRPr="00992021" w:rsidR="00CC09F3">
              <w:rPr>
                <w:sz w:val="16"/>
                <w:szCs w:val="16"/>
                <w:lang w:val="nl-NL"/>
              </w:rPr>
              <w:t>.</w:t>
            </w:r>
            <w:r w:rsidRPr="00992021" w:rsidR="001642C6">
              <w:rPr>
                <w:sz w:val="16"/>
                <w:szCs w:val="16"/>
                <w:lang w:val="nl-NL"/>
              </w:rPr>
              <w:t>v</w:t>
            </w:r>
            <w:r w:rsidRPr="00992021" w:rsidR="00CC09F3">
              <w:rPr>
                <w:sz w:val="16"/>
                <w:szCs w:val="16"/>
                <w:lang w:val="nl-NL"/>
              </w:rPr>
              <w:t>.</w:t>
            </w:r>
            <w:r w:rsidRPr="00992021" w:rsidR="001642C6">
              <w:rPr>
                <w:sz w:val="16"/>
                <w:szCs w:val="16"/>
                <w:lang w:val="nl-NL"/>
              </w:rPr>
              <w:t>m</w:t>
            </w:r>
            <w:r w:rsidRPr="00992021" w:rsidR="00CC09F3">
              <w:rPr>
                <w:sz w:val="16"/>
                <w:szCs w:val="16"/>
                <w:lang w:val="nl-NL"/>
              </w:rPr>
              <w:t>.</w:t>
            </w:r>
            <w:r w:rsidRPr="00992021" w:rsidR="001642C6">
              <w:rPr>
                <w:sz w:val="16"/>
                <w:szCs w:val="16"/>
                <w:lang w:val="nl-NL"/>
              </w:rPr>
              <w:t xml:space="preserve"> </w:t>
            </w:r>
            <w:r w:rsidRPr="00992021" w:rsidR="009A0DA1">
              <w:rPr>
                <w:sz w:val="16"/>
                <w:szCs w:val="16"/>
                <w:lang w:val="nl-NL"/>
              </w:rPr>
              <w:t xml:space="preserve">uitbreiding van haar handhavingstaken. De regering is het daar </w:t>
            </w:r>
            <w:r w:rsidRPr="00992021" w:rsidR="001642C6">
              <w:rPr>
                <w:sz w:val="16"/>
                <w:szCs w:val="16"/>
                <w:lang w:val="nl-NL"/>
              </w:rPr>
              <w:t>niet mee eens</w:t>
            </w:r>
            <w:r w:rsidRPr="00992021" w:rsidR="009A0DA1">
              <w:rPr>
                <w:sz w:val="16"/>
                <w:szCs w:val="16"/>
                <w:lang w:val="nl-NL"/>
              </w:rPr>
              <w:t xml:space="preserve"> (</w:t>
            </w:r>
            <w:proofErr w:type="spellStart"/>
            <w:r w:rsidRPr="00992021" w:rsidR="009A0DA1">
              <w:rPr>
                <w:sz w:val="16"/>
                <w:szCs w:val="16"/>
                <w:lang w:val="nl-NL"/>
              </w:rPr>
              <w:t>MvT</w:t>
            </w:r>
            <w:proofErr w:type="spellEnd"/>
            <w:r w:rsidRPr="00992021" w:rsidR="00E47EBF">
              <w:rPr>
                <w:sz w:val="16"/>
                <w:szCs w:val="16"/>
                <w:lang w:val="nl-NL"/>
              </w:rPr>
              <w:t>,</w:t>
            </w:r>
            <w:r w:rsidRPr="00992021" w:rsidR="009A0DA1">
              <w:rPr>
                <w:sz w:val="16"/>
                <w:szCs w:val="16"/>
                <w:lang w:val="nl-NL"/>
              </w:rPr>
              <w:t xml:space="preserve"> </w:t>
            </w:r>
            <w:r w:rsidRPr="00992021" w:rsidR="00E47EBF">
              <w:rPr>
                <w:sz w:val="16"/>
                <w:szCs w:val="16"/>
                <w:lang w:val="nl-NL"/>
              </w:rPr>
              <w:t>p.</w:t>
            </w:r>
            <w:r w:rsidRPr="00992021" w:rsidR="009A0DA1">
              <w:rPr>
                <w:sz w:val="16"/>
                <w:szCs w:val="16"/>
                <w:lang w:val="nl-NL"/>
              </w:rPr>
              <w:t xml:space="preserve">48-52). </w:t>
            </w:r>
          </w:p>
          <w:p w:rsidRPr="00DF477B" w:rsidR="00F503F9" w:rsidP="009A0DA1" w:rsidRDefault="00BC7D51" w14:paraId="0DBD94C2" w14:textId="789E43AA">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Van enkele maatregelen </w:t>
            </w:r>
            <w:r w:rsidR="005E2E97">
              <w:rPr>
                <w:sz w:val="16"/>
                <w:szCs w:val="16"/>
                <w:lang w:val="nl-NL"/>
              </w:rPr>
              <w:t>worden de kosten</w:t>
            </w:r>
            <w:r w:rsidRPr="00992021" w:rsidR="000C37F1">
              <w:rPr>
                <w:sz w:val="16"/>
                <w:szCs w:val="16"/>
                <w:lang w:val="nl-NL"/>
              </w:rPr>
              <w:t xml:space="preserve">meer </w:t>
            </w:r>
            <w:r w:rsidRPr="00992021">
              <w:rPr>
                <w:sz w:val="16"/>
                <w:szCs w:val="16"/>
                <w:lang w:val="nl-NL"/>
              </w:rPr>
              <w:t>expliciet aangestipt, zoals</w:t>
            </w:r>
            <w:r w:rsidRPr="00992021" w:rsidR="00847AAD">
              <w:rPr>
                <w:sz w:val="16"/>
                <w:szCs w:val="16"/>
                <w:lang w:val="nl-NL"/>
              </w:rPr>
              <w:t xml:space="preserve"> de pilots juridische en psychosociale onderst</w:t>
            </w:r>
            <w:r w:rsidRPr="00992021" w:rsidR="00E47EBF">
              <w:rPr>
                <w:sz w:val="16"/>
                <w:szCs w:val="16"/>
                <w:lang w:val="nl-NL"/>
              </w:rPr>
              <w:t xml:space="preserve">euning (Kabinetsbrief, </w:t>
            </w:r>
            <w:r w:rsidRPr="00992021" w:rsidR="000C37F1">
              <w:rPr>
                <w:sz w:val="16"/>
                <w:szCs w:val="16"/>
                <w:lang w:val="nl-NL"/>
              </w:rPr>
              <w:t xml:space="preserve">p.26-27). </w:t>
            </w:r>
          </w:p>
        </w:tc>
        <w:tc>
          <w:tcPr>
            <w:tcW w:w="3545" w:type="dxa"/>
          </w:tcPr>
          <w:p w:rsidRPr="00141B86" w:rsidR="0083057D" w:rsidP="009F19D9" w:rsidRDefault="00074937" w14:paraId="30349F2C" w14:textId="72DC800E">
            <w:pPr>
              <w:cnfStyle w:val="000000100000" w:firstRow="0" w:lastRow="0" w:firstColumn="0" w:lastColumn="0" w:oddVBand="0" w:evenVBand="0" w:oddHBand="1" w:evenHBand="0" w:firstRowFirstColumn="0" w:firstRowLastColumn="0" w:lastRowFirstColumn="0" w:lastRowLastColumn="0"/>
              <w:rPr>
                <w:bCs/>
                <w:iCs/>
                <w:sz w:val="16"/>
                <w:szCs w:val="16"/>
                <w:lang w:val="nl-NL"/>
              </w:rPr>
            </w:pPr>
            <w:r>
              <w:rPr>
                <w:bCs/>
                <w:iCs/>
                <w:sz w:val="16"/>
                <w:szCs w:val="16"/>
                <w:lang w:val="nl-NL"/>
              </w:rPr>
              <w:lastRenderedPageBreak/>
              <w:t xml:space="preserve">De doelmatigheid van de wet die nu voorligt is niet duidelijk vanwege het ontbreken van de noodzakelijke gegevens. </w:t>
            </w:r>
            <w:r w:rsidRPr="00992021" w:rsidR="00A62C70">
              <w:rPr>
                <w:bCs/>
                <w:iCs/>
                <w:sz w:val="16"/>
                <w:szCs w:val="16"/>
                <w:lang w:val="nl-NL"/>
              </w:rPr>
              <w:t>Onderzoek naar vergelijkbar</w:t>
            </w:r>
            <w:r w:rsidR="00CA17F8">
              <w:rPr>
                <w:bCs/>
                <w:iCs/>
                <w:sz w:val="16"/>
                <w:szCs w:val="16"/>
                <w:lang w:val="nl-NL"/>
              </w:rPr>
              <w:t>e</w:t>
            </w:r>
            <w:r w:rsidRPr="00992021" w:rsidR="00A62C70">
              <w:rPr>
                <w:bCs/>
                <w:iCs/>
                <w:sz w:val="16"/>
                <w:szCs w:val="16"/>
                <w:lang w:val="nl-NL"/>
              </w:rPr>
              <w:t xml:space="preserve"> </w:t>
            </w:r>
            <w:r w:rsidR="00CA17F8">
              <w:rPr>
                <w:bCs/>
                <w:iCs/>
                <w:sz w:val="16"/>
                <w:szCs w:val="16"/>
                <w:lang w:val="nl-NL"/>
              </w:rPr>
              <w:lastRenderedPageBreak/>
              <w:t>wetgeving</w:t>
            </w:r>
            <w:r w:rsidRPr="00992021" w:rsidR="00A62C70">
              <w:rPr>
                <w:bCs/>
                <w:iCs/>
                <w:sz w:val="16"/>
                <w:szCs w:val="16"/>
                <w:lang w:val="nl-NL"/>
              </w:rPr>
              <w:t xml:space="preserve"> in andere EU-lidstaten </w:t>
            </w:r>
            <w:r w:rsidR="005A5EB1">
              <w:rPr>
                <w:bCs/>
                <w:iCs/>
                <w:sz w:val="16"/>
                <w:szCs w:val="16"/>
                <w:lang w:val="nl-NL"/>
              </w:rPr>
              <w:t>is (nog) niet beschikbaar</w:t>
            </w:r>
            <w:r w:rsidRPr="00992021" w:rsidR="00A62C70">
              <w:rPr>
                <w:bCs/>
                <w:iCs/>
                <w:sz w:val="16"/>
                <w:szCs w:val="16"/>
                <w:lang w:val="nl-NL"/>
              </w:rPr>
              <w:t xml:space="preserve">. </w:t>
            </w:r>
          </w:p>
        </w:tc>
      </w:tr>
      <w:tr w:rsidRPr="00992021" w:rsidR="00F503F9" w:rsidTr="000C37F1" w14:paraId="22DEF39D"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992021" w:rsidR="00F503F9" w:rsidP="00F503F9" w:rsidRDefault="00F503F9" w14:paraId="75B31E1B" w14:textId="77777777">
            <w:pPr>
              <w:pStyle w:val="Lijstalinea"/>
              <w:numPr>
                <w:ilvl w:val="0"/>
                <w:numId w:val="20"/>
              </w:numPr>
              <w:rPr>
                <w:szCs w:val="18"/>
                <w:lang w:val="nl-NL"/>
              </w:rPr>
            </w:pPr>
            <w:r w:rsidRPr="00992021">
              <w:rPr>
                <w:szCs w:val="18"/>
                <w:lang w:val="nl-NL"/>
              </w:rPr>
              <w:lastRenderedPageBreak/>
              <w:t>Financiële gevolgen voor het Rijk</w:t>
            </w:r>
          </w:p>
          <w:p w:rsidRPr="00992021" w:rsidR="00C37077" w:rsidP="00C37077" w:rsidRDefault="00C37077" w14:paraId="185400DE" w14:textId="77777777">
            <w:pPr>
              <w:rPr>
                <w:szCs w:val="18"/>
                <w:lang w:val="nl-NL"/>
              </w:rPr>
            </w:pPr>
          </w:p>
          <w:p w:rsidRPr="00992021" w:rsidR="00C37077" w:rsidP="00C37077" w:rsidRDefault="00C37077" w14:paraId="6F03CD34" w14:textId="77777777">
            <w:pPr>
              <w:rPr>
                <w:szCs w:val="18"/>
                <w:lang w:val="nl-NL"/>
              </w:rPr>
            </w:pPr>
          </w:p>
          <w:p w:rsidRPr="00992021" w:rsidR="00C37077" w:rsidP="00C37077" w:rsidRDefault="00C37077" w14:paraId="71493328" w14:textId="77777777">
            <w:pPr>
              <w:rPr>
                <w:szCs w:val="18"/>
                <w:lang w:val="nl-NL"/>
              </w:rPr>
            </w:pPr>
          </w:p>
          <w:p w:rsidRPr="00992021" w:rsidR="00C37077" w:rsidP="00C37077" w:rsidRDefault="00C37077" w14:paraId="49347976" w14:textId="77777777">
            <w:pPr>
              <w:rPr>
                <w:szCs w:val="18"/>
                <w:lang w:val="nl-NL"/>
              </w:rPr>
            </w:pPr>
          </w:p>
          <w:p w:rsidRPr="00992021" w:rsidR="00C37077" w:rsidP="00C37077" w:rsidRDefault="00C37077" w14:paraId="7E4A5FA7" w14:textId="77777777">
            <w:pPr>
              <w:rPr>
                <w:szCs w:val="18"/>
                <w:lang w:val="nl-NL"/>
              </w:rPr>
            </w:pPr>
          </w:p>
          <w:p w:rsidRPr="00992021" w:rsidR="00C37077" w:rsidP="00C37077" w:rsidRDefault="00C37077" w14:paraId="0CFFD20F" w14:textId="77777777">
            <w:pPr>
              <w:rPr>
                <w:szCs w:val="18"/>
                <w:lang w:val="nl-NL"/>
              </w:rPr>
            </w:pPr>
          </w:p>
          <w:p w:rsidRPr="00992021" w:rsidR="00C37077" w:rsidP="00C37077" w:rsidRDefault="00C37077" w14:paraId="33F8F18B" w14:textId="77777777">
            <w:pPr>
              <w:rPr>
                <w:szCs w:val="18"/>
                <w:lang w:val="nl-NL"/>
              </w:rPr>
            </w:pPr>
          </w:p>
          <w:p w:rsidRPr="00992021" w:rsidR="00C37077" w:rsidP="00C37077" w:rsidRDefault="00C37077" w14:paraId="280C9072" w14:textId="01945E79">
            <w:pPr>
              <w:rPr>
                <w:szCs w:val="18"/>
                <w:lang w:val="nl-NL"/>
              </w:rPr>
            </w:pPr>
          </w:p>
        </w:tc>
        <w:tc>
          <w:tcPr>
            <w:tcW w:w="0" w:type="auto"/>
          </w:tcPr>
          <w:p w:rsidRPr="00992021" w:rsidR="00F503F9" w:rsidP="000C37F1" w:rsidRDefault="00C15D34" w14:paraId="050E3644" w14:textId="2D9D355E">
            <w:pPr>
              <w:cnfStyle w:val="000000000000" w:firstRow="0" w:lastRow="0" w:firstColumn="0" w:lastColumn="0" w:oddVBand="0" w:evenVBand="0" w:oddHBand="0" w:evenHBand="0" w:firstRowFirstColumn="0" w:firstRowLastColumn="0" w:lastRowFirstColumn="0" w:lastRowLastColumn="0"/>
              <w:rPr>
                <w:szCs w:val="18"/>
                <w:lang w:val="nl-NL"/>
              </w:rPr>
            </w:pPr>
            <w:r w:rsidRPr="00992021">
              <w:rPr>
                <w:noProof/>
                <w:szCs w:val="18"/>
                <w:lang w:eastAsia="nl-NL"/>
              </w:rPr>
              <w:drawing>
                <wp:inline distT="0" distB="0" distL="0" distR="0" wp14:anchorId="031528F9" wp14:editId="5DD1996B">
                  <wp:extent cx="193040" cy="164727"/>
                  <wp:effectExtent l="0" t="0" r="0"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0"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992021" w:rsidR="00C25459" w:rsidP="00F503F9" w:rsidRDefault="0018247E" w14:paraId="37B31073" w14:textId="0B97E28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In de </w:t>
            </w:r>
            <w:proofErr w:type="spellStart"/>
            <w:r w:rsidRPr="00992021">
              <w:rPr>
                <w:sz w:val="16"/>
                <w:szCs w:val="16"/>
                <w:lang w:val="nl-NL"/>
              </w:rPr>
              <w:t>MvT</w:t>
            </w:r>
            <w:proofErr w:type="spellEnd"/>
            <w:r w:rsidRPr="00992021">
              <w:rPr>
                <w:sz w:val="16"/>
                <w:szCs w:val="16"/>
                <w:lang w:val="nl-NL"/>
              </w:rPr>
              <w:t xml:space="preserve"> is een aparte paragraaf opgenomen met financiële gevolgen</w:t>
            </w:r>
            <w:r w:rsidRPr="00992021" w:rsidR="00B30D5F">
              <w:rPr>
                <w:sz w:val="16"/>
                <w:szCs w:val="16"/>
                <w:lang w:val="nl-NL"/>
              </w:rPr>
              <w:t xml:space="preserve"> </w:t>
            </w:r>
            <w:r w:rsidRPr="00992021" w:rsidR="00E47EBF">
              <w:rPr>
                <w:sz w:val="16"/>
                <w:szCs w:val="16"/>
                <w:lang w:val="nl-NL"/>
              </w:rPr>
              <w:t>(</w:t>
            </w:r>
            <w:proofErr w:type="spellStart"/>
            <w:r w:rsidRPr="00992021" w:rsidR="00E47EBF">
              <w:rPr>
                <w:sz w:val="16"/>
                <w:szCs w:val="16"/>
                <w:lang w:val="nl-NL"/>
              </w:rPr>
              <w:t>MvT</w:t>
            </w:r>
            <w:proofErr w:type="spellEnd"/>
            <w:r w:rsidRPr="00992021" w:rsidR="00E47EBF">
              <w:rPr>
                <w:sz w:val="16"/>
                <w:szCs w:val="16"/>
                <w:lang w:val="nl-NL"/>
              </w:rPr>
              <w:t xml:space="preserve">, </w:t>
            </w:r>
            <w:r w:rsidRPr="00992021">
              <w:rPr>
                <w:sz w:val="16"/>
                <w:szCs w:val="16"/>
                <w:lang w:val="nl-NL"/>
              </w:rPr>
              <w:t>p.</w:t>
            </w:r>
            <w:r w:rsidRPr="00992021" w:rsidR="00B30D5F">
              <w:rPr>
                <w:sz w:val="16"/>
                <w:szCs w:val="16"/>
                <w:lang w:val="nl-NL"/>
              </w:rPr>
              <w:t>53)</w:t>
            </w:r>
            <w:r w:rsidRPr="00992021" w:rsidR="00C25459">
              <w:rPr>
                <w:sz w:val="16"/>
                <w:szCs w:val="16"/>
                <w:lang w:val="nl-NL"/>
              </w:rPr>
              <w:t>, maar</w:t>
            </w:r>
            <w:r w:rsidRPr="00992021" w:rsidR="001642C6">
              <w:rPr>
                <w:sz w:val="16"/>
                <w:szCs w:val="16"/>
                <w:lang w:val="nl-NL"/>
              </w:rPr>
              <w:t xml:space="preserve"> </w:t>
            </w:r>
            <w:r w:rsidRPr="00992021">
              <w:rPr>
                <w:sz w:val="16"/>
                <w:szCs w:val="16"/>
                <w:lang w:val="nl-NL"/>
              </w:rPr>
              <w:t xml:space="preserve">deze </w:t>
            </w:r>
            <w:r w:rsidRPr="00992021" w:rsidR="001642C6">
              <w:rPr>
                <w:sz w:val="16"/>
                <w:szCs w:val="16"/>
                <w:lang w:val="nl-NL"/>
              </w:rPr>
              <w:t>worden</w:t>
            </w:r>
            <w:r w:rsidRPr="00992021" w:rsidR="00C25459">
              <w:rPr>
                <w:sz w:val="16"/>
                <w:szCs w:val="16"/>
                <w:lang w:val="nl-NL"/>
              </w:rPr>
              <w:t xml:space="preserve"> niet concreet </w:t>
            </w:r>
            <w:r w:rsidRPr="00992021" w:rsidR="00ED54C3">
              <w:rPr>
                <w:sz w:val="16"/>
                <w:szCs w:val="16"/>
                <w:lang w:val="nl-NL"/>
              </w:rPr>
              <w:t xml:space="preserve">gemaakt </w:t>
            </w:r>
            <w:r w:rsidRPr="00992021" w:rsidR="00C25459">
              <w:rPr>
                <w:sz w:val="16"/>
                <w:szCs w:val="16"/>
                <w:lang w:val="nl-NL"/>
              </w:rPr>
              <w:t>en gekwantificeerd</w:t>
            </w:r>
            <w:r w:rsidRPr="00992021" w:rsidR="00F503F9">
              <w:rPr>
                <w:sz w:val="16"/>
                <w:szCs w:val="16"/>
                <w:lang w:val="nl-NL"/>
              </w:rPr>
              <w:t>.</w:t>
            </w:r>
            <w:r w:rsidRPr="00992021" w:rsidR="00C25459">
              <w:rPr>
                <w:sz w:val="16"/>
                <w:szCs w:val="16"/>
                <w:lang w:val="nl-NL"/>
              </w:rPr>
              <w:t xml:space="preserve"> </w:t>
            </w:r>
          </w:p>
          <w:p w:rsidRPr="00992021" w:rsidR="008A1806" w:rsidP="008A1806" w:rsidRDefault="001642C6" w14:paraId="490735CF" w14:textId="7FC2BCB8">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Algemeen geldt</w:t>
            </w:r>
            <w:r w:rsidRPr="00992021" w:rsidR="000704EC">
              <w:rPr>
                <w:sz w:val="16"/>
                <w:szCs w:val="16"/>
                <w:lang w:val="nl-NL"/>
              </w:rPr>
              <w:t>:</w:t>
            </w:r>
            <w:r w:rsidRPr="00992021">
              <w:rPr>
                <w:sz w:val="16"/>
                <w:szCs w:val="16"/>
                <w:lang w:val="nl-NL"/>
              </w:rPr>
              <w:t xml:space="preserve"> financiële gevolgen zijn</w:t>
            </w:r>
            <w:r w:rsidRPr="00992021" w:rsidR="00C25459">
              <w:rPr>
                <w:sz w:val="16"/>
                <w:szCs w:val="16"/>
                <w:lang w:val="nl-NL"/>
              </w:rPr>
              <w:t xml:space="preserve"> moeilijk in te schatten wegens ont</w:t>
            </w:r>
            <w:r w:rsidRPr="00992021">
              <w:rPr>
                <w:sz w:val="16"/>
                <w:szCs w:val="16"/>
                <w:lang w:val="nl-NL"/>
              </w:rPr>
              <w:t xml:space="preserve">breken cijfers </w:t>
            </w:r>
            <w:r w:rsidRPr="00992021" w:rsidR="006046D6">
              <w:rPr>
                <w:sz w:val="16"/>
                <w:szCs w:val="16"/>
                <w:lang w:val="nl-NL"/>
              </w:rPr>
              <w:t xml:space="preserve">van </w:t>
            </w:r>
            <w:r w:rsidRPr="00992021">
              <w:rPr>
                <w:sz w:val="16"/>
                <w:szCs w:val="16"/>
                <w:lang w:val="nl-NL"/>
              </w:rPr>
              <w:t>aantal meldingen</w:t>
            </w:r>
            <w:r w:rsidRPr="00992021" w:rsidR="00C25459">
              <w:rPr>
                <w:sz w:val="16"/>
                <w:szCs w:val="16"/>
                <w:lang w:val="nl-NL"/>
              </w:rPr>
              <w:t xml:space="preserve"> </w:t>
            </w:r>
            <w:r w:rsidRPr="00992021">
              <w:rPr>
                <w:sz w:val="16"/>
                <w:szCs w:val="16"/>
                <w:lang w:val="nl-NL"/>
              </w:rPr>
              <w:t xml:space="preserve">en onzekerheid wat nieuwe maatregelen doen </w:t>
            </w:r>
            <w:r w:rsidRPr="00992021" w:rsidR="00E47EBF">
              <w:rPr>
                <w:sz w:val="16"/>
                <w:szCs w:val="16"/>
                <w:lang w:val="nl-NL"/>
              </w:rPr>
              <w:t>(</w:t>
            </w:r>
            <w:proofErr w:type="spellStart"/>
            <w:r w:rsidRPr="00992021" w:rsidR="00E47EBF">
              <w:rPr>
                <w:sz w:val="16"/>
                <w:szCs w:val="16"/>
                <w:lang w:val="nl-NL"/>
              </w:rPr>
              <w:t>MvT</w:t>
            </w:r>
            <w:proofErr w:type="spellEnd"/>
            <w:r w:rsidRPr="00992021" w:rsidR="00E47EBF">
              <w:rPr>
                <w:sz w:val="16"/>
                <w:szCs w:val="16"/>
                <w:lang w:val="nl-NL"/>
              </w:rPr>
              <w:t xml:space="preserve">, </w:t>
            </w:r>
            <w:r w:rsidRPr="00992021" w:rsidR="006046D6">
              <w:rPr>
                <w:sz w:val="16"/>
                <w:szCs w:val="16"/>
                <w:lang w:val="nl-NL"/>
              </w:rPr>
              <w:t>p.</w:t>
            </w:r>
            <w:r w:rsidRPr="00992021" w:rsidR="00C25459">
              <w:rPr>
                <w:sz w:val="16"/>
                <w:szCs w:val="16"/>
                <w:lang w:val="nl-NL"/>
              </w:rPr>
              <w:t xml:space="preserve">53). </w:t>
            </w:r>
            <w:r w:rsidRPr="00992021" w:rsidR="009E2EEE">
              <w:rPr>
                <w:sz w:val="16"/>
                <w:szCs w:val="16"/>
                <w:lang w:val="nl-NL"/>
              </w:rPr>
              <w:t>Bevoegde autoriteiten verwachten geen aanvullende middelen nodig te h</w:t>
            </w:r>
            <w:r w:rsidRPr="00992021" w:rsidR="00B30D5F">
              <w:rPr>
                <w:sz w:val="16"/>
                <w:szCs w:val="16"/>
                <w:lang w:val="nl-NL"/>
              </w:rPr>
              <w:t>ebben, beh</w:t>
            </w:r>
            <w:r w:rsidRPr="00992021" w:rsidR="006046D6">
              <w:rPr>
                <w:sz w:val="16"/>
                <w:szCs w:val="16"/>
                <w:lang w:val="nl-NL"/>
              </w:rPr>
              <w:t xml:space="preserve">alve de AP. </w:t>
            </w:r>
            <w:r w:rsidRPr="00992021" w:rsidR="00B30D5F">
              <w:rPr>
                <w:sz w:val="16"/>
                <w:szCs w:val="16"/>
                <w:lang w:val="nl-NL"/>
              </w:rPr>
              <w:t>Uitvoeringskosten worden niet nader gekwant</w:t>
            </w:r>
            <w:r w:rsidRPr="00992021" w:rsidR="00E47EBF">
              <w:rPr>
                <w:sz w:val="16"/>
                <w:szCs w:val="16"/>
                <w:lang w:val="nl-NL"/>
              </w:rPr>
              <w:t>ificeerd (</w:t>
            </w:r>
            <w:proofErr w:type="spellStart"/>
            <w:r w:rsidRPr="00992021" w:rsidR="00E47EBF">
              <w:rPr>
                <w:sz w:val="16"/>
                <w:szCs w:val="16"/>
                <w:lang w:val="nl-NL"/>
              </w:rPr>
              <w:t>MvT</w:t>
            </w:r>
            <w:proofErr w:type="spellEnd"/>
            <w:r w:rsidRPr="00992021" w:rsidR="00E47EBF">
              <w:rPr>
                <w:sz w:val="16"/>
                <w:szCs w:val="16"/>
                <w:lang w:val="nl-NL"/>
              </w:rPr>
              <w:t xml:space="preserve">, </w:t>
            </w:r>
            <w:r w:rsidRPr="00992021" w:rsidR="006046D6">
              <w:rPr>
                <w:sz w:val="16"/>
                <w:szCs w:val="16"/>
                <w:lang w:val="nl-NL"/>
              </w:rPr>
              <w:t>p.</w:t>
            </w:r>
            <w:r w:rsidRPr="00992021" w:rsidR="00B30D5F">
              <w:rPr>
                <w:sz w:val="16"/>
                <w:szCs w:val="16"/>
                <w:lang w:val="nl-NL"/>
              </w:rPr>
              <w:t xml:space="preserve">48-52). </w:t>
            </w:r>
          </w:p>
          <w:p w:rsidRPr="00992021" w:rsidR="004127FC" w:rsidP="00530208" w:rsidRDefault="009E2EEE" w14:paraId="3FD4A3CC" w14:textId="6D477C4F">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Er wordt geen fonds voor klokkenluiders ingesteld. Eerst pilots ondersteuning klokkenluiders afwachten (Kabinetsbrief onder voorstel </w:t>
            </w:r>
          </w:p>
          <w:p w:rsidRPr="00992021" w:rsidR="009E2EEE" w:rsidP="00F503F9" w:rsidRDefault="00B30D5F" w14:paraId="69A4759A" w14:textId="5C1407B6">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In de kabinetsbrief is gekwantificeerde informatie opgenomen over de kosten voor de pilots juridische en psychosociale ondersteuning van klokkenl</w:t>
            </w:r>
            <w:r w:rsidRPr="00992021" w:rsidR="00E47EBF">
              <w:rPr>
                <w:sz w:val="16"/>
                <w:szCs w:val="16"/>
                <w:lang w:val="nl-NL"/>
              </w:rPr>
              <w:t>uiders (Kabinetsbrief, p.</w:t>
            </w:r>
            <w:r w:rsidRPr="00992021">
              <w:rPr>
                <w:sz w:val="16"/>
                <w:szCs w:val="16"/>
                <w:lang w:val="nl-NL"/>
              </w:rPr>
              <w:t xml:space="preserve">15 en </w:t>
            </w:r>
            <w:r w:rsidRPr="00992021" w:rsidR="00E47EBF">
              <w:rPr>
                <w:sz w:val="16"/>
                <w:szCs w:val="16"/>
                <w:lang w:val="nl-NL"/>
              </w:rPr>
              <w:t>p.</w:t>
            </w:r>
            <w:r w:rsidRPr="00992021">
              <w:rPr>
                <w:sz w:val="16"/>
                <w:szCs w:val="16"/>
                <w:lang w:val="nl-NL"/>
              </w:rPr>
              <w:t>26-27). De pilots worden gefinancierd uit begroting departement. Financiering ondersteuning op lange termijn is een vraag v</w:t>
            </w:r>
            <w:r w:rsidRPr="00992021" w:rsidR="008A1806">
              <w:rPr>
                <w:sz w:val="16"/>
                <w:szCs w:val="16"/>
                <w:lang w:val="nl-NL"/>
              </w:rPr>
              <w:t>oor toekomst (kabinetsbrief, p.</w:t>
            </w:r>
            <w:r w:rsidRPr="00992021">
              <w:rPr>
                <w:sz w:val="16"/>
                <w:szCs w:val="16"/>
                <w:lang w:val="nl-NL"/>
              </w:rPr>
              <w:t xml:space="preserve">15). </w:t>
            </w:r>
          </w:p>
          <w:p w:rsidRPr="00DF477B" w:rsidR="00F503F9" w:rsidP="00B30D5F" w:rsidRDefault="0018247E" w14:paraId="34A6F310" w14:textId="2EE353E3">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Geen informatie over financiering campagne </w:t>
            </w:r>
            <w:r w:rsidRPr="00992021" w:rsidR="00241BE5">
              <w:rPr>
                <w:sz w:val="16"/>
                <w:szCs w:val="16"/>
                <w:lang w:val="nl-NL"/>
              </w:rPr>
              <w:t xml:space="preserve">veilig werk- en </w:t>
            </w:r>
            <w:r w:rsidRPr="00992021" w:rsidR="008A1806">
              <w:rPr>
                <w:sz w:val="16"/>
                <w:szCs w:val="16"/>
                <w:lang w:val="nl-NL"/>
              </w:rPr>
              <w:t>meldklimaat (Kabinetsbrief, p.</w:t>
            </w:r>
            <w:r w:rsidRPr="00992021" w:rsidR="00241BE5">
              <w:rPr>
                <w:sz w:val="16"/>
                <w:szCs w:val="16"/>
                <w:lang w:val="nl-NL"/>
              </w:rPr>
              <w:t xml:space="preserve">27-28). </w:t>
            </w:r>
          </w:p>
        </w:tc>
        <w:tc>
          <w:tcPr>
            <w:tcW w:w="3545" w:type="dxa"/>
          </w:tcPr>
          <w:p w:rsidRPr="00EF0607" w:rsidR="00B04DF2" w:rsidP="00CA17F8" w:rsidRDefault="00CA17F8" w14:paraId="6C661275" w14:textId="6970B6B1">
            <w:pPr>
              <w:cnfStyle w:val="000000000000" w:firstRow="0" w:lastRow="0" w:firstColumn="0" w:lastColumn="0" w:oddVBand="0" w:evenVBand="0" w:oddHBand="0" w:evenHBand="0" w:firstRowFirstColumn="0" w:firstRowLastColumn="0" w:lastRowFirstColumn="0" w:lastRowLastColumn="0"/>
              <w:rPr>
                <w:sz w:val="16"/>
                <w:szCs w:val="16"/>
                <w:lang w:val="nl-NL"/>
              </w:rPr>
            </w:pPr>
            <w:r>
              <w:rPr>
                <w:bCs/>
                <w:iCs/>
                <w:sz w:val="16"/>
                <w:szCs w:val="16"/>
                <w:lang w:val="nl-NL"/>
              </w:rPr>
              <w:t xml:space="preserve">De financiële gevolgen voor het Rijk van de wet die nu voorligt zijn niet duidelijk vanwege het ontbreken van de noodzakelijke gegevens. </w:t>
            </w:r>
            <w:r w:rsidRPr="00992021">
              <w:rPr>
                <w:bCs/>
                <w:iCs/>
                <w:sz w:val="16"/>
                <w:szCs w:val="16"/>
                <w:lang w:val="nl-NL"/>
              </w:rPr>
              <w:t>Onderzoek naar vergelijkbar</w:t>
            </w:r>
            <w:r>
              <w:rPr>
                <w:bCs/>
                <w:iCs/>
                <w:sz w:val="16"/>
                <w:szCs w:val="16"/>
                <w:lang w:val="nl-NL"/>
              </w:rPr>
              <w:t>e</w:t>
            </w:r>
            <w:r w:rsidRPr="00992021">
              <w:rPr>
                <w:bCs/>
                <w:iCs/>
                <w:sz w:val="16"/>
                <w:szCs w:val="16"/>
                <w:lang w:val="nl-NL"/>
              </w:rPr>
              <w:t xml:space="preserve"> </w:t>
            </w:r>
            <w:r>
              <w:rPr>
                <w:bCs/>
                <w:iCs/>
                <w:sz w:val="16"/>
                <w:szCs w:val="16"/>
                <w:lang w:val="nl-NL"/>
              </w:rPr>
              <w:t>wetgeving</w:t>
            </w:r>
            <w:r w:rsidRPr="00992021">
              <w:rPr>
                <w:bCs/>
                <w:iCs/>
                <w:sz w:val="16"/>
                <w:szCs w:val="16"/>
                <w:lang w:val="nl-NL"/>
              </w:rPr>
              <w:t xml:space="preserve"> in andere EU-lidstaten </w:t>
            </w:r>
            <w:r>
              <w:rPr>
                <w:bCs/>
                <w:iCs/>
                <w:sz w:val="16"/>
                <w:szCs w:val="16"/>
                <w:lang w:val="nl-NL"/>
              </w:rPr>
              <w:t>is (nog) niet beschikbaar</w:t>
            </w:r>
            <w:r w:rsidRPr="00992021">
              <w:rPr>
                <w:bCs/>
                <w:iCs/>
                <w:sz w:val="16"/>
                <w:szCs w:val="16"/>
                <w:lang w:val="nl-NL"/>
              </w:rPr>
              <w:t>.</w:t>
            </w:r>
          </w:p>
        </w:tc>
      </w:tr>
      <w:tr w:rsidRPr="00992021" w:rsidR="00F503F9" w:rsidTr="000C37F1" w14:paraId="160ED83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992021" w:rsidR="00F503F9" w:rsidP="00F503F9" w:rsidRDefault="00F503F9" w14:paraId="522EED39" w14:textId="77777777">
            <w:pPr>
              <w:pStyle w:val="Lijstalinea"/>
              <w:numPr>
                <w:ilvl w:val="0"/>
                <w:numId w:val="20"/>
              </w:numPr>
              <w:rPr>
                <w:szCs w:val="18"/>
                <w:lang w:val="nl-NL"/>
              </w:rPr>
            </w:pPr>
            <w:r w:rsidRPr="00992021">
              <w:rPr>
                <w:szCs w:val="18"/>
                <w:lang w:val="nl-NL"/>
              </w:rPr>
              <w:t>Financiële gevolgen voor maatschappelijke sectoren en derden</w:t>
            </w:r>
          </w:p>
          <w:p w:rsidRPr="00992021" w:rsidR="00C37077" w:rsidP="00C37077" w:rsidRDefault="00C37077" w14:paraId="24547F7D" w14:textId="77777777">
            <w:pPr>
              <w:rPr>
                <w:szCs w:val="18"/>
                <w:lang w:val="nl-NL"/>
              </w:rPr>
            </w:pPr>
          </w:p>
          <w:p w:rsidRPr="00992021" w:rsidR="00C37077" w:rsidP="00C37077" w:rsidRDefault="00C37077" w14:paraId="4DC86C6E" w14:textId="77777777">
            <w:pPr>
              <w:rPr>
                <w:szCs w:val="18"/>
                <w:lang w:val="nl-NL"/>
              </w:rPr>
            </w:pPr>
          </w:p>
          <w:p w:rsidRPr="00992021" w:rsidR="00C37077" w:rsidP="00C37077" w:rsidRDefault="00C37077" w14:paraId="70B1F2CD" w14:textId="77777777">
            <w:pPr>
              <w:rPr>
                <w:szCs w:val="18"/>
                <w:lang w:val="nl-NL"/>
              </w:rPr>
            </w:pPr>
          </w:p>
          <w:p w:rsidRPr="00992021" w:rsidR="00C37077" w:rsidP="00C37077" w:rsidRDefault="00C37077" w14:paraId="657D7294" w14:textId="77777777">
            <w:pPr>
              <w:rPr>
                <w:szCs w:val="18"/>
                <w:lang w:val="nl-NL"/>
              </w:rPr>
            </w:pPr>
          </w:p>
          <w:p w:rsidRPr="00992021" w:rsidR="00C37077" w:rsidP="00C37077" w:rsidRDefault="00C37077" w14:paraId="5E349118" w14:textId="578A08B8">
            <w:pPr>
              <w:rPr>
                <w:szCs w:val="18"/>
                <w:lang w:val="nl-NL"/>
              </w:rPr>
            </w:pPr>
          </w:p>
        </w:tc>
        <w:tc>
          <w:tcPr>
            <w:tcW w:w="0" w:type="auto"/>
          </w:tcPr>
          <w:p w:rsidRPr="00992021" w:rsidR="00F503F9" w:rsidP="000C37F1" w:rsidRDefault="00C15D34" w14:paraId="21AF355D" w14:textId="47A00FE5">
            <w:pPr>
              <w:cnfStyle w:val="000000100000" w:firstRow="0" w:lastRow="0" w:firstColumn="0" w:lastColumn="0" w:oddVBand="0" w:evenVBand="0" w:oddHBand="1" w:evenHBand="0" w:firstRowFirstColumn="0" w:firstRowLastColumn="0" w:lastRowFirstColumn="0" w:lastRowLastColumn="0"/>
              <w:rPr>
                <w:szCs w:val="18"/>
                <w:lang w:val="nl-NL"/>
              </w:rPr>
            </w:pPr>
            <w:r w:rsidRPr="00992021">
              <w:rPr>
                <w:noProof/>
                <w:szCs w:val="18"/>
                <w:lang w:eastAsia="nl-NL"/>
              </w:rPr>
              <w:lastRenderedPageBreak/>
              <w:drawing>
                <wp:inline distT="0" distB="0" distL="0" distR="0" wp14:anchorId="628E94BD" wp14:editId="12ECFA9E">
                  <wp:extent cx="193040" cy="164727"/>
                  <wp:effectExtent l="0" t="0" r="0" b="63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0"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EF0607" w:rsidR="00F24BD3" w:rsidP="00EF0607" w:rsidRDefault="00F503F9" w14:paraId="0172BA29" w14:textId="56833924">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92021">
              <w:rPr>
                <w:sz w:val="16"/>
                <w:szCs w:val="16"/>
                <w:lang w:val="nl-NL"/>
              </w:rPr>
              <w:t xml:space="preserve">Financiële gevolgen </w:t>
            </w:r>
            <w:r w:rsidR="00C015ED">
              <w:rPr>
                <w:sz w:val="16"/>
                <w:szCs w:val="16"/>
                <w:lang w:val="nl-NL"/>
              </w:rPr>
              <w:t>voor</w:t>
            </w:r>
            <w:r w:rsidRPr="00992021" w:rsidR="00241BE5">
              <w:rPr>
                <w:sz w:val="16"/>
                <w:szCs w:val="16"/>
                <w:lang w:val="nl-NL"/>
              </w:rPr>
              <w:t xml:space="preserve"> organisaties in private sector genoemd, uitvoeringskosten niet gekwantificeerd. Verwachting</w:t>
            </w:r>
            <w:r w:rsidR="000141E8">
              <w:rPr>
                <w:sz w:val="16"/>
                <w:szCs w:val="16"/>
                <w:lang w:val="nl-NL"/>
              </w:rPr>
              <w:t>:</w:t>
            </w:r>
            <w:r w:rsidRPr="00992021" w:rsidR="00241BE5">
              <w:rPr>
                <w:sz w:val="16"/>
                <w:szCs w:val="16"/>
                <w:lang w:val="nl-NL"/>
              </w:rPr>
              <w:t xml:space="preserve"> </w:t>
            </w:r>
            <w:r w:rsidRPr="00992021" w:rsidR="00241BE5">
              <w:rPr>
                <w:sz w:val="16"/>
                <w:szCs w:val="16"/>
                <w:lang w:val="nl-NL"/>
              </w:rPr>
              <w:lastRenderedPageBreak/>
              <w:t>organisaties</w:t>
            </w:r>
            <w:r w:rsidR="000141E8">
              <w:rPr>
                <w:sz w:val="16"/>
                <w:szCs w:val="16"/>
                <w:lang w:val="nl-NL"/>
              </w:rPr>
              <w:t xml:space="preserve"> maken</w:t>
            </w:r>
            <w:r w:rsidRPr="00992021" w:rsidR="00241BE5">
              <w:rPr>
                <w:sz w:val="16"/>
                <w:szCs w:val="16"/>
                <w:lang w:val="nl-NL"/>
              </w:rPr>
              <w:t xml:space="preserve"> geen extra kosten omdat systemen voor gegevensverwerking moeten voldoen aan AVG. </w:t>
            </w:r>
            <w:r w:rsidR="000141E8">
              <w:rPr>
                <w:sz w:val="16"/>
                <w:szCs w:val="16"/>
                <w:lang w:val="nl-NL"/>
              </w:rPr>
              <w:t>Omvang evt.</w:t>
            </w:r>
            <w:r w:rsidRPr="00992021" w:rsidR="00241BE5">
              <w:rPr>
                <w:sz w:val="16"/>
                <w:szCs w:val="16"/>
                <w:lang w:val="nl-NL"/>
              </w:rPr>
              <w:t xml:space="preserve"> extra kosten moeilijk in te schatten </w:t>
            </w:r>
            <w:r w:rsidR="000141E8">
              <w:rPr>
                <w:sz w:val="16"/>
                <w:szCs w:val="16"/>
                <w:lang w:val="nl-NL"/>
              </w:rPr>
              <w:t>door</w:t>
            </w:r>
            <w:r w:rsidRPr="00992021" w:rsidR="00241BE5">
              <w:rPr>
                <w:sz w:val="16"/>
                <w:szCs w:val="16"/>
                <w:lang w:val="nl-NL"/>
              </w:rPr>
              <w:t xml:space="preserve"> ontbre</w:t>
            </w:r>
            <w:r w:rsidRPr="00992021" w:rsidR="00E47EBF">
              <w:rPr>
                <w:sz w:val="16"/>
                <w:szCs w:val="16"/>
                <w:lang w:val="nl-NL"/>
              </w:rPr>
              <w:t>ken cijfers (</w:t>
            </w:r>
            <w:proofErr w:type="spellStart"/>
            <w:r w:rsidRPr="00992021" w:rsidR="00E47EBF">
              <w:rPr>
                <w:sz w:val="16"/>
                <w:szCs w:val="16"/>
                <w:lang w:val="nl-NL"/>
              </w:rPr>
              <w:t>MvT</w:t>
            </w:r>
            <w:proofErr w:type="spellEnd"/>
            <w:r w:rsidRPr="00992021" w:rsidR="00E47EBF">
              <w:rPr>
                <w:sz w:val="16"/>
                <w:szCs w:val="16"/>
                <w:lang w:val="nl-NL"/>
              </w:rPr>
              <w:t>, p.</w:t>
            </w:r>
            <w:r w:rsidRPr="00992021" w:rsidR="00241BE5">
              <w:rPr>
                <w:sz w:val="16"/>
                <w:szCs w:val="16"/>
                <w:lang w:val="nl-NL"/>
              </w:rPr>
              <w:t xml:space="preserve">48). </w:t>
            </w:r>
          </w:p>
        </w:tc>
        <w:tc>
          <w:tcPr>
            <w:tcW w:w="3545" w:type="dxa"/>
          </w:tcPr>
          <w:p w:rsidRPr="00EF0607" w:rsidR="00C37077" w:rsidP="00EF0607" w:rsidRDefault="00CA17F8" w14:paraId="130DDE1E" w14:textId="31B09688">
            <w:pPr>
              <w:cnfStyle w:val="000000100000" w:firstRow="0" w:lastRow="0" w:firstColumn="0" w:lastColumn="0" w:oddVBand="0" w:evenVBand="0" w:oddHBand="1" w:evenHBand="0" w:firstRowFirstColumn="0" w:firstRowLastColumn="0" w:lastRowFirstColumn="0" w:lastRowLastColumn="0"/>
              <w:rPr>
                <w:sz w:val="16"/>
                <w:szCs w:val="16"/>
                <w:lang w:val="nl-NL"/>
              </w:rPr>
            </w:pPr>
            <w:r>
              <w:rPr>
                <w:bCs/>
                <w:iCs/>
                <w:sz w:val="16"/>
                <w:szCs w:val="16"/>
                <w:lang w:val="nl-NL"/>
              </w:rPr>
              <w:lastRenderedPageBreak/>
              <w:t xml:space="preserve">De financiële gevolgen voor maatschappelijke sectoren en derden van de wet die nu voorligt zijn niet duidelijk vanwege het ontbreken van de </w:t>
            </w:r>
            <w:r>
              <w:rPr>
                <w:bCs/>
                <w:iCs/>
                <w:sz w:val="16"/>
                <w:szCs w:val="16"/>
                <w:lang w:val="nl-NL"/>
              </w:rPr>
              <w:lastRenderedPageBreak/>
              <w:t xml:space="preserve">noodzakelijke gegevens. </w:t>
            </w:r>
            <w:r w:rsidRPr="00992021">
              <w:rPr>
                <w:bCs/>
                <w:iCs/>
                <w:sz w:val="16"/>
                <w:szCs w:val="16"/>
                <w:lang w:val="nl-NL"/>
              </w:rPr>
              <w:t>Onderzoek naar vergelijkbar</w:t>
            </w:r>
            <w:r>
              <w:rPr>
                <w:bCs/>
                <w:iCs/>
                <w:sz w:val="16"/>
                <w:szCs w:val="16"/>
                <w:lang w:val="nl-NL"/>
              </w:rPr>
              <w:t>e</w:t>
            </w:r>
            <w:r w:rsidRPr="00992021">
              <w:rPr>
                <w:bCs/>
                <w:iCs/>
                <w:sz w:val="16"/>
                <w:szCs w:val="16"/>
                <w:lang w:val="nl-NL"/>
              </w:rPr>
              <w:t xml:space="preserve"> </w:t>
            </w:r>
            <w:r>
              <w:rPr>
                <w:bCs/>
                <w:iCs/>
                <w:sz w:val="16"/>
                <w:szCs w:val="16"/>
                <w:lang w:val="nl-NL"/>
              </w:rPr>
              <w:t>wetgeving</w:t>
            </w:r>
            <w:r w:rsidRPr="00992021">
              <w:rPr>
                <w:bCs/>
                <w:iCs/>
                <w:sz w:val="16"/>
                <w:szCs w:val="16"/>
                <w:lang w:val="nl-NL"/>
              </w:rPr>
              <w:t xml:space="preserve"> in andere EU-lidstaten </w:t>
            </w:r>
            <w:r>
              <w:rPr>
                <w:bCs/>
                <w:iCs/>
                <w:sz w:val="16"/>
                <w:szCs w:val="16"/>
                <w:lang w:val="nl-NL"/>
              </w:rPr>
              <w:t>is (nog) niet beschikbaar</w:t>
            </w:r>
            <w:r w:rsidRPr="00992021">
              <w:rPr>
                <w:bCs/>
                <w:iCs/>
                <w:sz w:val="16"/>
                <w:szCs w:val="16"/>
                <w:lang w:val="nl-NL"/>
              </w:rPr>
              <w:t>.</w:t>
            </w:r>
          </w:p>
        </w:tc>
      </w:tr>
      <w:tr w:rsidRPr="00992021" w:rsidR="00F503F9" w:rsidTr="000C37F1" w14:paraId="6428654D"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992021" w:rsidR="00F503F9" w:rsidP="000C37F1" w:rsidRDefault="00F503F9" w14:paraId="5289ECCE" w14:textId="77777777">
            <w:pPr>
              <w:rPr>
                <w:szCs w:val="18"/>
                <w:lang w:val="nl-NL"/>
              </w:rPr>
            </w:pPr>
          </w:p>
          <w:p w:rsidRPr="00992021" w:rsidR="00F503F9" w:rsidP="00F503F9" w:rsidRDefault="00F503F9" w14:paraId="3D741069" w14:textId="77777777">
            <w:pPr>
              <w:pStyle w:val="Lijstalinea"/>
              <w:numPr>
                <w:ilvl w:val="0"/>
                <w:numId w:val="20"/>
              </w:numPr>
              <w:rPr>
                <w:szCs w:val="18"/>
                <w:lang w:val="nl-NL"/>
              </w:rPr>
            </w:pPr>
            <w:r w:rsidRPr="00992021">
              <w:rPr>
                <w:szCs w:val="18"/>
                <w:lang w:val="nl-NL"/>
              </w:rPr>
              <w:t>Evaluatieparagraaf: leren, bijsturen, verantwoorden</w:t>
            </w:r>
          </w:p>
          <w:p w:rsidRPr="00992021" w:rsidR="00CD0866" w:rsidP="00CD0866" w:rsidRDefault="00CD0866" w14:paraId="1D8F121D" w14:textId="77777777">
            <w:pPr>
              <w:rPr>
                <w:szCs w:val="18"/>
                <w:lang w:val="nl-NL"/>
              </w:rPr>
            </w:pPr>
          </w:p>
          <w:p w:rsidRPr="00992021" w:rsidR="00CD0866" w:rsidP="00CD0866" w:rsidRDefault="00CD0866" w14:paraId="3C1B9D76" w14:textId="77777777">
            <w:pPr>
              <w:rPr>
                <w:szCs w:val="18"/>
                <w:lang w:val="nl-NL"/>
              </w:rPr>
            </w:pPr>
          </w:p>
          <w:p w:rsidRPr="00992021" w:rsidR="00CD0866" w:rsidP="00CD0866" w:rsidRDefault="00CD0866" w14:paraId="32A259F9" w14:textId="77777777">
            <w:pPr>
              <w:rPr>
                <w:szCs w:val="18"/>
                <w:lang w:val="nl-NL"/>
              </w:rPr>
            </w:pPr>
          </w:p>
          <w:p w:rsidRPr="00992021" w:rsidR="00CD0866" w:rsidP="00CD0866" w:rsidRDefault="00CD0866" w14:paraId="71F9C0F1" w14:textId="77777777">
            <w:pPr>
              <w:rPr>
                <w:szCs w:val="18"/>
                <w:lang w:val="nl-NL"/>
              </w:rPr>
            </w:pPr>
          </w:p>
          <w:p w:rsidRPr="00992021" w:rsidR="00CD0866" w:rsidP="00CD0866" w:rsidRDefault="00CD0866" w14:paraId="67381AA6" w14:textId="77777777">
            <w:pPr>
              <w:rPr>
                <w:szCs w:val="18"/>
                <w:lang w:val="nl-NL"/>
              </w:rPr>
            </w:pPr>
          </w:p>
          <w:p w:rsidRPr="00992021" w:rsidR="00CD0866" w:rsidP="00CD0866" w:rsidRDefault="00CD0866" w14:paraId="104E7C79" w14:textId="156BE4E0">
            <w:pPr>
              <w:rPr>
                <w:szCs w:val="18"/>
                <w:lang w:val="nl-NL"/>
              </w:rPr>
            </w:pPr>
          </w:p>
        </w:tc>
        <w:tc>
          <w:tcPr>
            <w:tcW w:w="0" w:type="auto"/>
          </w:tcPr>
          <w:p w:rsidRPr="00992021" w:rsidR="00F503F9" w:rsidP="000C37F1" w:rsidRDefault="00E61E60" w14:paraId="2E09D512" w14:textId="1AF6D76A">
            <w:pPr>
              <w:cnfStyle w:val="000000000000" w:firstRow="0" w:lastRow="0" w:firstColumn="0" w:lastColumn="0" w:oddVBand="0" w:evenVBand="0" w:oddHBand="0" w:evenHBand="0" w:firstRowFirstColumn="0" w:firstRowLastColumn="0" w:lastRowFirstColumn="0" w:lastRowLastColumn="0"/>
              <w:rPr>
                <w:szCs w:val="18"/>
                <w:lang w:val="nl-NL"/>
              </w:rPr>
            </w:pPr>
            <w:r w:rsidRPr="00992021">
              <w:rPr>
                <w:noProof/>
                <w:szCs w:val="18"/>
                <w:lang w:eastAsia="nl-NL"/>
              </w:rPr>
              <w:drawing>
                <wp:inline distT="0" distB="0" distL="0" distR="0" wp14:anchorId="0AB2CB70" wp14:editId="08333792">
                  <wp:extent cx="152400" cy="1524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1"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992021" w:rsidR="002F3076" w:rsidP="00F503F9" w:rsidRDefault="009E2EEE" w14:paraId="592EE513" w14:textId="4D4F3CCF">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In de </w:t>
            </w:r>
            <w:proofErr w:type="spellStart"/>
            <w:r w:rsidRPr="00992021">
              <w:rPr>
                <w:sz w:val="16"/>
                <w:szCs w:val="16"/>
                <w:lang w:val="nl-NL"/>
              </w:rPr>
              <w:t>MvT</w:t>
            </w:r>
            <w:proofErr w:type="spellEnd"/>
            <w:r w:rsidRPr="00992021">
              <w:rPr>
                <w:sz w:val="16"/>
                <w:szCs w:val="16"/>
                <w:lang w:val="nl-NL"/>
              </w:rPr>
              <w:t xml:space="preserve"> is e</w:t>
            </w:r>
            <w:r w:rsidRPr="00992021" w:rsidR="002F3076">
              <w:rPr>
                <w:sz w:val="16"/>
                <w:szCs w:val="16"/>
                <w:lang w:val="nl-NL"/>
              </w:rPr>
              <w:t>en algemene evaluatieparagraaf opgenomen (</w:t>
            </w:r>
            <w:proofErr w:type="spellStart"/>
            <w:r w:rsidRPr="00992021" w:rsidR="00F24152">
              <w:rPr>
                <w:sz w:val="16"/>
                <w:szCs w:val="16"/>
                <w:lang w:val="nl-NL"/>
              </w:rPr>
              <w:t>M</w:t>
            </w:r>
            <w:r w:rsidRPr="00992021" w:rsidR="002F3076">
              <w:rPr>
                <w:sz w:val="16"/>
                <w:szCs w:val="16"/>
                <w:lang w:val="nl-NL"/>
              </w:rPr>
              <w:t>vT</w:t>
            </w:r>
            <w:proofErr w:type="spellEnd"/>
            <w:r w:rsidRPr="00992021" w:rsidR="00E47EBF">
              <w:rPr>
                <w:sz w:val="16"/>
                <w:szCs w:val="16"/>
                <w:lang w:val="nl-NL"/>
              </w:rPr>
              <w:t>, p.</w:t>
            </w:r>
            <w:r w:rsidRPr="00992021" w:rsidR="002F3076">
              <w:rPr>
                <w:sz w:val="16"/>
                <w:szCs w:val="16"/>
                <w:lang w:val="nl-NL"/>
              </w:rPr>
              <w:t xml:space="preserve">53). Elke 5 jaar wordt het wetsvoorstel geëvalueerd op doeltreffendheid en effecten in praktijk (artikel 20 </w:t>
            </w:r>
            <w:proofErr w:type="spellStart"/>
            <w:r w:rsidRPr="00992021" w:rsidR="002F3076">
              <w:rPr>
                <w:sz w:val="16"/>
                <w:szCs w:val="16"/>
                <w:lang w:val="nl-NL"/>
              </w:rPr>
              <w:t>Wbk</w:t>
            </w:r>
            <w:proofErr w:type="spellEnd"/>
            <w:r w:rsidRPr="00992021" w:rsidR="002F3076">
              <w:rPr>
                <w:sz w:val="16"/>
                <w:szCs w:val="16"/>
                <w:lang w:val="nl-NL"/>
              </w:rPr>
              <w:t xml:space="preserve">). Alle in de wet opgenomen maatregelen worden geëvalueerd. Enkele maatregelen worden specifiek genoemd. </w:t>
            </w:r>
            <w:r w:rsidRPr="00992021" w:rsidR="00E47EBF">
              <w:rPr>
                <w:sz w:val="16"/>
                <w:szCs w:val="16"/>
                <w:lang w:val="nl-NL"/>
              </w:rPr>
              <w:t>G</w:t>
            </w:r>
            <w:r w:rsidRPr="00992021" w:rsidR="002F3076">
              <w:rPr>
                <w:sz w:val="16"/>
                <w:szCs w:val="16"/>
                <w:lang w:val="nl-NL"/>
              </w:rPr>
              <w:t xml:space="preserve">een specifieke informatie over </w:t>
            </w:r>
            <w:r w:rsidRPr="00992021">
              <w:rPr>
                <w:sz w:val="16"/>
                <w:szCs w:val="16"/>
                <w:lang w:val="nl-NL"/>
              </w:rPr>
              <w:t>indicatoren en onderbouwde methodiek.</w:t>
            </w:r>
            <w:r w:rsidR="00316A98">
              <w:rPr>
                <w:sz w:val="16"/>
                <w:szCs w:val="16"/>
                <w:lang w:val="nl-NL"/>
              </w:rPr>
              <w:t xml:space="preserve"> </w:t>
            </w:r>
          </w:p>
          <w:p w:rsidRPr="00992021" w:rsidR="00F503F9" w:rsidP="00F503F9" w:rsidRDefault="00E47EBF" w14:paraId="10744012" w14:textId="579BC7A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T</w:t>
            </w:r>
            <w:r w:rsidRPr="00992021" w:rsidR="00ED54C3">
              <w:rPr>
                <w:sz w:val="16"/>
                <w:szCs w:val="16"/>
                <w:lang w:val="nl-NL"/>
              </w:rPr>
              <w:t>.</w:t>
            </w:r>
            <w:r w:rsidRPr="00992021" w:rsidR="009E2EEE">
              <w:rPr>
                <w:sz w:val="16"/>
                <w:szCs w:val="16"/>
                <w:lang w:val="nl-NL"/>
              </w:rPr>
              <w:t>a</w:t>
            </w:r>
            <w:r w:rsidRPr="00992021" w:rsidR="00ED54C3">
              <w:rPr>
                <w:sz w:val="16"/>
                <w:szCs w:val="16"/>
                <w:lang w:val="nl-NL"/>
              </w:rPr>
              <w:t>.</w:t>
            </w:r>
            <w:r w:rsidRPr="00992021" w:rsidR="009E2EEE">
              <w:rPr>
                <w:sz w:val="16"/>
                <w:szCs w:val="16"/>
                <w:lang w:val="nl-NL"/>
              </w:rPr>
              <w:t>v</w:t>
            </w:r>
            <w:r w:rsidRPr="00992021" w:rsidR="00ED54C3">
              <w:rPr>
                <w:sz w:val="16"/>
                <w:szCs w:val="16"/>
                <w:lang w:val="nl-NL"/>
              </w:rPr>
              <w:t>.</w:t>
            </w:r>
            <w:r w:rsidRPr="00992021" w:rsidR="009E2EEE">
              <w:rPr>
                <w:sz w:val="16"/>
                <w:szCs w:val="16"/>
                <w:lang w:val="nl-NL"/>
              </w:rPr>
              <w:t xml:space="preserve"> enkele maatregelen nog specifieke informatie over</w:t>
            </w:r>
            <w:r w:rsidRPr="00992021" w:rsidR="00370C2B">
              <w:rPr>
                <w:sz w:val="16"/>
                <w:szCs w:val="16"/>
                <w:lang w:val="nl-NL"/>
              </w:rPr>
              <w:t xml:space="preserve"> evaluatie in de kabinetsbrief:</w:t>
            </w:r>
          </w:p>
          <w:p w:rsidRPr="00992021" w:rsidR="00370C2B" w:rsidP="00370C2B" w:rsidRDefault="00E756DB" w14:paraId="753175D7" w14:textId="3B01F5B8">
            <w:pPr>
              <w:pStyle w:val="Lijstalinea"/>
              <w:numPr>
                <w:ilvl w:val="0"/>
                <w:numId w:val="28"/>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N</w:t>
            </w:r>
            <w:r w:rsidRPr="00992021" w:rsidR="00370C2B">
              <w:rPr>
                <w:sz w:val="16"/>
                <w:szCs w:val="16"/>
                <w:lang w:val="nl-NL"/>
              </w:rPr>
              <w:t xml:space="preserve">a inwerkingtreding van de 2e </w:t>
            </w:r>
            <w:proofErr w:type="spellStart"/>
            <w:r w:rsidRPr="00992021" w:rsidR="00370C2B">
              <w:rPr>
                <w:sz w:val="16"/>
                <w:szCs w:val="16"/>
                <w:lang w:val="nl-NL"/>
              </w:rPr>
              <w:t>NvW</w:t>
            </w:r>
            <w:proofErr w:type="spellEnd"/>
            <w:r w:rsidRPr="00992021" w:rsidR="00370C2B">
              <w:rPr>
                <w:sz w:val="16"/>
                <w:szCs w:val="16"/>
                <w:lang w:val="nl-NL"/>
              </w:rPr>
              <w:t xml:space="preserve"> </w:t>
            </w:r>
            <w:r>
              <w:rPr>
                <w:sz w:val="16"/>
                <w:szCs w:val="16"/>
                <w:lang w:val="nl-NL"/>
              </w:rPr>
              <w:t xml:space="preserve">een </w:t>
            </w:r>
            <w:r w:rsidRPr="00992021" w:rsidR="00370C2B">
              <w:rPr>
                <w:sz w:val="16"/>
                <w:szCs w:val="16"/>
                <w:lang w:val="nl-NL"/>
              </w:rPr>
              <w:t xml:space="preserve">nulmeting </w:t>
            </w:r>
            <w:r w:rsidRPr="00992021" w:rsidR="004127FC">
              <w:rPr>
                <w:sz w:val="16"/>
                <w:szCs w:val="16"/>
                <w:lang w:val="nl-NL"/>
              </w:rPr>
              <w:t xml:space="preserve">van </w:t>
            </w:r>
            <w:r w:rsidRPr="00992021" w:rsidR="00370C2B">
              <w:rPr>
                <w:sz w:val="16"/>
                <w:szCs w:val="16"/>
                <w:lang w:val="nl-NL"/>
              </w:rPr>
              <w:t>interne meldstructuren en effectiviteit daarvan. Dit onderzoek kan aanleiding zijn wettelijk toezicht met wettelijke sancties op de interne meldregelingen te regelen. Onderzoek wordt period</w:t>
            </w:r>
            <w:r w:rsidRPr="00992021" w:rsidR="00E47EBF">
              <w:rPr>
                <w:sz w:val="16"/>
                <w:szCs w:val="16"/>
                <w:lang w:val="nl-NL"/>
              </w:rPr>
              <w:t>iek herhaald (Kabinetsbrief, p.</w:t>
            </w:r>
            <w:r w:rsidRPr="00992021" w:rsidR="00370C2B">
              <w:rPr>
                <w:sz w:val="16"/>
                <w:szCs w:val="16"/>
                <w:lang w:val="nl-NL"/>
              </w:rPr>
              <w:t xml:space="preserve">15). </w:t>
            </w:r>
          </w:p>
          <w:p w:rsidRPr="00992021" w:rsidR="00370C2B" w:rsidP="00370C2B" w:rsidRDefault="00370C2B" w14:paraId="20EB1AED" w14:textId="1CCBA099">
            <w:pPr>
              <w:pStyle w:val="Lijstalinea"/>
              <w:numPr>
                <w:ilvl w:val="0"/>
                <w:numId w:val="28"/>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Pilot mediation en juridische ondersteuning loopt tot 1 januari 2024 en wordt daarna </w:t>
            </w:r>
            <w:r w:rsidRPr="00992021" w:rsidR="00117998">
              <w:rPr>
                <w:sz w:val="16"/>
                <w:szCs w:val="16"/>
                <w:lang w:val="nl-NL"/>
              </w:rPr>
              <w:t>geëvalueerd</w:t>
            </w:r>
            <w:r w:rsidRPr="00992021">
              <w:rPr>
                <w:sz w:val="16"/>
                <w:szCs w:val="16"/>
                <w:lang w:val="nl-NL"/>
              </w:rPr>
              <w:t>. Wanneer en op basis van welke criteria wordt niet genoemd. De pilot psychosociale ondersteuning wordt geëvalueerd in het jaar nadat met deze pilot wordt gestart (</w:t>
            </w:r>
            <w:r w:rsidRPr="00992021" w:rsidR="00E47EBF">
              <w:rPr>
                <w:sz w:val="16"/>
                <w:szCs w:val="16"/>
                <w:lang w:val="nl-NL"/>
              </w:rPr>
              <w:t xml:space="preserve">start is </w:t>
            </w:r>
            <w:r w:rsidRPr="00992021">
              <w:rPr>
                <w:sz w:val="16"/>
                <w:szCs w:val="16"/>
                <w:lang w:val="nl-NL"/>
              </w:rPr>
              <w:t>september 2022). Geen criteria genoemd (Kabinetsbrief, p.26-27).</w:t>
            </w:r>
            <w:r w:rsidR="00316A98">
              <w:rPr>
                <w:sz w:val="16"/>
                <w:szCs w:val="16"/>
                <w:lang w:val="nl-NL"/>
              </w:rPr>
              <w:t xml:space="preserve"> </w:t>
            </w:r>
          </w:p>
          <w:p w:rsidRPr="00992021" w:rsidR="00241BE5" w:rsidP="00370C2B" w:rsidRDefault="00370C2B" w14:paraId="2FB0B118" w14:textId="3B102ABD">
            <w:pPr>
              <w:pStyle w:val="Lijstalinea"/>
              <w:numPr>
                <w:ilvl w:val="0"/>
                <w:numId w:val="28"/>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Minister heeft opdracht gegeven </w:t>
            </w:r>
            <w:r w:rsidRPr="00992021" w:rsidR="00E47EBF">
              <w:rPr>
                <w:sz w:val="16"/>
                <w:szCs w:val="16"/>
                <w:lang w:val="nl-NL"/>
              </w:rPr>
              <w:t xml:space="preserve">de </w:t>
            </w:r>
            <w:r w:rsidRPr="00992021">
              <w:rPr>
                <w:sz w:val="16"/>
                <w:szCs w:val="16"/>
                <w:lang w:val="nl-NL"/>
              </w:rPr>
              <w:t>c</w:t>
            </w:r>
            <w:r w:rsidRPr="00992021" w:rsidR="00241BE5">
              <w:rPr>
                <w:sz w:val="16"/>
                <w:szCs w:val="16"/>
                <w:lang w:val="nl-NL"/>
              </w:rPr>
              <w:t xml:space="preserve">ampagne veilig werk- en meldklimaat </w:t>
            </w:r>
            <w:r w:rsidRPr="00992021">
              <w:rPr>
                <w:sz w:val="16"/>
                <w:szCs w:val="16"/>
                <w:lang w:val="nl-NL"/>
              </w:rPr>
              <w:t>zo op te zetten dat gemonitord kan worden wat effecten zijn. Geen nadere ind</w:t>
            </w:r>
            <w:r w:rsidRPr="00992021" w:rsidR="00F24152">
              <w:rPr>
                <w:sz w:val="16"/>
                <w:szCs w:val="16"/>
                <w:lang w:val="nl-NL"/>
              </w:rPr>
              <w:t>i</w:t>
            </w:r>
            <w:r w:rsidRPr="00992021">
              <w:rPr>
                <w:sz w:val="16"/>
                <w:szCs w:val="16"/>
                <w:lang w:val="nl-NL"/>
              </w:rPr>
              <w:t xml:space="preserve">catoren genoemd. Einde van dit jaar update over voortgang campagne </w:t>
            </w:r>
            <w:r w:rsidRPr="00992021" w:rsidR="00E47EBF">
              <w:rPr>
                <w:sz w:val="16"/>
                <w:szCs w:val="16"/>
                <w:lang w:val="nl-NL"/>
              </w:rPr>
              <w:t>(Kabinetsbrief, p.</w:t>
            </w:r>
            <w:r w:rsidRPr="00992021" w:rsidR="00241BE5">
              <w:rPr>
                <w:sz w:val="16"/>
                <w:szCs w:val="16"/>
                <w:lang w:val="nl-NL"/>
              </w:rPr>
              <w:t xml:space="preserve">27-28). </w:t>
            </w:r>
          </w:p>
          <w:p w:rsidRPr="00992021" w:rsidR="00F503F9" w:rsidP="006046D6" w:rsidRDefault="002F3076" w14:paraId="37CE336F" w14:textId="39B1DD4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De regering zal ook bijdragen aan de evaluatie van de Europese Comm</w:t>
            </w:r>
            <w:r w:rsidRPr="00992021" w:rsidR="00E47EBF">
              <w:rPr>
                <w:sz w:val="16"/>
                <w:szCs w:val="16"/>
                <w:lang w:val="nl-NL"/>
              </w:rPr>
              <w:t>issie van de Richtlijn (</w:t>
            </w:r>
            <w:proofErr w:type="spellStart"/>
            <w:r w:rsidRPr="00992021" w:rsidR="00E47EBF">
              <w:rPr>
                <w:sz w:val="16"/>
                <w:szCs w:val="16"/>
                <w:lang w:val="nl-NL"/>
              </w:rPr>
              <w:t>MvT</w:t>
            </w:r>
            <w:proofErr w:type="spellEnd"/>
            <w:r w:rsidRPr="00992021" w:rsidR="00E47EBF">
              <w:rPr>
                <w:sz w:val="16"/>
                <w:szCs w:val="16"/>
                <w:lang w:val="nl-NL"/>
              </w:rPr>
              <w:t>, p.</w:t>
            </w:r>
            <w:r w:rsidRPr="00992021">
              <w:rPr>
                <w:sz w:val="16"/>
                <w:szCs w:val="16"/>
                <w:lang w:val="nl-NL"/>
              </w:rPr>
              <w:t xml:space="preserve">53). </w:t>
            </w:r>
          </w:p>
        </w:tc>
        <w:tc>
          <w:tcPr>
            <w:tcW w:w="3545" w:type="dxa"/>
          </w:tcPr>
          <w:p w:rsidR="00486025" w:rsidP="007625DA" w:rsidRDefault="00B04DF2" w14:paraId="2CD58EE8" w14:textId="2F5BE8C8">
            <w:p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Het kabinet </w:t>
            </w:r>
            <w:r w:rsidRPr="00992021" w:rsidR="00486025">
              <w:rPr>
                <w:sz w:val="16"/>
                <w:szCs w:val="16"/>
                <w:lang w:val="nl-NL"/>
              </w:rPr>
              <w:t xml:space="preserve">kiest voor </w:t>
            </w:r>
            <w:r w:rsidRPr="00992021" w:rsidR="004810CB">
              <w:rPr>
                <w:sz w:val="16"/>
                <w:szCs w:val="16"/>
                <w:lang w:val="nl-NL"/>
              </w:rPr>
              <w:t>gedifferentieerde evaluatie</w:t>
            </w:r>
            <w:r w:rsidRPr="00992021" w:rsidR="00486025">
              <w:rPr>
                <w:sz w:val="16"/>
                <w:szCs w:val="16"/>
                <w:lang w:val="nl-NL"/>
              </w:rPr>
              <w:t>:</w:t>
            </w:r>
          </w:p>
          <w:p w:rsidRPr="009F19D9" w:rsidR="00B04DF2" w:rsidP="00C015ED" w:rsidRDefault="00C015ED" w14:paraId="4AD38057" w14:textId="7D7D9BFB">
            <w:pPr>
              <w:pStyle w:val="Tekstopmerking"/>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1) </w:t>
            </w:r>
            <w:r w:rsidRPr="00992021" w:rsidR="004810CB">
              <w:rPr>
                <w:sz w:val="16"/>
                <w:szCs w:val="16"/>
                <w:lang w:val="nl-NL"/>
              </w:rPr>
              <w:t>I</w:t>
            </w:r>
            <w:r w:rsidRPr="009F19D9" w:rsidR="00B04DF2">
              <w:rPr>
                <w:sz w:val="16"/>
                <w:szCs w:val="16"/>
                <w:lang w:val="nl-NL"/>
              </w:rPr>
              <w:t>mplementatie EU</w:t>
            </w:r>
            <w:r w:rsidR="00112EC0">
              <w:rPr>
                <w:sz w:val="16"/>
                <w:szCs w:val="16"/>
                <w:lang w:val="nl-NL"/>
              </w:rPr>
              <w:t>-</w:t>
            </w:r>
            <w:r w:rsidRPr="009F19D9" w:rsidR="00B04DF2">
              <w:rPr>
                <w:sz w:val="16"/>
                <w:szCs w:val="16"/>
                <w:lang w:val="nl-NL"/>
              </w:rPr>
              <w:t>richtlijn (ligt voor)</w:t>
            </w:r>
          </w:p>
          <w:p w:rsidRPr="009F19D9" w:rsidR="00B04DF2" w:rsidP="00C015ED" w:rsidRDefault="00C015ED" w14:paraId="2EEF7880" w14:textId="60106484">
            <w:pPr>
              <w:pStyle w:val="Tekstopmerking"/>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2) </w:t>
            </w:r>
            <w:r w:rsidRPr="00992021" w:rsidR="004810CB">
              <w:rPr>
                <w:sz w:val="16"/>
                <w:szCs w:val="16"/>
                <w:lang w:val="nl-NL"/>
              </w:rPr>
              <w:t>V</w:t>
            </w:r>
            <w:r w:rsidRPr="009F19D9" w:rsidR="00B04DF2">
              <w:rPr>
                <w:sz w:val="16"/>
                <w:szCs w:val="16"/>
                <w:lang w:val="nl-NL"/>
              </w:rPr>
              <w:t xml:space="preserve">oorstellen Omtzigt </w:t>
            </w:r>
            <w:r w:rsidRPr="00992021" w:rsidR="00B04DF2">
              <w:rPr>
                <w:sz w:val="16"/>
                <w:szCs w:val="16"/>
                <w:lang w:val="nl-NL"/>
              </w:rPr>
              <w:t>(</w:t>
            </w:r>
            <w:r w:rsidRPr="00992021" w:rsidR="004810CB">
              <w:rPr>
                <w:sz w:val="16"/>
                <w:szCs w:val="16"/>
                <w:lang w:val="nl-NL"/>
              </w:rPr>
              <w:t xml:space="preserve">onderwerpen </w:t>
            </w:r>
            <w:r w:rsidRPr="009F19D9" w:rsidR="00B04DF2">
              <w:rPr>
                <w:sz w:val="16"/>
                <w:szCs w:val="16"/>
                <w:lang w:val="nl-NL"/>
              </w:rPr>
              <w:t>waar</w:t>
            </w:r>
            <w:r w:rsidR="00287FE9">
              <w:rPr>
                <w:sz w:val="16"/>
                <w:szCs w:val="16"/>
                <w:lang w:val="nl-NL"/>
              </w:rPr>
              <w:t xml:space="preserve"> nog</w:t>
            </w:r>
            <w:r w:rsidRPr="00992021" w:rsidR="00B04DF2">
              <w:rPr>
                <w:sz w:val="16"/>
                <w:szCs w:val="16"/>
                <w:lang w:val="nl-NL"/>
              </w:rPr>
              <w:t xml:space="preserve"> onderzoek </w:t>
            </w:r>
            <w:r w:rsidR="00287FE9">
              <w:rPr>
                <w:sz w:val="16"/>
                <w:szCs w:val="16"/>
                <w:lang w:val="nl-NL"/>
              </w:rPr>
              <w:t xml:space="preserve">naar </w:t>
            </w:r>
            <w:r w:rsidRPr="00992021" w:rsidR="00B04DF2">
              <w:rPr>
                <w:sz w:val="16"/>
                <w:szCs w:val="16"/>
                <w:lang w:val="nl-NL"/>
              </w:rPr>
              <w:t>moet worden gedaan</w:t>
            </w:r>
            <w:r w:rsidRPr="009F19D9" w:rsidR="00B04DF2">
              <w:rPr>
                <w:sz w:val="16"/>
                <w:szCs w:val="16"/>
                <w:lang w:val="nl-NL"/>
              </w:rPr>
              <w:t>)</w:t>
            </w:r>
          </w:p>
          <w:p w:rsidRPr="00C015ED" w:rsidR="00B04DF2" w:rsidP="00C015ED" w:rsidRDefault="00C015ED" w14:paraId="1F3EE492" w14:textId="6CD044FD">
            <w:pPr>
              <w:pStyle w:val="Tekstopmerking"/>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3) </w:t>
            </w:r>
            <w:r w:rsidRPr="00992021" w:rsidR="004810CB">
              <w:rPr>
                <w:sz w:val="16"/>
                <w:szCs w:val="16"/>
                <w:lang w:val="nl-NL"/>
              </w:rPr>
              <w:t>Fonds</w:t>
            </w:r>
            <w:r w:rsidRPr="009F19D9" w:rsidR="00B04DF2">
              <w:rPr>
                <w:sz w:val="16"/>
                <w:szCs w:val="16"/>
                <w:lang w:val="nl-NL"/>
              </w:rPr>
              <w:t xml:space="preserve"> (eventueel na afronding pilots)</w:t>
            </w:r>
          </w:p>
          <w:p w:rsidR="00C015ED" w:rsidP="004810CB" w:rsidRDefault="00C015ED" w14:paraId="7411E963"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992021" w:rsidR="00486025" w:rsidP="004810CB" w:rsidRDefault="004810CB" w14:paraId="0080053C" w14:textId="708CFF31">
            <w:pPr>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Deze strategie is problematisch met het oog op de gewenste kwaliteit </w:t>
            </w:r>
            <w:r w:rsidR="00112EC0">
              <w:rPr>
                <w:sz w:val="16"/>
                <w:szCs w:val="16"/>
                <w:lang w:val="nl-NL"/>
              </w:rPr>
              <w:t xml:space="preserve">en uitvoerbaarheid </w:t>
            </w:r>
            <w:r w:rsidRPr="00992021">
              <w:rPr>
                <w:sz w:val="16"/>
                <w:szCs w:val="16"/>
                <w:lang w:val="nl-NL"/>
              </w:rPr>
              <w:t xml:space="preserve">van de wetgeving. Het risico is </w:t>
            </w:r>
            <w:r w:rsidRPr="00992021" w:rsidR="00486025">
              <w:rPr>
                <w:sz w:val="16"/>
                <w:szCs w:val="16"/>
                <w:lang w:val="nl-NL"/>
              </w:rPr>
              <w:t xml:space="preserve">dat </w:t>
            </w:r>
            <w:r w:rsidRPr="00992021">
              <w:rPr>
                <w:sz w:val="16"/>
                <w:szCs w:val="16"/>
                <w:lang w:val="nl-NL"/>
              </w:rPr>
              <w:t>de</w:t>
            </w:r>
            <w:r w:rsidRPr="00992021" w:rsidR="00486025">
              <w:rPr>
                <w:sz w:val="16"/>
                <w:szCs w:val="16"/>
                <w:lang w:val="nl-NL"/>
              </w:rPr>
              <w:t xml:space="preserve"> wet </w:t>
            </w:r>
            <w:r w:rsidR="00A87860">
              <w:rPr>
                <w:sz w:val="16"/>
                <w:szCs w:val="16"/>
                <w:lang w:val="nl-NL"/>
              </w:rPr>
              <w:t xml:space="preserve">die nu voorligt </w:t>
            </w:r>
            <w:r w:rsidRPr="00992021" w:rsidR="00486025">
              <w:rPr>
                <w:sz w:val="16"/>
                <w:szCs w:val="16"/>
                <w:lang w:val="nl-NL"/>
              </w:rPr>
              <w:t>volledig losstaat van praktijkervaringe</w:t>
            </w:r>
            <w:r w:rsidRPr="00992021">
              <w:rPr>
                <w:sz w:val="16"/>
                <w:szCs w:val="16"/>
                <w:lang w:val="nl-NL"/>
              </w:rPr>
              <w:t>n</w:t>
            </w:r>
            <w:r w:rsidR="00287FE9">
              <w:rPr>
                <w:sz w:val="16"/>
                <w:szCs w:val="16"/>
                <w:lang w:val="nl-NL"/>
              </w:rPr>
              <w:t>,</w:t>
            </w:r>
            <w:r w:rsidRPr="00992021">
              <w:rPr>
                <w:sz w:val="16"/>
                <w:szCs w:val="16"/>
                <w:lang w:val="nl-NL"/>
              </w:rPr>
              <w:t xml:space="preserve"> zodat</w:t>
            </w:r>
            <w:r w:rsidRPr="00992021" w:rsidR="00486025">
              <w:rPr>
                <w:sz w:val="16"/>
                <w:szCs w:val="16"/>
                <w:lang w:val="nl-NL"/>
              </w:rPr>
              <w:t xml:space="preserve"> </w:t>
            </w:r>
            <w:r w:rsidRPr="00992021" w:rsidR="001F6E99">
              <w:rPr>
                <w:sz w:val="16"/>
                <w:szCs w:val="16"/>
                <w:lang w:val="nl-NL"/>
              </w:rPr>
              <w:t xml:space="preserve">hij </w:t>
            </w:r>
            <w:r w:rsidRPr="00992021" w:rsidR="00486025">
              <w:rPr>
                <w:sz w:val="16"/>
                <w:szCs w:val="16"/>
                <w:lang w:val="nl-NL"/>
              </w:rPr>
              <w:t xml:space="preserve">vervolgens in </w:t>
            </w:r>
            <w:r w:rsidRPr="00992021" w:rsidR="001F6E99">
              <w:rPr>
                <w:sz w:val="16"/>
                <w:szCs w:val="16"/>
                <w:lang w:val="nl-NL"/>
              </w:rPr>
              <w:t xml:space="preserve">een </w:t>
            </w:r>
            <w:r w:rsidRPr="00992021" w:rsidR="00486025">
              <w:rPr>
                <w:sz w:val="16"/>
                <w:szCs w:val="16"/>
                <w:lang w:val="nl-NL"/>
              </w:rPr>
              <w:t>jarenlang proces steeds moet worden herzien</w:t>
            </w:r>
            <w:r w:rsidRPr="00992021" w:rsidR="001F6E99">
              <w:rPr>
                <w:sz w:val="16"/>
                <w:szCs w:val="16"/>
                <w:lang w:val="nl-NL"/>
              </w:rPr>
              <w:t xml:space="preserve">. </w:t>
            </w:r>
          </w:p>
          <w:p w:rsidRPr="00992021" w:rsidR="001F6E99" w:rsidP="004810CB" w:rsidRDefault="001F6E99" w14:paraId="028C8F2B" w14:textId="655D1A0B">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992021" w:rsidR="001F6E99" w:rsidP="001F6E99" w:rsidRDefault="001F6E99" w14:paraId="2361E510" w14:textId="7A52595A">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F19D9">
              <w:rPr>
                <w:b/>
                <w:bCs/>
                <w:sz w:val="16"/>
                <w:szCs w:val="16"/>
                <w:lang w:val="nl-NL"/>
              </w:rPr>
              <w:t xml:space="preserve">Aanbeveling </w:t>
            </w:r>
            <w:r w:rsidR="00112EC0">
              <w:rPr>
                <w:b/>
                <w:bCs/>
                <w:sz w:val="16"/>
                <w:szCs w:val="16"/>
                <w:lang w:val="nl-NL"/>
              </w:rPr>
              <w:t>1</w:t>
            </w:r>
            <w:r w:rsidR="00EF0607">
              <w:rPr>
                <w:b/>
                <w:bCs/>
                <w:sz w:val="16"/>
                <w:szCs w:val="16"/>
                <w:lang w:val="nl-NL"/>
              </w:rPr>
              <w:t>2</w:t>
            </w:r>
            <w:r w:rsidRPr="009F19D9">
              <w:rPr>
                <w:sz w:val="16"/>
                <w:szCs w:val="16"/>
                <w:lang w:val="nl-NL"/>
              </w:rPr>
              <w:t>:</w:t>
            </w:r>
            <w:r w:rsidRPr="00992021">
              <w:rPr>
                <w:sz w:val="16"/>
                <w:szCs w:val="16"/>
                <w:lang w:val="nl-NL"/>
              </w:rPr>
              <w:t xml:space="preserve"> ontwikkel een evaluatiestrategie op basis van de volgende elementen:</w:t>
            </w:r>
            <w:r w:rsidR="00316A98">
              <w:rPr>
                <w:sz w:val="16"/>
                <w:szCs w:val="16"/>
                <w:lang w:val="nl-NL"/>
              </w:rPr>
              <w:t xml:space="preserve"> </w:t>
            </w:r>
          </w:p>
          <w:p w:rsidRPr="00992021" w:rsidR="001F6E99" w:rsidP="009F19D9" w:rsidRDefault="001F6E99" w14:paraId="6F46BD2E" w14:textId="75794734">
            <w:pPr>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1) </w:t>
            </w:r>
            <w:r w:rsidRPr="009F19D9">
              <w:rPr>
                <w:sz w:val="16"/>
                <w:szCs w:val="16"/>
                <w:lang w:val="nl-NL"/>
              </w:rPr>
              <w:t>Integreer de verschillende trajecten zoveel mogelijk.</w:t>
            </w:r>
          </w:p>
          <w:p w:rsidRPr="00992021" w:rsidR="001F6E99" w:rsidP="00992021" w:rsidRDefault="001F6E99" w14:paraId="1767AF09" w14:textId="48FE903D">
            <w:pPr>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2) </w:t>
            </w:r>
            <w:r w:rsidRPr="009F19D9">
              <w:rPr>
                <w:sz w:val="16"/>
                <w:szCs w:val="16"/>
                <w:lang w:val="nl-NL"/>
              </w:rPr>
              <w:t xml:space="preserve">Beschouw in de evaluatie de twee belangrijkste doelen (bescherming van klokkenluiders en bijdragen aan oplossing maatschappelijke misstanden) in samenhang. </w:t>
            </w:r>
          </w:p>
          <w:p w:rsidRPr="00992021" w:rsidR="00662ABF" w:rsidP="0023006C" w:rsidRDefault="001F6E99" w14:paraId="3500934B" w14:textId="3C48009B">
            <w:pPr>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3) B</w:t>
            </w:r>
            <w:r w:rsidRPr="00992021" w:rsidR="00345EE3">
              <w:rPr>
                <w:sz w:val="16"/>
                <w:szCs w:val="16"/>
                <w:lang w:val="nl-NL"/>
              </w:rPr>
              <w:t>esteed nadrukkelijk aandacht aan welke (wettelijke) maatregelen wel en niet</w:t>
            </w:r>
            <w:r w:rsidR="00DF688D">
              <w:rPr>
                <w:sz w:val="16"/>
                <w:szCs w:val="16"/>
                <w:lang w:val="nl-NL"/>
              </w:rPr>
              <w:t xml:space="preserve"> effectief zijn</w:t>
            </w:r>
            <w:r w:rsidRPr="00992021" w:rsidR="00345EE3">
              <w:rPr>
                <w:sz w:val="16"/>
                <w:szCs w:val="16"/>
                <w:lang w:val="nl-NL"/>
              </w:rPr>
              <w:t>.</w:t>
            </w:r>
            <w:r w:rsidRPr="00992021" w:rsidR="00F33483">
              <w:rPr>
                <w:rStyle w:val="Voetnootmarkering"/>
                <w:sz w:val="16"/>
                <w:szCs w:val="16"/>
                <w:lang w:val="nl-NL"/>
              </w:rPr>
              <w:footnoteReference w:id="17"/>
            </w:r>
          </w:p>
          <w:p w:rsidRPr="00992021" w:rsidR="001F6E99" w:rsidP="009F19D9" w:rsidRDefault="001F6E99" w14:paraId="1358EB91" w14:textId="681B0771">
            <w:pPr>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4) S</w:t>
            </w:r>
            <w:r w:rsidRPr="00992021" w:rsidR="00662ABF">
              <w:rPr>
                <w:sz w:val="16"/>
                <w:szCs w:val="16"/>
                <w:lang w:val="nl-NL"/>
              </w:rPr>
              <w:t>tel gebruikersperspectief centraal: hoe ervaren melders de juridische procedure; tegen welke obstakels lopen zij aan? Enz</w:t>
            </w:r>
            <w:r w:rsidR="00DD336A">
              <w:rPr>
                <w:sz w:val="16"/>
                <w:szCs w:val="16"/>
                <w:lang w:val="nl-NL"/>
              </w:rPr>
              <w:t>.</w:t>
            </w:r>
            <w:r w:rsidRPr="00992021" w:rsidR="00F33483">
              <w:rPr>
                <w:rStyle w:val="Voetnootmarkering"/>
                <w:sz w:val="16"/>
                <w:szCs w:val="16"/>
                <w:lang w:val="nl-NL"/>
              </w:rPr>
              <w:footnoteReference w:id="18"/>
            </w:r>
          </w:p>
          <w:p w:rsidRPr="00992021" w:rsidR="00662ABF" w:rsidP="00992021" w:rsidRDefault="001F6E99" w14:paraId="24CCE4E8" w14:textId="571A4E43">
            <w:pPr>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992021">
              <w:rPr>
                <w:sz w:val="16"/>
                <w:szCs w:val="16"/>
                <w:lang w:val="nl-NL"/>
              </w:rPr>
              <w:t xml:space="preserve">5) </w:t>
            </w:r>
            <w:r w:rsidRPr="00992021" w:rsidR="00662ABF">
              <w:rPr>
                <w:sz w:val="16"/>
                <w:szCs w:val="16"/>
                <w:lang w:val="nl-NL"/>
              </w:rPr>
              <w:t xml:space="preserve">Besteed in evaluatie ook aandacht aan ervaringen in andere landen; hoe doet NL het vergeleken </w:t>
            </w:r>
            <w:r w:rsidR="00287FE9">
              <w:rPr>
                <w:sz w:val="16"/>
                <w:szCs w:val="16"/>
                <w:lang w:val="nl-NL"/>
              </w:rPr>
              <w:t>met</w:t>
            </w:r>
            <w:r w:rsidRPr="00992021" w:rsidR="00662ABF">
              <w:rPr>
                <w:sz w:val="16"/>
                <w:szCs w:val="16"/>
                <w:lang w:val="nl-NL"/>
              </w:rPr>
              <w:t xml:space="preserve"> andere landen? </w:t>
            </w:r>
            <w:r w:rsidR="00DD336A">
              <w:rPr>
                <w:sz w:val="16"/>
                <w:szCs w:val="16"/>
                <w:lang w:val="nl-NL"/>
              </w:rPr>
              <w:t>W</w:t>
            </w:r>
            <w:r w:rsidRPr="00992021" w:rsidR="00662ABF">
              <w:rPr>
                <w:sz w:val="16"/>
                <w:szCs w:val="16"/>
                <w:lang w:val="nl-NL"/>
              </w:rPr>
              <w:t>elke lessen kunnen hieruit worden getrokken?</w:t>
            </w:r>
            <w:r w:rsidRPr="00992021" w:rsidR="00F33483">
              <w:rPr>
                <w:rStyle w:val="Voetnootmarkering"/>
                <w:sz w:val="16"/>
                <w:szCs w:val="16"/>
                <w:lang w:val="nl-NL"/>
              </w:rPr>
              <w:footnoteReference w:id="19"/>
            </w:r>
          </w:p>
          <w:p w:rsidRPr="00992021" w:rsidR="00662ABF" w:rsidP="007625DA" w:rsidRDefault="00662ABF" w14:paraId="500DD791"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992021" w:rsidR="00662ABF" w:rsidP="007625DA" w:rsidRDefault="00DF688D" w14:paraId="7AEC42DA" w14:textId="1996D858">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De</w:t>
            </w:r>
            <w:r w:rsidRPr="00992021" w:rsidR="001F6E99">
              <w:rPr>
                <w:sz w:val="16"/>
                <w:szCs w:val="16"/>
                <w:lang w:val="nl-NL"/>
              </w:rPr>
              <w:t xml:space="preserve"> </w:t>
            </w:r>
            <w:r>
              <w:rPr>
                <w:sz w:val="16"/>
                <w:szCs w:val="16"/>
                <w:lang w:val="nl-NL"/>
              </w:rPr>
              <w:t>E</w:t>
            </w:r>
            <w:r w:rsidRPr="00992021" w:rsidR="00662ABF">
              <w:rPr>
                <w:sz w:val="16"/>
                <w:szCs w:val="16"/>
                <w:lang w:val="nl-NL"/>
              </w:rPr>
              <w:t>valuati</w:t>
            </w:r>
            <w:r>
              <w:rPr>
                <w:sz w:val="16"/>
                <w:szCs w:val="16"/>
                <w:lang w:val="nl-NL"/>
              </w:rPr>
              <w:t xml:space="preserve">e Wet Huis voor klokkenluiders </w:t>
            </w:r>
            <w:r w:rsidRPr="00992021" w:rsidR="00662ABF">
              <w:rPr>
                <w:sz w:val="16"/>
                <w:szCs w:val="16"/>
                <w:lang w:val="nl-NL"/>
              </w:rPr>
              <w:t xml:space="preserve">constateerde </w:t>
            </w:r>
            <w:r w:rsidRPr="00992021" w:rsidR="001F6E99">
              <w:rPr>
                <w:sz w:val="16"/>
                <w:szCs w:val="16"/>
                <w:lang w:val="nl-NL"/>
              </w:rPr>
              <w:t xml:space="preserve">een </w:t>
            </w:r>
            <w:r w:rsidRPr="00992021" w:rsidR="00662ABF">
              <w:rPr>
                <w:sz w:val="16"/>
                <w:szCs w:val="16"/>
                <w:lang w:val="nl-NL"/>
              </w:rPr>
              <w:t>groot gebrek aan bruikbare data</w:t>
            </w:r>
            <w:r w:rsidR="00E23BA1">
              <w:rPr>
                <w:sz w:val="16"/>
                <w:szCs w:val="16"/>
                <w:lang w:val="nl-NL"/>
              </w:rPr>
              <w:t>,</w:t>
            </w:r>
            <w:r w:rsidRPr="00992021" w:rsidR="00662ABF">
              <w:rPr>
                <w:sz w:val="16"/>
                <w:szCs w:val="16"/>
                <w:lang w:val="nl-NL"/>
              </w:rPr>
              <w:t xml:space="preserve"> </w:t>
            </w:r>
            <w:r w:rsidRPr="00992021" w:rsidR="001F6E99">
              <w:rPr>
                <w:sz w:val="16"/>
                <w:szCs w:val="16"/>
                <w:lang w:val="nl-NL"/>
              </w:rPr>
              <w:t xml:space="preserve">terwijl de beschikbaarheid van gegevens de kwaliteit van de evaluatie bepaalt. </w:t>
            </w:r>
          </w:p>
          <w:p w:rsidRPr="00992021" w:rsidR="007E36A4" w:rsidP="007625DA" w:rsidRDefault="007E36A4" w14:paraId="14358D57" w14:textId="657C001F">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287FE9" w:rsidR="00662ABF" w:rsidP="00287FE9" w:rsidRDefault="007E36A4" w14:paraId="552E16AA" w14:textId="3180943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9F19D9">
              <w:rPr>
                <w:b/>
                <w:bCs/>
                <w:sz w:val="16"/>
                <w:szCs w:val="16"/>
                <w:lang w:val="nl-NL"/>
              </w:rPr>
              <w:t xml:space="preserve">Aanbeveling </w:t>
            </w:r>
            <w:r w:rsidR="00112EC0">
              <w:rPr>
                <w:b/>
                <w:bCs/>
                <w:sz w:val="16"/>
                <w:szCs w:val="16"/>
                <w:lang w:val="nl-NL"/>
              </w:rPr>
              <w:t>1</w:t>
            </w:r>
            <w:r w:rsidR="00EF0607">
              <w:rPr>
                <w:b/>
                <w:bCs/>
                <w:sz w:val="16"/>
                <w:szCs w:val="16"/>
                <w:lang w:val="nl-NL"/>
              </w:rPr>
              <w:t>3</w:t>
            </w:r>
            <w:r w:rsidRPr="009F19D9">
              <w:rPr>
                <w:sz w:val="16"/>
                <w:szCs w:val="16"/>
                <w:lang w:val="nl-NL"/>
              </w:rPr>
              <w:t xml:space="preserve">: </w:t>
            </w:r>
            <w:r w:rsidR="00846D43">
              <w:rPr>
                <w:sz w:val="16"/>
                <w:szCs w:val="16"/>
                <w:lang w:val="nl-NL"/>
              </w:rPr>
              <w:t xml:space="preserve">benoem een onafhankelijk adviseur of een commissie die de effectiviteit van de voorliggende wet kritisch en nauwgezet zal monitoren. Verzamel hiervoor </w:t>
            </w:r>
            <w:r w:rsidR="00B718B4">
              <w:rPr>
                <w:sz w:val="16"/>
                <w:szCs w:val="16"/>
                <w:lang w:val="nl-NL"/>
              </w:rPr>
              <w:t xml:space="preserve">permanent </w:t>
            </w:r>
            <w:r w:rsidR="00846D43">
              <w:rPr>
                <w:sz w:val="16"/>
                <w:szCs w:val="16"/>
                <w:lang w:val="nl-NL"/>
              </w:rPr>
              <w:t xml:space="preserve">gegevens zoals </w:t>
            </w:r>
            <w:r w:rsidR="00287FE9">
              <w:rPr>
                <w:sz w:val="16"/>
                <w:szCs w:val="16"/>
                <w:lang w:val="nl-NL"/>
              </w:rPr>
              <w:t xml:space="preserve">door </w:t>
            </w:r>
            <w:r w:rsidRPr="00530208" w:rsidR="00B466AB">
              <w:rPr>
                <w:sz w:val="16"/>
                <w:szCs w:val="16"/>
                <w:lang w:val="nl-NL"/>
              </w:rPr>
              <w:t xml:space="preserve">tevredenheidsonderzoek </w:t>
            </w:r>
            <w:r w:rsidR="00287FE9">
              <w:rPr>
                <w:sz w:val="16"/>
                <w:szCs w:val="16"/>
                <w:lang w:val="nl-NL"/>
              </w:rPr>
              <w:t xml:space="preserve">onder </w:t>
            </w:r>
            <w:r w:rsidRPr="00530208" w:rsidR="00B466AB">
              <w:rPr>
                <w:sz w:val="16"/>
                <w:szCs w:val="16"/>
                <w:lang w:val="nl-NL"/>
              </w:rPr>
              <w:t xml:space="preserve">melders, informatie over doorlooptijden bij het Huis voor Klokkenluiders en informatie over de aanwezigheid en het functioneren van interne meldprocedures bij organisaties. </w:t>
            </w:r>
          </w:p>
        </w:tc>
      </w:tr>
    </w:tbl>
    <w:p w:rsidRPr="00992021" w:rsidR="009E17C8" w:rsidP="00C50E32" w:rsidRDefault="009E17C8" w14:paraId="2A2ABB32" w14:textId="28B3AE8C">
      <w:pPr>
        <w:rPr>
          <w:b/>
          <w:bCs/>
        </w:rPr>
      </w:pPr>
    </w:p>
    <w:sectPr w:rsidRPr="00992021" w:rsidR="009E17C8" w:rsidSect="000C37F1">
      <w:pgSz w:w="11907" w:h="16840" w:code="9"/>
      <w:pgMar w:top="567" w:right="567" w:bottom="567" w:left="56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A99B" w14:textId="77777777" w:rsidR="00B83C25" w:rsidRDefault="00B83C25" w:rsidP="00F503F9">
      <w:pPr>
        <w:spacing w:after="0" w:line="240" w:lineRule="auto"/>
      </w:pPr>
      <w:r>
        <w:separator/>
      </w:r>
    </w:p>
  </w:endnote>
  <w:endnote w:type="continuationSeparator" w:id="0">
    <w:p w14:paraId="176CA506" w14:textId="77777777" w:rsidR="00B83C25" w:rsidRDefault="00B83C25" w:rsidP="00F5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605D" w14:textId="77777777" w:rsidR="00B83C25" w:rsidRDefault="00B83C25" w:rsidP="00F503F9">
      <w:pPr>
        <w:spacing w:after="0" w:line="240" w:lineRule="auto"/>
      </w:pPr>
      <w:r>
        <w:separator/>
      </w:r>
    </w:p>
  </w:footnote>
  <w:footnote w:type="continuationSeparator" w:id="0">
    <w:p w14:paraId="51B6052C" w14:textId="77777777" w:rsidR="00B83C25" w:rsidRDefault="00B83C25" w:rsidP="00F503F9">
      <w:pPr>
        <w:spacing w:after="0" w:line="240" w:lineRule="auto"/>
      </w:pPr>
      <w:r>
        <w:continuationSeparator/>
      </w:r>
    </w:p>
  </w:footnote>
  <w:footnote w:id="1">
    <w:p w14:paraId="1C735B74" w14:textId="6867CBFD" w:rsidR="00565DED" w:rsidRPr="00565DED" w:rsidRDefault="00565DED">
      <w:pPr>
        <w:pStyle w:val="Voetnoottekst"/>
        <w:rPr>
          <w:sz w:val="14"/>
          <w:szCs w:val="14"/>
        </w:rPr>
      </w:pPr>
      <w:r w:rsidRPr="00565DED">
        <w:rPr>
          <w:rStyle w:val="Voetnootmarkering"/>
          <w:sz w:val="14"/>
          <w:szCs w:val="14"/>
        </w:rPr>
        <w:footnoteRef/>
      </w:r>
      <w:r w:rsidRPr="00565DED">
        <w:rPr>
          <w:sz w:val="14"/>
          <w:szCs w:val="14"/>
        </w:rPr>
        <w:t xml:space="preserve"> Klara Boonstra was tot 1 oktober directeur van de Wiardi Beckman</w:t>
      </w:r>
      <w:r w:rsidR="00CF4699">
        <w:rPr>
          <w:sz w:val="14"/>
          <w:szCs w:val="14"/>
        </w:rPr>
        <w:t xml:space="preserve"> S</w:t>
      </w:r>
      <w:r w:rsidRPr="00565DED">
        <w:rPr>
          <w:sz w:val="14"/>
          <w:szCs w:val="14"/>
        </w:rPr>
        <w:t>tichting.</w:t>
      </w:r>
    </w:p>
  </w:footnote>
  <w:footnote w:id="2">
    <w:p w14:paraId="74CF9B99" w14:textId="5C098173" w:rsidR="00B655F6" w:rsidRPr="00C50E32" w:rsidRDefault="00B655F6" w:rsidP="00992021">
      <w:pPr>
        <w:pStyle w:val="Tekstopmerking"/>
        <w:spacing w:after="0"/>
        <w:rPr>
          <w:sz w:val="14"/>
          <w:szCs w:val="14"/>
        </w:rPr>
      </w:pPr>
      <w:r w:rsidRPr="00C50E32">
        <w:rPr>
          <w:rStyle w:val="Voetnootmarkering"/>
          <w:sz w:val="14"/>
          <w:szCs w:val="14"/>
        </w:rPr>
        <w:footnoteRef/>
      </w:r>
      <w:r w:rsidRPr="00C50E32">
        <w:rPr>
          <w:sz w:val="14"/>
          <w:szCs w:val="14"/>
        </w:rPr>
        <w:t xml:space="preserve"> De tweede nota van wijziging bouwt voort op </w:t>
      </w:r>
      <w:hyperlink r:id="rId1" w:history="1">
        <w:r w:rsidRPr="00C50E32">
          <w:rPr>
            <w:rStyle w:val="Hyperlink"/>
            <w:sz w:val="14"/>
            <w:szCs w:val="14"/>
          </w:rPr>
          <w:t>het voorstel van Wijzigingswet</w:t>
        </w:r>
      </w:hyperlink>
      <w:r w:rsidRPr="00C50E32">
        <w:rPr>
          <w:sz w:val="14"/>
          <w:szCs w:val="14"/>
        </w:rPr>
        <w:t xml:space="preserve"> (Tweede Kamer, vergaderjaar 2020–2021, 35 851, nr. 2-3) en </w:t>
      </w:r>
      <w:hyperlink r:id="rId2" w:history="1">
        <w:r w:rsidRPr="00C50E32">
          <w:rPr>
            <w:rStyle w:val="Hyperlink"/>
            <w:sz w:val="14"/>
            <w:szCs w:val="14"/>
          </w:rPr>
          <w:t>de eerste nota van wijziging van de Wijzigingswet</w:t>
        </w:r>
      </w:hyperlink>
      <w:r w:rsidRPr="00C50E32">
        <w:rPr>
          <w:sz w:val="14"/>
          <w:szCs w:val="14"/>
        </w:rPr>
        <w:t xml:space="preserve"> (Tweede Kamer, vergaderjaar 2021–2022, 35 851, nr. 7). Voor het invullen van het formulier is in enkele gevallen informatie uit deze documenten gehaald</w:t>
      </w:r>
    </w:p>
  </w:footnote>
  <w:footnote w:id="3">
    <w:p w14:paraId="537CD8FC" w14:textId="77777777" w:rsidR="0047797A" w:rsidRPr="00141B86" w:rsidRDefault="0047797A" w:rsidP="0047797A">
      <w:pPr>
        <w:pStyle w:val="Voetnoottekst"/>
        <w:rPr>
          <w:sz w:val="14"/>
          <w:szCs w:val="14"/>
          <w:lang w:val="en-US"/>
        </w:rPr>
      </w:pPr>
      <w:r w:rsidRPr="00141B86">
        <w:rPr>
          <w:rStyle w:val="Voetnootmarkering"/>
          <w:sz w:val="14"/>
          <w:szCs w:val="14"/>
        </w:rPr>
        <w:footnoteRef/>
      </w:r>
      <w:r w:rsidRPr="00141B86">
        <w:rPr>
          <w:sz w:val="14"/>
          <w:szCs w:val="14"/>
          <w:lang w:val="en-US"/>
        </w:rPr>
        <w:t xml:space="preserve"> M.P. Miceli and J.P. Near (2002), ‘What makes whistle-blowers effective? Three field studies,’ </w:t>
      </w:r>
      <w:r w:rsidRPr="00141B86">
        <w:rPr>
          <w:i/>
          <w:iCs/>
          <w:sz w:val="14"/>
          <w:szCs w:val="14"/>
          <w:lang w:val="en-US"/>
        </w:rPr>
        <w:t xml:space="preserve">Human </w:t>
      </w:r>
      <w:r w:rsidRPr="00141B86">
        <w:rPr>
          <w:sz w:val="14"/>
          <w:szCs w:val="14"/>
          <w:lang w:val="en-US"/>
        </w:rPr>
        <w:t xml:space="preserve">Relations, 55(4), 455-479; B. </w:t>
      </w:r>
      <w:proofErr w:type="spellStart"/>
      <w:r w:rsidRPr="00141B86">
        <w:rPr>
          <w:sz w:val="14"/>
          <w:szCs w:val="14"/>
          <w:lang w:val="en-US"/>
        </w:rPr>
        <w:t>Bjørkelo</w:t>
      </w:r>
      <w:proofErr w:type="spellEnd"/>
      <w:r w:rsidRPr="00141B86">
        <w:rPr>
          <w:sz w:val="14"/>
          <w:szCs w:val="14"/>
          <w:lang w:val="en-US"/>
        </w:rPr>
        <w:t xml:space="preserve"> et al., ‘Silence is golden? Characteristics and experiences of self-reported </w:t>
      </w:r>
      <w:proofErr w:type="spellStart"/>
      <w:r w:rsidRPr="00141B86">
        <w:rPr>
          <w:sz w:val="14"/>
          <w:szCs w:val="14"/>
          <w:lang w:val="en-US"/>
        </w:rPr>
        <w:t>whistlebowers</w:t>
      </w:r>
      <w:proofErr w:type="spellEnd"/>
      <w:r w:rsidRPr="00141B86">
        <w:rPr>
          <w:sz w:val="14"/>
          <w:szCs w:val="14"/>
          <w:lang w:val="en-US"/>
        </w:rPr>
        <w:t xml:space="preserve">,’ </w:t>
      </w:r>
      <w:r w:rsidRPr="00141B86">
        <w:rPr>
          <w:i/>
          <w:iCs/>
          <w:sz w:val="14"/>
          <w:szCs w:val="14"/>
          <w:lang w:val="en-US"/>
        </w:rPr>
        <w:t>European Journal of Work and Organizational Psychology</w:t>
      </w:r>
      <w:r w:rsidRPr="00141B86">
        <w:rPr>
          <w:sz w:val="14"/>
          <w:szCs w:val="14"/>
          <w:lang w:val="en-US"/>
        </w:rPr>
        <w:t>, 20(2), 206-238.</w:t>
      </w:r>
    </w:p>
  </w:footnote>
  <w:footnote w:id="4">
    <w:p w14:paraId="1C4D01FA" w14:textId="1C044366" w:rsidR="0047797A" w:rsidRPr="00653B25" w:rsidRDefault="0047797A" w:rsidP="00141B86">
      <w:pPr>
        <w:spacing w:after="0" w:line="240" w:lineRule="auto"/>
        <w:rPr>
          <w:sz w:val="15"/>
          <w:szCs w:val="15"/>
          <w:lang w:val="en-US"/>
        </w:rPr>
      </w:pPr>
      <w:r w:rsidRPr="00141B86">
        <w:rPr>
          <w:rStyle w:val="Voetnootmarkering"/>
          <w:sz w:val="14"/>
          <w:szCs w:val="14"/>
        </w:rPr>
        <w:footnoteRef/>
      </w:r>
      <w:r w:rsidRPr="00141B86">
        <w:rPr>
          <w:sz w:val="14"/>
          <w:szCs w:val="14"/>
          <w:lang w:val="en-US"/>
        </w:rPr>
        <w:t xml:space="preserve"> </w:t>
      </w:r>
      <w:r w:rsidR="00897558" w:rsidRPr="00141B86">
        <w:rPr>
          <w:sz w:val="14"/>
          <w:szCs w:val="14"/>
          <w:lang w:val="en-US"/>
        </w:rPr>
        <w:t xml:space="preserve">D. Lewis (2017), ‘Nineteen years of whistleblowing legislation in the UK: is it time for a more comprehensive </w:t>
      </w:r>
      <w:proofErr w:type="gramStart"/>
      <w:r w:rsidR="00897558" w:rsidRPr="00141B86">
        <w:rPr>
          <w:sz w:val="14"/>
          <w:szCs w:val="14"/>
          <w:lang w:val="en-US"/>
        </w:rPr>
        <w:t>approach?,</w:t>
      </w:r>
      <w:proofErr w:type="gramEnd"/>
      <w:r w:rsidR="00897558" w:rsidRPr="00141B86">
        <w:rPr>
          <w:sz w:val="14"/>
          <w:szCs w:val="14"/>
          <w:lang w:val="en-US"/>
        </w:rPr>
        <w:t xml:space="preserve">’ </w:t>
      </w:r>
      <w:r w:rsidR="00897558" w:rsidRPr="00141B86">
        <w:rPr>
          <w:i/>
          <w:iCs/>
          <w:sz w:val="14"/>
          <w:szCs w:val="14"/>
          <w:lang w:val="en-US"/>
        </w:rPr>
        <w:t>International Journal of Law and Management</w:t>
      </w:r>
      <w:r w:rsidR="00897558" w:rsidRPr="00141B86">
        <w:rPr>
          <w:sz w:val="14"/>
          <w:szCs w:val="14"/>
          <w:lang w:val="en-US"/>
        </w:rPr>
        <w:t>, 59(6), 1130-1131</w:t>
      </w:r>
      <w:r w:rsidR="006D284C" w:rsidRPr="00141B86">
        <w:rPr>
          <w:sz w:val="14"/>
          <w:szCs w:val="14"/>
          <w:lang w:val="en-US"/>
        </w:rPr>
        <w:t>.</w:t>
      </w:r>
    </w:p>
  </w:footnote>
  <w:footnote w:id="5">
    <w:p w14:paraId="7AD58264" w14:textId="2B43EA18" w:rsidR="00B655F6" w:rsidRPr="00C50E32" w:rsidRDefault="00B655F6">
      <w:pPr>
        <w:pStyle w:val="Voetnoottekst"/>
        <w:rPr>
          <w:sz w:val="14"/>
          <w:szCs w:val="14"/>
          <w:lang w:val="en-US"/>
        </w:rPr>
      </w:pPr>
      <w:r w:rsidRPr="00C50E32">
        <w:rPr>
          <w:rStyle w:val="Voetnootmarkering"/>
          <w:sz w:val="14"/>
          <w:szCs w:val="14"/>
        </w:rPr>
        <w:footnoteRef/>
      </w:r>
      <w:r w:rsidRPr="00C50E32">
        <w:rPr>
          <w:sz w:val="14"/>
          <w:szCs w:val="14"/>
          <w:lang w:val="en-US"/>
        </w:rPr>
        <w:t xml:space="preserve"> M. Spencer &amp; J. Spencer (2014), ‘When it all goes bad: criminal remedies,’ in: A.J. Brown, D. Lewis, R. Moberly and W. </w:t>
      </w:r>
      <w:proofErr w:type="spellStart"/>
      <w:r w:rsidRPr="00C50E32">
        <w:rPr>
          <w:sz w:val="14"/>
          <w:szCs w:val="14"/>
          <w:lang w:val="en-US"/>
        </w:rPr>
        <w:t>Vandekerckhove</w:t>
      </w:r>
      <w:proofErr w:type="spellEnd"/>
      <w:r w:rsidRPr="00C50E32">
        <w:rPr>
          <w:sz w:val="14"/>
          <w:szCs w:val="14"/>
          <w:lang w:val="en-US"/>
        </w:rPr>
        <w:t xml:space="preserve"> (eds.), </w:t>
      </w:r>
      <w:r w:rsidRPr="00C50E32">
        <w:rPr>
          <w:i/>
          <w:iCs/>
          <w:sz w:val="14"/>
          <w:szCs w:val="14"/>
          <w:lang w:val="en-US"/>
        </w:rPr>
        <w:t>International Handbook on Whistleblowing Research</w:t>
      </w:r>
      <w:r w:rsidRPr="00C50E32">
        <w:rPr>
          <w:sz w:val="14"/>
          <w:szCs w:val="14"/>
          <w:lang w:val="en-US"/>
        </w:rPr>
        <w:t>. Cheltenham: Edward Elgar, 405-429.</w:t>
      </w:r>
    </w:p>
  </w:footnote>
  <w:footnote w:id="6">
    <w:p w14:paraId="10FB8033" w14:textId="6DD5F632" w:rsidR="00B655F6" w:rsidRPr="00091ADB" w:rsidRDefault="00B655F6">
      <w:pPr>
        <w:pStyle w:val="Voetnoottekst"/>
        <w:rPr>
          <w:sz w:val="16"/>
          <w:szCs w:val="16"/>
          <w:lang w:val="en-US"/>
        </w:rPr>
      </w:pPr>
      <w:r w:rsidRPr="00C50E32">
        <w:rPr>
          <w:rStyle w:val="Voetnootmarkering"/>
          <w:sz w:val="14"/>
          <w:szCs w:val="14"/>
        </w:rPr>
        <w:footnoteRef/>
      </w:r>
      <w:r w:rsidRPr="00C50E32">
        <w:rPr>
          <w:sz w:val="14"/>
          <w:szCs w:val="14"/>
          <w:lang w:val="en-US"/>
        </w:rPr>
        <w:t xml:space="preserve"> C. Uhlmann (2021), ‘The Americanization of whistle-blowing? A legal-economic comparison of whistle-blowing regulation in the U.S. and Germany against the backdrop of the new EU whistleblowing directive,’ </w:t>
      </w:r>
      <w:r w:rsidRPr="00C50E32">
        <w:rPr>
          <w:i/>
          <w:iCs/>
          <w:sz w:val="14"/>
          <w:szCs w:val="14"/>
          <w:lang w:val="en-US"/>
        </w:rPr>
        <w:t xml:space="preserve">UC Davis J </w:t>
      </w:r>
      <w:proofErr w:type="spellStart"/>
      <w:r w:rsidRPr="00C50E32">
        <w:rPr>
          <w:i/>
          <w:iCs/>
          <w:sz w:val="14"/>
          <w:szCs w:val="14"/>
          <w:lang w:val="en-US"/>
        </w:rPr>
        <w:t>Int’L</w:t>
      </w:r>
      <w:proofErr w:type="spellEnd"/>
      <w:r w:rsidRPr="00C50E32">
        <w:rPr>
          <w:i/>
          <w:iCs/>
          <w:sz w:val="14"/>
          <w:szCs w:val="14"/>
          <w:lang w:val="en-US"/>
        </w:rPr>
        <w:t xml:space="preserve"> &amp; </w:t>
      </w:r>
      <w:proofErr w:type="spellStart"/>
      <w:r w:rsidRPr="00C50E32">
        <w:rPr>
          <w:i/>
          <w:iCs/>
          <w:sz w:val="14"/>
          <w:szCs w:val="14"/>
          <w:lang w:val="en-US"/>
        </w:rPr>
        <w:t>Pol’y</w:t>
      </w:r>
      <w:proofErr w:type="spellEnd"/>
      <w:r w:rsidRPr="00C50E32">
        <w:rPr>
          <w:sz w:val="14"/>
          <w:szCs w:val="14"/>
          <w:lang w:val="en-US"/>
        </w:rPr>
        <w:t>, 27(2), 149-222.</w:t>
      </w:r>
      <w:r w:rsidRPr="00091ADB">
        <w:rPr>
          <w:sz w:val="16"/>
          <w:szCs w:val="16"/>
          <w:lang w:val="en-US"/>
        </w:rPr>
        <w:t xml:space="preserve"> </w:t>
      </w:r>
    </w:p>
  </w:footnote>
  <w:footnote w:id="7">
    <w:p w14:paraId="71990B22" w14:textId="273E542B" w:rsidR="00DF688D" w:rsidRPr="00C50E32" w:rsidRDefault="00DF688D" w:rsidP="00DF688D">
      <w:pPr>
        <w:pStyle w:val="Voetnoottekst"/>
        <w:rPr>
          <w:sz w:val="14"/>
          <w:szCs w:val="14"/>
        </w:rPr>
      </w:pPr>
      <w:r w:rsidRPr="00C50E32">
        <w:rPr>
          <w:rStyle w:val="Voetnootmarkering"/>
          <w:sz w:val="14"/>
          <w:szCs w:val="14"/>
        </w:rPr>
        <w:footnoteRef/>
      </w:r>
      <w:r w:rsidRPr="00C50E32">
        <w:rPr>
          <w:sz w:val="14"/>
          <w:szCs w:val="14"/>
        </w:rPr>
        <w:t xml:space="preserve"> WRR (2017), </w:t>
      </w:r>
      <w:r w:rsidRPr="00C50E32">
        <w:rPr>
          <w:i/>
          <w:iCs/>
          <w:sz w:val="14"/>
          <w:szCs w:val="14"/>
        </w:rPr>
        <w:t>Weten is nog geen doen. Een realistisch perspectief op zelfredzaamheid</w:t>
      </w:r>
      <w:r w:rsidRPr="00C50E32">
        <w:rPr>
          <w:sz w:val="14"/>
          <w:szCs w:val="14"/>
        </w:rPr>
        <w:t>. Den Haag: WRR.</w:t>
      </w:r>
    </w:p>
  </w:footnote>
  <w:footnote w:id="8">
    <w:p w14:paraId="174D0A12" w14:textId="5507CF58" w:rsidR="00DF688D" w:rsidRPr="00530208" w:rsidRDefault="00DF688D" w:rsidP="00DF688D">
      <w:pPr>
        <w:pStyle w:val="Voetnoottekst"/>
        <w:rPr>
          <w:sz w:val="14"/>
          <w:szCs w:val="14"/>
        </w:rPr>
      </w:pPr>
      <w:r w:rsidRPr="00C50E32">
        <w:rPr>
          <w:rStyle w:val="Voetnootmarkering"/>
          <w:sz w:val="14"/>
          <w:szCs w:val="14"/>
        </w:rPr>
        <w:footnoteRef/>
      </w:r>
      <w:r w:rsidRPr="00C50E32">
        <w:rPr>
          <w:sz w:val="14"/>
          <w:szCs w:val="14"/>
        </w:rPr>
        <w:t xml:space="preserve"> A. Mein &amp; F. de </w:t>
      </w:r>
      <w:proofErr w:type="spellStart"/>
      <w:r w:rsidRPr="00C50E32">
        <w:rPr>
          <w:sz w:val="14"/>
          <w:szCs w:val="14"/>
        </w:rPr>
        <w:t>Meere</w:t>
      </w:r>
      <w:proofErr w:type="spellEnd"/>
      <w:r w:rsidRPr="00C50E32">
        <w:rPr>
          <w:sz w:val="14"/>
          <w:szCs w:val="14"/>
        </w:rPr>
        <w:t xml:space="preserve"> (2018), </w:t>
      </w:r>
      <w:r w:rsidRPr="00C50E32">
        <w:rPr>
          <w:i/>
          <w:iCs/>
          <w:sz w:val="14"/>
          <w:szCs w:val="14"/>
        </w:rPr>
        <w:t>Motieven van burgers om (niet) naar de rechter te gaan</w:t>
      </w:r>
      <w:r w:rsidRPr="00C50E32">
        <w:rPr>
          <w:sz w:val="14"/>
          <w:szCs w:val="14"/>
        </w:rPr>
        <w:t xml:space="preserve">. Den Haag: Raad voor de Rechtspraak (Research Memoranda 13/3); </w:t>
      </w:r>
    </w:p>
  </w:footnote>
  <w:footnote w:id="9">
    <w:p w14:paraId="01880B9E" w14:textId="16A1E688" w:rsidR="00DF688D" w:rsidRPr="00530208" w:rsidRDefault="00DF688D" w:rsidP="00DF688D">
      <w:pPr>
        <w:pStyle w:val="Voetnoottekst"/>
        <w:rPr>
          <w:sz w:val="14"/>
          <w:szCs w:val="14"/>
        </w:rPr>
      </w:pPr>
      <w:r w:rsidRPr="00C50E32">
        <w:rPr>
          <w:rStyle w:val="Voetnootmarkering"/>
          <w:sz w:val="14"/>
          <w:szCs w:val="14"/>
        </w:rPr>
        <w:footnoteRef/>
      </w:r>
      <w:r w:rsidRPr="00530208">
        <w:rPr>
          <w:sz w:val="14"/>
          <w:szCs w:val="14"/>
        </w:rPr>
        <w:t xml:space="preserve"> </w:t>
      </w:r>
      <w:r w:rsidR="0047797A">
        <w:rPr>
          <w:sz w:val="14"/>
          <w:szCs w:val="14"/>
        </w:rPr>
        <w:t xml:space="preserve">Vgl. </w:t>
      </w:r>
      <w:r w:rsidR="0047797A" w:rsidRPr="00C50E32">
        <w:rPr>
          <w:sz w:val="14"/>
          <w:szCs w:val="14"/>
        </w:rPr>
        <w:t xml:space="preserve">Adviescommissie praktische rechtsbescherming in belastingzaken (2021), </w:t>
      </w:r>
      <w:r w:rsidR="0047797A" w:rsidRPr="00C50E32">
        <w:rPr>
          <w:i/>
          <w:iCs/>
          <w:sz w:val="14"/>
          <w:szCs w:val="14"/>
        </w:rPr>
        <w:t>Burgers beter beschermd: praktische rechtsbescherming in belastingzaken</w:t>
      </w:r>
      <w:r w:rsidR="0047797A" w:rsidRPr="00C50E32">
        <w:rPr>
          <w:sz w:val="14"/>
          <w:szCs w:val="14"/>
        </w:rPr>
        <w:t xml:space="preserve">. </w:t>
      </w:r>
      <w:r w:rsidR="0047797A" w:rsidRPr="00530208">
        <w:rPr>
          <w:sz w:val="14"/>
          <w:szCs w:val="14"/>
        </w:rPr>
        <w:t>Den Haag: CPRB.</w:t>
      </w:r>
    </w:p>
  </w:footnote>
  <w:footnote w:id="10">
    <w:p w14:paraId="1604E93D" w14:textId="77777777" w:rsidR="00B655F6" w:rsidRPr="00861042" w:rsidRDefault="00B655F6" w:rsidP="000902C3">
      <w:pPr>
        <w:spacing w:after="0" w:line="240" w:lineRule="auto"/>
        <w:rPr>
          <w:sz w:val="14"/>
          <w:szCs w:val="14"/>
        </w:rPr>
      </w:pPr>
      <w:r w:rsidRPr="00861042">
        <w:rPr>
          <w:rStyle w:val="Voetnootmarkering"/>
          <w:sz w:val="14"/>
          <w:szCs w:val="14"/>
        </w:rPr>
        <w:footnoteRef/>
      </w:r>
      <w:r w:rsidRPr="00861042">
        <w:rPr>
          <w:sz w:val="14"/>
          <w:szCs w:val="14"/>
        </w:rPr>
        <w:t xml:space="preserve"> Deze doelen beschrijven de beoogde brede-welvaartsuitkomsten van beleid. </w:t>
      </w:r>
    </w:p>
  </w:footnote>
  <w:footnote w:id="11">
    <w:p w14:paraId="557492D0" w14:textId="77777777" w:rsidR="00B655F6" w:rsidRPr="00861042" w:rsidRDefault="00B655F6" w:rsidP="000902C3">
      <w:pPr>
        <w:pStyle w:val="Voetnoottekst"/>
        <w:rPr>
          <w:sz w:val="14"/>
          <w:szCs w:val="14"/>
        </w:rPr>
      </w:pPr>
      <w:r w:rsidRPr="00861042">
        <w:rPr>
          <w:rStyle w:val="Voetnootmarkering"/>
          <w:sz w:val="14"/>
          <w:szCs w:val="14"/>
        </w:rPr>
        <w:footnoteRef/>
      </w:r>
      <w:r w:rsidRPr="00861042">
        <w:rPr>
          <w:sz w:val="14"/>
          <w:szCs w:val="14"/>
        </w:rPr>
        <w:t xml:space="preserve"> Indicatoren zijn variabelen die de brede-welvaartsdimensies meetbaar maken. Zo kan de dimensie veiligheid gemeten worden met de indicatoren ‘incidentie van gewelddadige en seksuele misdrijven per 100.000 inwoners per jaar’ en ‘incidentie aantal moorden per 100.000 inwoners, per jaar’.</w:t>
      </w:r>
    </w:p>
  </w:footnote>
  <w:footnote w:id="12">
    <w:p w14:paraId="7249D77B" w14:textId="77777777" w:rsidR="00746A3E" w:rsidRPr="00861042" w:rsidRDefault="00746A3E" w:rsidP="00746A3E">
      <w:pPr>
        <w:pStyle w:val="Voetnoottekst"/>
        <w:rPr>
          <w:sz w:val="14"/>
          <w:szCs w:val="14"/>
        </w:rPr>
      </w:pPr>
      <w:r w:rsidRPr="00861042">
        <w:rPr>
          <w:rStyle w:val="Voetnootmarkering"/>
          <w:sz w:val="14"/>
          <w:szCs w:val="14"/>
        </w:rPr>
        <w:footnoteRef/>
      </w:r>
      <w:r w:rsidRPr="00861042">
        <w:rPr>
          <w:sz w:val="14"/>
          <w:szCs w:val="14"/>
        </w:rPr>
        <w:t xml:space="preserve"> J. </w:t>
      </w:r>
      <w:proofErr w:type="spellStart"/>
      <w:r w:rsidRPr="00861042">
        <w:rPr>
          <w:sz w:val="14"/>
          <w:szCs w:val="14"/>
        </w:rPr>
        <w:t>Gijsenbergh</w:t>
      </w:r>
      <w:proofErr w:type="spellEnd"/>
      <w:r w:rsidRPr="00861042">
        <w:rPr>
          <w:sz w:val="14"/>
          <w:szCs w:val="14"/>
        </w:rPr>
        <w:t xml:space="preserve"> (2018), ‘De Nederlandse omgang met klokkenluiders: een kwestie van cultuur,’ </w:t>
      </w:r>
      <w:hyperlink r:id="rId3" w:history="1">
        <w:r w:rsidRPr="00861042">
          <w:rPr>
            <w:rStyle w:val="Hyperlink"/>
            <w:sz w:val="14"/>
            <w:szCs w:val="14"/>
          </w:rPr>
          <w:t>https://www.montesquieu-instituut.nl/id/vklbfxjscqwi/nieuws/de_nederlandse_omgang_met_klokkenluiders</w:t>
        </w:r>
      </w:hyperlink>
      <w:r w:rsidRPr="00861042">
        <w:rPr>
          <w:sz w:val="14"/>
          <w:szCs w:val="14"/>
        </w:rPr>
        <w:t xml:space="preserve">; V. </w:t>
      </w:r>
      <w:proofErr w:type="spellStart"/>
      <w:r w:rsidRPr="00861042">
        <w:rPr>
          <w:sz w:val="14"/>
          <w:szCs w:val="14"/>
        </w:rPr>
        <w:t>Abazi</w:t>
      </w:r>
      <w:proofErr w:type="spellEnd"/>
      <w:r w:rsidRPr="00861042">
        <w:rPr>
          <w:sz w:val="14"/>
          <w:szCs w:val="14"/>
        </w:rPr>
        <w:t xml:space="preserve"> (2020), ‘The European Union </w:t>
      </w:r>
      <w:proofErr w:type="spellStart"/>
      <w:r w:rsidRPr="00861042">
        <w:rPr>
          <w:sz w:val="14"/>
          <w:szCs w:val="14"/>
        </w:rPr>
        <w:t>whistle-blower</w:t>
      </w:r>
      <w:proofErr w:type="spellEnd"/>
      <w:r w:rsidRPr="00861042">
        <w:rPr>
          <w:sz w:val="14"/>
          <w:szCs w:val="14"/>
        </w:rPr>
        <w:t xml:space="preserve"> </w:t>
      </w:r>
      <w:proofErr w:type="spellStart"/>
      <w:r w:rsidRPr="00861042">
        <w:rPr>
          <w:sz w:val="14"/>
          <w:szCs w:val="14"/>
        </w:rPr>
        <w:t>directive</w:t>
      </w:r>
      <w:proofErr w:type="spellEnd"/>
      <w:r w:rsidRPr="00861042">
        <w:rPr>
          <w:sz w:val="14"/>
          <w:szCs w:val="14"/>
        </w:rPr>
        <w:t>: a “</w:t>
      </w:r>
      <w:proofErr w:type="spellStart"/>
      <w:r w:rsidRPr="00861042">
        <w:rPr>
          <w:sz w:val="14"/>
          <w:szCs w:val="14"/>
        </w:rPr>
        <w:t>game-changer</w:t>
      </w:r>
      <w:proofErr w:type="spellEnd"/>
      <w:r w:rsidRPr="00861042">
        <w:rPr>
          <w:sz w:val="14"/>
          <w:szCs w:val="14"/>
        </w:rPr>
        <w:t xml:space="preserve">” </w:t>
      </w:r>
      <w:proofErr w:type="spellStart"/>
      <w:r w:rsidRPr="00861042">
        <w:rPr>
          <w:sz w:val="14"/>
          <w:szCs w:val="14"/>
        </w:rPr>
        <w:t>for</w:t>
      </w:r>
      <w:proofErr w:type="spellEnd"/>
      <w:r w:rsidRPr="00861042">
        <w:rPr>
          <w:sz w:val="14"/>
          <w:szCs w:val="14"/>
        </w:rPr>
        <w:t xml:space="preserve"> </w:t>
      </w:r>
      <w:proofErr w:type="spellStart"/>
      <w:r w:rsidRPr="00861042">
        <w:rPr>
          <w:sz w:val="14"/>
          <w:szCs w:val="14"/>
        </w:rPr>
        <w:t>whistleblowing</w:t>
      </w:r>
      <w:proofErr w:type="spellEnd"/>
      <w:r w:rsidRPr="00861042">
        <w:rPr>
          <w:sz w:val="14"/>
          <w:szCs w:val="14"/>
        </w:rPr>
        <w:t xml:space="preserve"> </w:t>
      </w:r>
      <w:proofErr w:type="spellStart"/>
      <w:r w:rsidRPr="00861042">
        <w:rPr>
          <w:sz w:val="14"/>
          <w:szCs w:val="14"/>
        </w:rPr>
        <w:t>protection</w:t>
      </w:r>
      <w:proofErr w:type="spellEnd"/>
      <w:r w:rsidRPr="00861042">
        <w:rPr>
          <w:sz w:val="14"/>
          <w:szCs w:val="14"/>
        </w:rPr>
        <w:t xml:space="preserve">? </w:t>
      </w:r>
      <w:r w:rsidRPr="00861042">
        <w:rPr>
          <w:i/>
          <w:iCs/>
          <w:sz w:val="14"/>
          <w:szCs w:val="14"/>
        </w:rPr>
        <w:t xml:space="preserve">Industrial </w:t>
      </w:r>
      <w:proofErr w:type="spellStart"/>
      <w:r w:rsidRPr="00861042">
        <w:rPr>
          <w:i/>
          <w:iCs/>
          <w:sz w:val="14"/>
          <w:szCs w:val="14"/>
        </w:rPr>
        <w:t>Law</w:t>
      </w:r>
      <w:proofErr w:type="spellEnd"/>
      <w:r w:rsidRPr="00861042">
        <w:rPr>
          <w:i/>
          <w:iCs/>
          <w:sz w:val="14"/>
          <w:szCs w:val="14"/>
        </w:rPr>
        <w:t xml:space="preserve"> Journal</w:t>
      </w:r>
      <w:r w:rsidRPr="00861042">
        <w:rPr>
          <w:sz w:val="14"/>
          <w:szCs w:val="14"/>
        </w:rPr>
        <w:t>, 49(4), 640-656.</w:t>
      </w:r>
    </w:p>
  </w:footnote>
  <w:footnote w:id="13">
    <w:p w14:paraId="32C5A760" w14:textId="77777777" w:rsidR="00704D82" w:rsidRPr="00861042" w:rsidRDefault="00704D82" w:rsidP="00704D82">
      <w:pPr>
        <w:spacing w:after="0" w:line="240" w:lineRule="auto"/>
        <w:rPr>
          <w:sz w:val="14"/>
          <w:szCs w:val="14"/>
        </w:rPr>
      </w:pPr>
      <w:r w:rsidRPr="00861042">
        <w:rPr>
          <w:rStyle w:val="Voetnootmarkering"/>
          <w:sz w:val="14"/>
          <w:szCs w:val="14"/>
        </w:rPr>
        <w:footnoteRef/>
      </w:r>
      <w:r w:rsidRPr="00861042">
        <w:rPr>
          <w:sz w:val="14"/>
          <w:szCs w:val="14"/>
        </w:rPr>
        <w:t xml:space="preserve"> Van der Velden Peter G. </w:t>
      </w:r>
      <w:proofErr w:type="spellStart"/>
      <w:r w:rsidRPr="00861042">
        <w:rPr>
          <w:sz w:val="14"/>
          <w:szCs w:val="14"/>
        </w:rPr>
        <w:t>and</w:t>
      </w:r>
      <w:proofErr w:type="spellEnd"/>
      <w:r w:rsidRPr="00861042">
        <w:rPr>
          <w:sz w:val="14"/>
          <w:szCs w:val="14"/>
        </w:rPr>
        <w:t xml:space="preserve"> </w:t>
      </w:r>
      <w:proofErr w:type="spellStart"/>
      <w:r w:rsidRPr="00861042">
        <w:rPr>
          <w:sz w:val="14"/>
          <w:szCs w:val="14"/>
        </w:rPr>
        <w:t>Pecoraro</w:t>
      </w:r>
      <w:proofErr w:type="spellEnd"/>
      <w:r w:rsidRPr="00861042">
        <w:rPr>
          <w:sz w:val="14"/>
          <w:szCs w:val="14"/>
        </w:rPr>
        <w:t xml:space="preserve"> Mauro, Houwerzijl Mijke S. Meulen E. van der, </w:t>
      </w:r>
      <w:proofErr w:type="spellStart"/>
      <w:r w:rsidRPr="00861042">
        <w:rPr>
          <w:sz w:val="14"/>
          <w:szCs w:val="14"/>
        </w:rPr>
        <w:t>Mental</w:t>
      </w:r>
      <w:proofErr w:type="spellEnd"/>
      <w:r w:rsidRPr="00861042">
        <w:rPr>
          <w:sz w:val="14"/>
          <w:szCs w:val="14"/>
        </w:rPr>
        <w:t xml:space="preserve"> Health </w:t>
      </w:r>
      <w:proofErr w:type="spellStart"/>
      <w:r w:rsidRPr="00861042">
        <w:rPr>
          <w:sz w:val="14"/>
          <w:szCs w:val="14"/>
        </w:rPr>
        <w:t>Problems</w:t>
      </w:r>
      <w:proofErr w:type="spellEnd"/>
      <w:r w:rsidRPr="00861042">
        <w:rPr>
          <w:sz w:val="14"/>
          <w:szCs w:val="14"/>
        </w:rPr>
        <w:t xml:space="preserve"> </w:t>
      </w:r>
      <w:proofErr w:type="spellStart"/>
      <w:r w:rsidRPr="00861042">
        <w:rPr>
          <w:sz w:val="14"/>
          <w:szCs w:val="14"/>
        </w:rPr>
        <w:t>Amond</w:t>
      </w:r>
      <w:proofErr w:type="spellEnd"/>
      <w:r w:rsidRPr="00861042">
        <w:rPr>
          <w:sz w:val="14"/>
          <w:szCs w:val="14"/>
        </w:rPr>
        <w:t xml:space="preserve"> </w:t>
      </w:r>
      <w:proofErr w:type="spellStart"/>
      <w:r w:rsidRPr="00861042">
        <w:rPr>
          <w:sz w:val="14"/>
          <w:szCs w:val="14"/>
        </w:rPr>
        <w:t>Whitleblowers</w:t>
      </w:r>
      <w:proofErr w:type="spellEnd"/>
      <w:r w:rsidRPr="00861042">
        <w:rPr>
          <w:sz w:val="14"/>
          <w:szCs w:val="14"/>
        </w:rPr>
        <w:t xml:space="preserve">: A </w:t>
      </w:r>
      <w:proofErr w:type="spellStart"/>
      <w:r w:rsidRPr="00861042">
        <w:rPr>
          <w:sz w:val="14"/>
          <w:szCs w:val="14"/>
        </w:rPr>
        <w:t>Comparative</w:t>
      </w:r>
      <w:proofErr w:type="spellEnd"/>
      <w:r w:rsidRPr="00861042">
        <w:rPr>
          <w:sz w:val="14"/>
          <w:szCs w:val="14"/>
        </w:rPr>
        <w:t xml:space="preserve"> </w:t>
      </w:r>
      <w:proofErr w:type="spellStart"/>
      <w:r w:rsidRPr="00861042">
        <w:rPr>
          <w:sz w:val="14"/>
          <w:szCs w:val="14"/>
        </w:rPr>
        <w:t>Studey</w:t>
      </w:r>
      <w:proofErr w:type="spellEnd"/>
      <w:r w:rsidRPr="00861042">
        <w:rPr>
          <w:sz w:val="14"/>
          <w:szCs w:val="14"/>
        </w:rPr>
        <w:t xml:space="preserve">, </w:t>
      </w:r>
      <w:proofErr w:type="spellStart"/>
      <w:r w:rsidRPr="00861042">
        <w:rPr>
          <w:sz w:val="14"/>
          <w:szCs w:val="14"/>
        </w:rPr>
        <w:t>Psychological</w:t>
      </w:r>
      <w:proofErr w:type="spellEnd"/>
      <w:r w:rsidRPr="00861042">
        <w:rPr>
          <w:sz w:val="14"/>
          <w:szCs w:val="14"/>
        </w:rPr>
        <w:t xml:space="preserve"> </w:t>
      </w:r>
      <w:proofErr w:type="spellStart"/>
      <w:r w:rsidRPr="00861042">
        <w:rPr>
          <w:sz w:val="14"/>
          <w:szCs w:val="14"/>
        </w:rPr>
        <w:t>Reports</w:t>
      </w:r>
      <w:proofErr w:type="spellEnd"/>
      <w:r w:rsidRPr="00861042">
        <w:rPr>
          <w:sz w:val="14"/>
          <w:szCs w:val="14"/>
        </w:rPr>
        <w:t xml:space="preserve">, Sage, 2018, Vol 122(2), 632-644 </w:t>
      </w:r>
    </w:p>
  </w:footnote>
  <w:footnote w:id="14">
    <w:p w14:paraId="49E4B0D6" w14:textId="77777777" w:rsidR="00913AFB" w:rsidRDefault="00913AFB" w:rsidP="00913AFB">
      <w:pPr>
        <w:pStyle w:val="Voetnoottekst"/>
      </w:pPr>
      <w:r w:rsidRPr="00861042">
        <w:rPr>
          <w:rStyle w:val="Voetnootmarkering"/>
          <w:sz w:val="14"/>
          <w:szCs w:val="14"/>
        </w:rPr>
        <w:footnoteRef/>
      </w:r>
      <w:r w:rsidRPr="00861042">
        <w:rPr>
          <w:sz w:val="14"/>
          <w:szCs w:val="14"/>
        </w:rPr>
        <w:t xml:space="preserve"> </w:t>
      </w:r>
      <w:proofErr w:type="spellStart"/>
      <w:r w:rsidRPr="00861042">
        <w:rPr>
          <w:sz w:val="14"/>
          <w:szCs w:val="14"/>
        </w:rPr>
        <w:t>Dierx</w:t>
      </w:r>
      <w:proofErr w:type="spellEnd"/>
      <w:r w:rsidRPr="00861042">
        <w:rPr>
          <w:sz w:val="14"/>
          <w:szCs w:val="14"/>
        </w:rPr>
        <w:t xml:space="preserve"> J. en van </w:t>
      </w:r>
      <w:proofErr w:type="spellStart"/>
      <w:r w:rsidRPr="00861042">
        <w:rPr>
          <w:sz w:val="14"/>
          <w:szCs w:val="14"/>
        </w:rPr>
        <w:t>Eijbergen</w:t>
      </w:r>
      <w:proofErr w:type="spellEnd"/>
      <w:r w:rsidRPr="00861042">
        <w:rPr>
          <w:sz w:val="14"/>
          <w:szCs w:val="14"/>
        </w:rPr>
        <w:t xml:space="preserve"> </w:t>
      </w:r>
      <w:proofErr w:type="gramStart"/>
      <w:r w:rsidRPr="00861042">
        <w:rPr>
          <w:sz w:val="14"/>
          <w:szCs w:val="14"/>
        </w:rPr>
        <w:t>R,.</w:t>
      </w:r>
      <w:proofErr w:type="gramEnd"/>
      <w:r w:rsidRPr="00861042">
        <w:rPr>
          <w:sz w:val="14"/>
          <w:szCs w:val="14"/>
        </w:rPr>
        <w:t xml:space="preserve"> Nederlands Juristenblad 2021/1576. </w:t>
      </w:r>
    </w:p>
  </w:footnote>
  <w:footnote w:id="15">
    <w:p w14:paraId="31FE8069" w14:textId="597A8146" w:rsidR="00CC09F3" w:rsidRPr="00074937" w:rsidRDefault="00CC09F3">
      <w:pPr>
        <w:pStyle w:val="Voetnoottekst"/>
      </w:pPr>
      <w:r w:rsidRPr="00C50E32">
        <w:rPr>
          <w:rStyle w:val="Voetnootmarkering"/>
          <w:sz w:val="14"/>
          <w:szCs w:val="14"/>
        </w:rPr>
        <w:footnoteRef/>
      </w:r>
      <w:r w:rsidRPr="00074937">
        <w:rPr>
          <w:sz w:val="14"/>
          <w:szCs w:val="14"/>
        </w:rPr>
        <w:t xml:space="preserve"> Adviescollege Toetsing Regeldruk</w:t>
      </w:r>
    </w:p>
  </w:footnote>
  <w:footnote w:id="16">
    <w:p w14:paraId="6333B9EF" w14:textId="1078EAEF" w:rsidR="00ED54C3" w:rsidRPr="00074937" w:rsidRDefault="00ED54C3">
      <w:pPr>
        <w:pStyle w:val="Voetnoottekst"/>
        <w:rPr>
          <w:sz w:val="14"/>
          <w:szCs w:val="14"/>
        </w:rPr>
      </w:pPr>
      <w:r w:rsidRPr="00C50E32">
        <w:rPr>
          <w:rStyle w:val="Voetnootmarkering"/>
          <w:sz w:val="14"/>
          <w:szCs w:val="14"/>
        </w:rPr>
        <w:footnoteRef/>
      </w:r>
      <w:r w:rsidRPr="00074937">
        <w:rPr>
          <w:sz w:val="14"/>
          <w:szCs w:val="14"/>
        </w:rPr>
        <w:t xml:space="preserve"> Autoriteit Persoonsgegevens</w:t>
      </w:r>
    </w:p>
  </w:footnote>
  <w:footnote w:id="17">
    <w:p w14:paraId="25DA6F6C" w14:textId="2232E83D" w:rsidR="00B655F6" w:rsidRPr="00992021" w:rsidRDefault="00B655F6">
      <w:pPr>
        <w:pStyle w:val="Voetnoottekst"/>
        <w:rPr>
          <w:sz w:val="14"/>
          <w:szCs w:val="14"/>
        </w:rPr>
      </w:pPr>
      <w:r w:rsidRPr="00992021">
        <w:rPr>
          <w:rStyle w:val="Voetnootmarkering"/>
          <w:sz w:val="14"/>
          <w:szCs w:val="14"/>
        </w:rPr>
        <w:footnoteRef/>
      </w:r>
      <w:r w:rsidRPr="00992021">
        <w:rPr>
          <w:sz w:val="14"/>
          <w:szCs w:val="14"/>
          <w:lang w:val="en-US"/>
        </w:rPr>
        <w:t xml:space="preserve"> J.P. Near &amp; M.P. Miceli (2014), ‘Organizational dissidence: the case of whistle-blowing,’ in: A.J. Brown, D. Lewis, R. Moberly and W. </w:t>
      </w:r>
      <w:proofErr w:type="spellStart"/>
      <w:r w:rsidRPr="00992021">
        <w:rPr>
          <w:sz w:val="14"/>
          <w:szCs w:val="14"/>
          <w:lang w:val="en-US"/>
        </w:rPr>
        <w:t>Vandekerckhove</w:t>
      </w:r>
      <w:proofErr w:type="spellEnd"/>
      <w:r w:rsidRPr="00992021">
        <w:rPr>
          <w:sz w:val="14"/>
          <w:szCs w:val="14"/>
          <w:lang w:val="en-US"/>
        </w:rPr>
        <w:t xml:space="preserve"> (eds.), </w:t>
      </w:r>
      <w:r w:rsidRPr="00992021">
        <w:rPr>
          <w:i/>
          <w:iCs/>
          <w:sz w:val="14"/>
          <w:szCs w:val="14"/>
          <w:lang w:val="en-US"/>
        </w:rPr>
        <w:t>International Handbook on Whistleblowing Research</w:t>
      </w:r>
      <w:r w:rsidRPr="00992021">
        <w:rPr>
          <w:sz w:val="14"/>
          <w:szCs w:val="14"/>
          <w:lang w:val="en-US"/>
        </w:rPr>
        <w:t xml:space="preserve">. </w:t>
      </w:r>
      <w:proofErr w:type="spellStart"/>
      <w:r w:rsidRPr="00992021">
        <w:rPr>
          <w:sz w:val="14"/>
          <w:szCs w:val="14"/>
        </w:rPr>
        <w:t>Cheltenham</w:t>
      </w:r>
      <w:proofErr w:type="spellEnd"/>
      <w:r w:rsidRPr="00992021">
        <w:rPr>
          <w:sz w:val="14"/>
          <w:szCs w:val="14"/>
        </w:rPr>
        <w:t xml:space="preserve">: Edward </w:t>
      </w:r>
      <w:proofErr w:type="spellStart"/>
      <w:r w:rsidRPr="00992021">
        <w:rPr>
          <w:sz w:val="14"/>
          <w:szCs w:val="14"/>
        </w:rPr>
        <w:t>Elgar</w:t>
      </w:r>
      <w:proofErr w:type="spellEnd"/>
      <w:r w:rsidRPr="00992021">
        <w:rPr>
          <w:sz w:val="14"/>
          <w:szCs w:val="14"/>
        </w:rPr>
        <w:t>, 153-171.</w:t>
      </w:r>
    </w:p>
  </w:footnote>
  <w:footnote w:id="18">
    <w:p w14:paraId="2CEF18A5" w14:textId="3E6C4733" w:rsidR="00B655F6" w:rsidRPr="00992021" w:rsidRDefault="00B655F6">
      <w:pPr>
        <w:pStyle w:val="Voetnoottekst"/>
        <w:rPr>
          <w:sz w:val="14"/>
          <w:szCs w:val="14"/>
        </w:rPr>
      </w:pPr>
      <w:r w:rsidRPr="00992021">
        <w:rPr>
          <w:rStyle w:val="Voetnootmarkering"/>
          <w:sz w:val="14"/>
          <w:szCs w:val="14"/>
        </w:rPr>
        <w:footnoteRef/>
      </w:r>
      <w:r w:rsidRPr="00992021">
        <w:rPr>
          <w:sz w:val="14"/>
          <w:szCs w:val="14"/>
        </w:rPr>
        <w:t xml:space="preserve"> M. Scheltema (2019), ‘De responsieve rechtsstaat: het burgerperspectief,’ </w:t>
      </w:r>
      <w:r w:rsidRPr="00992021">
        <w:rPr>
          <w:i/>
          <w:iCs/>
          <w:sz w:val="14"/>
          <w:szCs w:val="14"/>
        </w:rPr>
        <w:t>Nederlands tijdschrift voor bestuursrecht</w:t>
      </w:r>
      <w:r w:rsidRPr="00992021">
        <w:rPr>
          <w:sz w:val="14"/>
          <w:szCs w:val="14"/>
        </w:rPr>
        <w:t xml:space="preserve">, 6, 248. </w:t>
      </w:r>
    </w:p>
  </w:footnote>
  <w:footnote w:id="19">
    <w:p w14:paraId="547CBEF2" w14:textId="7853A335" w:rsidR="00B655F6" w:rsidRPr="00C50E32" w:rsidRDefault="00B655F6">
      <w:pPr>
        <w:pStyle w:val="Voetnoottekst"/>
        <w:rPr>
          <w:sz w:val="14"/>
          <w:szCs w:val="14"/>
          <w:lang w:val="en-US"/>
        </w:rPr>
      </w:pPr>
      <w:r w:rsidRPr="00C50E32">
        <w:rPr>
          <w:rStyle w:val="Voetnootmarkering"/>
          <w:sz w:val="14"/>
          <w:szCs w:val="14"/>
        </w:rPr>
        <w:footnoteRef/>
      </w:r>
      <w:r w:rsidRPr="00C50E32">
        <w:rPr>
          <w:sz w:val="14"/>
          <w:szCs w:val="14"/>
          <w:lang w:val="en-US"/>
        </w:rPr>
        <w:t xml:space="preserve"> A.J. Brown, D. Lewis, R. Moberly and W. </w:t>
      </w:r>
      <w:proofErr w:type="spellStart"/>
      <w:r w:rsidRPr="00C50E32">
        <w:rPr>
          <w:sz w:val="14"/>
          <w:szCs w:val="14"/>
          <w:lang w:val="en-US"/>
        </w:rPr>
        <w:t>Vandekerckhove</w:t>
      </w:r>
      <w:proofErr w:type="spellEnd"/>
      <w:r w:rsidRPr="00C50E32">
        <w:rPr>
          <w:sz w:val="14"/>
          <w:szCs w:val="14"/>
          <w:lang w:val="en-US"/>
        </w:rPr>
        <w:t xml:space="preserve"> (eds.), </w:t>
      </w:r>
      <w:r w:rsidRPr="00C50E32">
        <w:rPr>
          <w:i/>
          <w:iCs/>
          <w:sz w:val="14"/>
          <w:szCs w:val="14"/>
          <w:lang w:val="en-US"/>
        </w:rPr>
        <w:t>International Handbook on Whistleblowing Research</w:t>
      </w:r>
      <w:r w:rsidRPr="00C50E32">
        <w:rPr>
          <w:sz w:val="14"/>
          <w:szCs w:val="14"/>
          <w:lang w:val="en-US"/>
        </w:rPr>
        <w:t>. Cheltenham: Edward Elgar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130003"/>
    <w:lvl w:ilvl="0">
      <w:start w:val="1"/>
      <w:numFmt w:val="bullet"/>
      <w:lvlText w:val="o"/>
      <w:lvlJc w:val="left"/>
      <w:pPr>
        <w:ind w:left="360" w:hanging="360"/>
      </w:pPr>
      <w:rPr>
        <w:rFonts w:ascii="Courier New" w:hAnsi="Courier New" w:cs="Courier New" w:hint="default"/>
      </w:rPr>
    </w:lvl>
  </w:abstractNum>
  <w:abstractNum w:abstractNumId="1" w15:restartNumberingAfterBreak="0">
    <w:nsid w:val="026D36D4"/>
    <w:multiLevelType w:val="hybridMultilevel"/>
    <w:tmpl w:val="2954E6C2"/>
    <w:lvl w:ilvl="0" w:tplc="3B881E3C">
      <w:numFmt w:val="bullet"/>
      <w:lvlText w:val="-"/>
      <w:lvlJc w:val="left"/>
      <w:pPr>
        <w:ind w:left="360" w:hanging="360"/>
      </w:pPr>
      <w:rPr>
        <w:rFonts w:ascii="Cambria" w:eastAsiaTheme="minorHAnsi" w:hAnsi="Cambri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A53397"/>
    <w:multiLevelType w:val="hybridMultilevel"/>
    <w:tmpl w:val="BF0CB9DC"/>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B93075"/>
    <w:multiLevelType w:val="hybridMultilevel"/>
    <w:tmpl w:val="675810A8"/>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C131FF"/>
    <w:multiLevelType w:val="hybridMultilevel"/>
    <w:tmpl w:val="83F242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83228FD"/>
    <w:multiLevelType w:val="hybridMultilevel"/>
    <w:tmpl w:val="EE8E462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E6534F"/>
    <w:multiLevelType w:val="hybridMultilevel"/>
    <w:tmpl w:val="73563F3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2CA0F05"/>
    <w:multiLevelType w:val="hybridMultilevel"/>
    <w:tmpl w:val="3F96CF2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34205C1"/>
    <w:multiLevelType w:val="hybridMultilevel"/>
    <w:tmpl w:val="912CD45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48F554C"/>
    <w:multiLevelType w:val="hybridMultilevel"/>
    <w:tmpl w:val="BF0EF6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190F17"/>
    <w:multiLevelType w:val="hybridMultilevel"/>
    <w:tmpl w:val="359885F4"/>
    <w:lvl w:ilvl="0" w:tplc="E48A3798">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C54504"/>
    <w:multiLevelType w:val="hybridMultilevel"/>
    <w:tmpl w:val="D03C3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4431E4"/>
    <w:multiLevelType w:val="hybridMultilevel"/>
    <w:tmpl w:val="0542EDC4"/>
    <w:lvl w:ilvl="0" w:tplc="0413000F">
      <w:start w:val="1"/>
      <w:numFmt w:val="decimal"/>
      <w:lvlText w:val="%1."/>
      <w:lvlJc w:val="left"/>
      <w:pPr>
        <w:ind w:left="360" w:hanging="360"/>
      </w:pPr>
    </w:lvl>
    <w:lvl w:ilvl="1" w:tplc="2A78B7BE">
      <w:numFmt w:val="bullet"/>
      <w:lvlText w:val=""/>
      <w:lvlJc w:val="left"/>
      <w:pPr>
        <w:ind w:left="1080" w:hanging="360"/>
      </w:pPr>
      <w:rPr>
        <w:rFonts w:ascii="Symbol" w:eastAsiaTheme="minorEastAsia" w:hAnsi="Symbol"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7743765"/>
    <w:multiLevelType w:val="hybridMultilevel"/>
    <w:tmpl w:val="D660BAA2"/>
    <w:lvl w:ilvl="0" w:tplc="61ECF97E">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A2B5DB7"/>
    <w:multiLevelType w:val="hybridMultilevel"/>
    <w:tmpl w:val="370C514C"/>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B06326B"/>
    <w:multiLevelType w:val="hybridMultilevel"/>
    <w:tmpl w:val="814243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BE114EB"/>
    <w:multiLevelType w:val="hybridMultilevel"/>
    <w:tmpl w:val="83E09A3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ED5630C"/>
    <w:multiLevelType w:val="hybridMultilevel"/>
    <w:tmpl w:val="37A630D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1386C2C"/>
    <w:multiLevelType w:val="hybridMultilevel"/>
    <w:tmpl w:val="3160AA6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47A7405"/>
    <w:multiLevelType w:val="hybridMultilevel"/>
    <w:tmpl w:val="8FB6CB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80379B8"/>
    <w:multiLevelType w:val="hybridMultilevel"/>
    <w:tmpl w:val="F7BCB08C"/>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B30C4CB6">
      <w:start w:val="4"/>
      <w:numFmt w:val="bullet"/>
      <w:lvlText w:val="-"/>
      <w:lvlJc w:val="left"/>
      <w:pPr>
        <w:ind w:left="1800" w:hanging="360"/>
      </w:pPr>
      <w:rPr>
        <w:rFonts w:ascii="Verdana" w:eastAsiaTheme="minorHAnsi" w:hAnsi="Verdana" w:cstheme="minorBid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D4949F8"/>
    <w:multiLevelType w:val="hybridMultilevel"/>
    <w:tmpl w:val="C9AEBA6E"/>
    <w:lvl w:ilvl="0" w:tplc="B30C4CB6">
      <w:start w:val="4"/>
      <w:numFmt w:val="bullet"/>
      <w:lvlText w:val="-"/>
      <w:lvlJc w:val="left"/>
      <w:pPr>
        <w:ind w:left="720" w:hanging="360"/>
      </w:pPr>
      <w:rPr>
        <w:rFonts w:ascii="Verdana" w:eastAsiaTheme="minorHAnsi" w:hAnsi="Verdana"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Verdana" w:eastAsiaTheme="minorHAnsi" w:hAnsi="Verdana"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1274C6"/>
    <w:multiLevelType w:val="multilevel"/>
    <w:tmpl w:val="583E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D04565"/>
    <w:multiLevelType w:val="hybridMultilevel"/>
    <w:tmpl w:val="081A1A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4511FB7"/>
    <w:multiLevelType w:val="multilevel"/>
    <w:tmpl w:val="B00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759C3"/>
    <w:multiLevelType w:val="hybridMultilevel"/>
    <w:tmpl w:val="A57ABC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E42FEE"/>
    <w:multiLevelType w:val="hybridMultilevel"/>
    <w:tmpl w:val="1922A2D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BEF554C"/>
    <w:multiLevelType w:val="hybridMultilevel"/>
    <w:tmpl w:val="03006C4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C2604FF"/>
    <w:multiLevelType w:val="hybridMultilevel"/>
    <w:tmpl w:val="58D8D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0354E4D"/>
    <w:multiLevelType w:val="hybridMultilevel"/>
    <w:tmpl w:val="3CF87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0FD4EEE"/>
    <w:multiLevelType w:val="hybridMultilevel"/>
    <w:tmpl w:val="D482FE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34E1891"/>
    <w:multiLevelType w:val="hybridMultilevel"/>
    <w:tmpl w:val="BD8AFAF8"/>
    <w:lvl w:ilvl="0" w:tplc="37786204">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B96999"/>
    <w:multiLevelType w:val="hybridMultilevel"/>
    <w:tmpl w:val="BDD07A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A0426A7"/>
    <w:multiLevelType w:val="hybridMultilevel"/>
    <w:tmpl w:val="091CCA7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32310BC"/>
    <w:multiLevelType w:val="hybridMultilevel"/>
    <w:tmpl w:val="D70EAF6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5746959"/>
    <w:multiLevelType w:val="hybridMultilevel"/>
    <w:tmpl w:val="5EFEBCCA"/>
    <w:lvl w:ilvl="0" w:tplc="37786204">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9C10ED"/>
    <w:multiLevelType w:val="multilevel"/>
    <w:tmpl w:val="2A5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5C62E6"/>
    <w:multiLevelType w:val="hybridMultilevel"/>
    <w:tmpl w:val="D16A64D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C5679B6"/>
    <w:multiLevelType w:val="multilevel"/>
    <w:tmpl w:val="417E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CC13DA"/>
    <w:multiLevelType w:val="hybridMultilevel"/>
    <w:tmpl w:val="37FAE3CA"/>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D871F2B"/>
    <w:multiLevelType w:val="hybridMultilevel"/>
    <w:tmpl w:val="811C75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F3D47B8"/>
    <w:multiLevelType w:val="hybridMultilevel"/>
    <w:tmpl w:val="ADF647EE"/>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51507F7"/>
    <w:multiLevelType w:val="hybridMultilevel"/>
    <w:tmpl w:val="5E20647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202049"/>
    <w:multiLevelType w:val="hybridMultilevel"/>
    <w:tmpl w:val="7ADE1A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78620AC"/>
    <w:multiLevelType w:val="hybridMultilevel"/>
    <w:tmpl w:val="2DA2150E"/>
    <w:lvl w:ilvl="0" w:tplc="0A86291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631FF7"/>
    <w:multiLevelType w:val="hybridMultilevel"/>
    <w:tmpl w:val="1D0A6202"/>
    <w:lvl w:ilvl="0" w:tplc="61ECF97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BEB4056"/>
    <w:multiLevelType w:val="hybridMultilevel"/>
    <w:tmpl w:val="81E0F7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DFD3281"/>
    <w:multiLevelType w:val="hybridMultilevel"/>
    <w:tmpl w:val="6FA8EDE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E957CC2"/>
    <w:multiLevelType w:val="hybridMultilevel"/>
    <w:tmpl w:val="6C322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93096F"/>
    <w:multiLevelType w:val="hybridMultilevel"/>
    <w:tmpl w:val="ABF09F9E"/>
    <w:lvl w:ilvl="0" w:tplc="34A87F36">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32"/>
  </w:num>
  <w:num w:numId="4">
    <w:abstractNumId w:val="30"/>
  </w:num>
  <w:num w:numId="5">
    <w:abstractNumId w:val="23"/>
  </w:num>
  <w:num w:numId="6">
    <w:abstractNumId w:val="46"/>
  </w:num>
  <w:num w:numId="7">
    <w:abstractNumId w:val="11"/>
  </w:num>
  <w:num w:numId="8">
    <w:abstractNumId w:val="48"/>
  </w:num>
  <w:num w:numId="9">
    <w:abstractNumId w:val="20"/>
  </w:num>
  <w:num w:numId="10">
    <w:abstractNumId w:val="6"/>
  </w:num>
  <w:num w:numId="11">
    <w:abstractNumId w:val="7"/>
  </w:num>
  <w:num w:numId="12">
    <w:abstractNumId w:val="15"/>
  </w:num>
  <w:num w:numId="13">
    <w:abstractNumId w:val="37"/>
  </w:num>
  <w:num w:numId="14">
    <w:abstractNumId w:val="26"/>
  </w:num>
  <w:num w:numId="15">
    <w:abstractNumId w:val="40"/>
  </w:num>
  <w:num w:numId="16">
    <w:abstractNumId w:val="12"/>
  </w:num>
  <w:num w:numId="17">
    <w:abstractNumId w:val="29"/>
  </w:num>
  <w:num w:numId="18">
    <w:abstractNumId w:val="45"/>
  </w:num>
  <w:num w:numId="19">
    <w:abstractNumId w:val="14"/>
  </w:num>
  <w:num w:numId="20">
    <w:abstractNumId w:val="13"/>
  </w:num>
  <w:num w:numId="21">
    <w:abstractNumId w:val="28"/>
  </w:num>
  <w:num w:numId="22">
    <w:abstractNumId w:val="49"/>
  </w:num>
  <w:num w:numId="23">
    <w:abstractNumId w:val="43"/>
  </w:num>
  <w:num w:numId="24">
    <w:abstractNumId w:val="36"/>
  </w:num>
  <w:num w:numId="25">
    <w:abstractNumId w:val="22"/>
  </w:num>
  <w:num w:numId="26">
    <w:abstractNumId w:val="24"/>
  </w:num>
  <w:num w:numId="27">
    <w:abstractNumId w:val="8"/>
  </w:num>
  <w:num w:numId="28">
    <w:abstractNumId w:val="31"/>
  </w:num>
  <w:num w:numId="29">
    <w:abstractNumId w:val="35"/>
  </w:num>
  <w:num w:numId="30">
    <w:abstractNumId w:val="0"/>
  </w:num>
  <w:num w:numId="31">
    <w:abstractNumId w:val="38"/>
  </w:num>
  <w:num w:numId="32">
    <w:abstractNumId w:val="9"/>
  </w:num>
  <w:num w:numId="33">
    <w:abstractNumId w:val="27"/>
  </w:num>
  <w:num w:numId="34">
    <w:abstractNumId w:val="42"/>
  </w:num>
  <w:num w:numId="35">
    <w:abstractNumId w:val="10"/>
  </w:num>
  <w:num w:numId="36">
    <w:abstractNumId w:val="5"/>
  </w:num>
  <w:num w:numId="37">
    <w:abstractNumId w:val="39"/>
  </w:num>
  <w:num w:numId="38">
    <w:abstractNumId w:val="41"/>
  </w:num>
  <w:num w:numId="39">
    <w:abstractNumId w:val="18"/>
  </w:num>
  <w:num w:numId="40">
    <w:abstractNumId w:val="34"/>
  </w:num>
  <w:num w:numId="41">
    <w:abstractNumId w:val="33"/>
  </w:num>
  <w:num w:numId="42">
    <w:abstractNumId w:val="47"/>
  </w:num>
  <w:num w:numId="43">
    <w:abstractNumId w:val="1"/>
  </w:num>
  <w:num w:numId="44">
    <w:abstractNumId w:val="2"/>
  </w:num>
  <w:num w:numId="45">
    <w:abstractNumId w:val="3"/>
  </w:num>
  <w:num w:numId="46">
    <w:abstractNumId w:val="44"/>
  </w:num>
  <w:num w:numId="47">
    <w:abstractNumId w:val="25"/>
  </w:num>
  <w:num w:numId="48">
    <w:abstractNumId w:val="16"/>
  </w:num>
  <w:num w:numId="49">
    <w:abstractNumId w:val="21"/>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F9"/>
    <w:rsid w:val="0000140A"/>
    <w:rsid w:val="0000237C"/>
    <w:rsid w:val="000061EA"/>
    <w:rsid w:val="00011566"/>
    <w:rsid w:val="000127EF"/>
    <w:rsid w:val="0001300E"/>
    <w:rsid w:val="000141E8"/>
    <w:rsid w:val="000351AD"/>
    <w:rsid w:val="00035B93"/>
    <w:rsid w:val="000404D4"/>
    <w:rsid w:val="00041E7F"/>
    <w:rsid w:val="00056D0A"/>
    <w:rsid w:val="00064B16"/>
    <w:rsid w:val="000704EC"/>
    <w:rsid w:val="00074937"/>
    <w:rsid w:val="00080476"/>
    <w:rsid w:val="000902C3"/>
    <w:rsid w:val="00091ADB"/>
    <w:rsid w:val="00093298"/>
    <w:rsid w:val="00093948"/>
    <w:rsid w:val="00096899"/>
    <w:rsid w:val="000B1F4F"/>
    <w:rsid w:val="000B4C74"/>
    <w:rsid w:val="000B60C9"/>
    <w:rsid w:val="000B70D7"/>
    <w:rsid w:val="000C37F1"/>
    <w:rsid w:val="000E10BD"/>
    <w:rsid w:val="000E1B46"/>
    <w:rsid w:val="000F1ABE"/>
    <w:rsid w:val="000F39C2"/>
    <w:rsid w:val="000F4670"/>
    <w:rsid w:val="00104742"/>
    <w:rsid w:val="00110E23"/>
    <w:rsid w:val="00111E85"/>
    <w:rsid w:val="00112EC0"/>
    <w:rsid w:val="00114BC9"/>
    <w:rsid w:val="00117998"/>
    <w:rsid w:val="0012282D"/>
    <w:rsid w:val="001373DC"/>
    <w:rsid w:val="00141B86"/>
    <w:rsid w:val="00142229"/>
    <w:rsid w:val="0014565E"/>
    <w:rsid w:val="001477FF"/>
    <w:rsid w:val="001505CB"/>
    <w:rsid w:val="00160754"/>
    <w:rsid w:val="001642C6"/>
    <w:rsid w:val="00167953"/>
    <w:rsid w:val="00171547"/>
    <w:rsid w:val="00171E61"/>
    <w:rsid w:val="001814D0"/>
    <w:rsid w:val="0018247E"/>
    <w:rsid w:val="00185992"/>
    <w:rsid w:val="001A3B17"/>
    <w:rsid w:val="001A5B9B"/>
    <w:rsid w:val="001B36F8"/>
    <w:rsid w:val="001B7C45"/>
    <w:rsid w:val="001C184A"/>
    <w:rsid w:val="001C35F6"/>
    <w:rsid w:val="001E408D"/>
    <w:rsid w:val="001E64BD"/>
    <w:rsid w:val="001F257F"/>
    <w:rsid w:val="001F2748"/>
    <w:rsid w:val="001F50C5"/>
    <w:rsid w:val="001F65B5"/>
    <w:rsid w:val="001F668D"/>
    <w:rsid w:val="001F6E99"/>
    <w:rsid w:val="00204EDE"/>
    <w:rsid w:val="002118D3"/>
    <w:rsid w:val="00212546"/>
    <w:rsid w:val="00212BB7"/>
    <w:rsid w:val="00216D7A"/>
    <w:rsid w:val="002272E2"/>
    <w:rsid w:val="0023006C"/>
    <w:rsid w:val="00237E40"/>
    <w:rsid w:val="0024108A"/>
    <w:rsid w:val="00241BE5"/>
    <w:rsid w:val="00243302"/>
    <w:rsid w:val="00261BF9"/>
    <w:rsid w:val="00264E9E"/>
    <w:rsid w:val="002669DB"/>
    <w:rsid w:val="00271288"/>
    <w:rsid w:val="00283D2E"/>
    <w:rsid w:val="002857AA"/>
    <w:rsid w:val="0028591F"/>
    <w:rsid w:val="00287577"/>
    <w:rsid w:val="00287FE9"/>
    <w:rsid w:val="00290CC0"/>
    <w:rsid w:val="00292363"/>
    <w:rsid w:val="002A43CB"/>
    <w:rsid w:val="002A7521"/>
    <w:rsid w:val="002C2389"/>
    <w:rsid w:val="002C5D50"/>
    <w:rsid w:val="002D292B"/>
    <w:rsid w:val="002D3BE6"/>
    <w:rsid w:val="002D59AE"/>
    <w:rsid w:val="002D7DD8"/>
    <w:rsid w:val="002E365B"/>
    <w:rsid w:val="002E3F23"/>
    <w:rsid w:val="002F3076"/>
    <w:rsid w:val="0030625B"/>
    <w:rsid w:val="00307876"/>
    <w:rsid w:val="0031019B"/>
    <w:rsid w:val="00311D8A"/>
    <w:rsid w:val="00316A98"/>
    <w:rsid w:val="00327778"/>
    <w:rsid w:val="00337287"/>
    <w:rsid w:val="00345AE8"/>
    <w:rsid w:val="00345EE3"/>
    <w:rsid w:val="003600A2"/>
    <w:rsid w:val="00361738"/>
    <w:rsid w:val="00367936"/>
    <w:rsid w:val="00370C2B"/>
    <w:rsid w:val="0037257E"/>
    <w:rsid w:val="00375DD0"/>
    <w:rsid w:val="00381246"/>
    <w:rsid w:val="00383277"/>
    <w:rsid w:val="0038414C"/>
    <w:rsid w:val="003A254B"/>
    <w:rsid w:val="003A339A"/>
    <w:rsid w:val="003A62CB"/>
    <w:rsid w:val="003B6C38"/>
    <w:rsid w:val="003C1EC7"/>
    <w:rsid w:val="003C262C"/>
    <w:rsid w:val="003C541B"/>
    <w:rsid w:val="003C72AC"/>
    <w:rsid w:val="003D4B99"/>
    <w:rsid w:val="003D7CCB"/>
    <w:rsid w:val="003E37F9"/>
    <w:rsid w:val="003E7F7F"/>
    <w:rsid w:val="003F0909"/>
    <w:rsid w:val="003F0F40"/>
    <w:rsid w:val="003F37A2"/>
    <w:rsid w:val="00406A2E"/>
    <w:rsid w:val="00412359"/>
    <w:rsid w:val="004127FC"/>
    <w:rsid w:val="00421B3C"/>
    <w:rsid w:val="0042794B"/>
    <w:rsid w:val="00434F8D"/>
    <w:rsid w:val="00437A46"/>
    <w:rsid w:val="00453280"/>
    <w:rsid w:val="00462E37"/>
    <w:rsid w:val="004760AB"/>
    <w:rsid w:val="0047797A"/>
    <w:rsid w:val="004810CB"/>
    <w:rsid w:val="00484B85"/>
    <w:rsid w:val="00486025"/>
    <w:rsid w:val="00490EA9"/>
    <w:rsid w:val="00496DF6"/>
    <w:rsid w:val="004A7647"/>
    <w:rsid w:val="004B20B5"/>
    <w:rsid w:val="004B2766"/>
    <w:rsid w:val="004B28AB"/>
    <w:rsid w:val="004C0859"/>
    <w:rsid w:val="004D6A18"/>
    <w:rsid w:val="004D6FED"/>
    <w:rsid w:val="004F244E"/>
    <w:rsid w:val="004F4F6D"/>
    <w:rsid w:val="00526592"/>
    <w:rsid w:val="00530208"/>
    <w:rsid w:val="005336FB"/>
    <w:rsid w:val="00546673"/>
    <w:rsid w:val="0054789D"/>
    <w:rsid w:val="00547C8E"/>
    <w:rsid w:val="005518D2"/>
    <w:rsid w:val="00553E9C"/>
    <w:rsid w:val="00565DED"/>
    <w:rsid w:val="00571271"/>
    <w:rsid w:val="00580DDC"/>
    <w:rsid w:val="0058227B"/>
    <w:rsid w:val="005824F0"/>
    <w:rsid w:val="005877EC"/>
    <w:rsid w:val="005967A7"/>
    <w:rsid w:val="005A0DCE"/>
    <w:rsid w:val="005A1CEA"/>
    <w:rsid w:val="005A55C0"/>
    <w:rsid w:val="005A5EB1"/>
    <w:rsid w:val="005B246E"/>
    <w:rsid w:val="005B71BF"/>
    <w:rsid w:val="005C0208"/>
    <w:rsid w:val="005C26B3"/>
    <w:rsid w:val="005E2E97"/>
    <w:rsid w:val="005E35A9"/>
    <w:rsid w:val="005F3769"/>
    <w:rsid w:val="005F6D6B"/>
    <w:rsid w:val="00600E4C"/>
    <w:rsid w:val="00601825"/>
    <w:rsid w:val="00602B97"/>
    <w:rsid w:val="006046D6"/>
    <w:rsid w:val="0060565E"/>
    <w:rsid w:val="00623298"/>
    <w:rsid w:val="006271FC"/>
    <w:rsid w:val="00630821"/>
    <w:rsid w:val="006323BA"/>
    <w:rsid w:val="00640DCD"/>
    <w:rsid w:val="006421A9"/>
    <w:rsid w:val="00642802"/>
    <w:rsid w:val="00647F1B"/>
    <w:rsid w:val="00652DA3"/>
    <w:rsid w:val="00653B25"/>
    <w:rsid w:val="00655FD1"/>
    <w:rsid w:val="00662791"/>
    <w:rsid w:val="006628AB"/>
    <w:rsid w:val="00662ABF"/>
    <w:rsid w:val="00667450"/>
    <w:rsid w:val="00673EDF"/>
    <w:rsid w:val="0067692F"/>
    <w:rsid w:val="00685090"/>
    <w:rsid w:val="00693C68"/>
    <w:rsid w:val="006A4A05"/>
    <w:rsid w:val="006A63C9"/>
    <w:rsid w:val="006A7CDA"/>
    <w:rsid w:val="006B5E3B"/>
    <w:rsid w:val="006C0557"/>
    <w:rsid w:val="006D284C"/>
    <w:rsid w:val="006D29C1"/>
    <w:rsid w:val="006E5E6B"/>
    <w:rsid w:val="006F7B77"/>
    <w:rsid w:val="00704D82"/>
    <w:rsid w:val="00705291"/>
    <w:rsid w:val="0071499F"/>
    <w:rsid w:val="007152F6"/>
    <w:rsid w:val="0072032B"/>
    <w:rsid w:val="007246D0"/>
    <w:rsid w:val="00746A3E"/>
    <w:rsid w:val="00751253"/>
    <w:rsid w:val="00751D39"/>
    <w:rsid w:val="0076240D"/>
    <w:rsid w:val="007625DA"/>
    <w:rsid w:val="0076635C"/>
    <w:rsid w:val="00777C37"/>
    <w:rsid w:val="007811AF"/>
    <w:rsid w:val="0078210E"/>
    <w:rsid w:val="00790BB3"/>
    <w:rsid w:val="00794F20"/>
    <w:rsid w:val="00796E28"/>
    <w:rsid w:val="007A1942"/>
    <w:rsid w:val="007B05B5"/>
    <w:rsid w:val="007C5D2C"/>
    <w:rsid w:val="007E36A4"/>
    <w:rsid w:val="007F2D9E"/>
    <w:rsid w:val="007F3754"/>
    <w:rsid w:val="007F3A56"/>
    <w:rsid w:val="007F6E51"/>
    <w:rsid w:val="00826094"/>
    <w:rsid w:val="00827F1E"/>
    <w:rsid w:val="0083057D"/>
    <w:rsid w:val="00832C2B"/>
    <w:rsid w:val="00836347"/>
    <w:rsid w:val="008363F1"/>
    <w:rsid w:val="0083640A"/>
    <w:rsid w:val="00841EBE"/>
    <w:rsid w:val="00846D43"/>
    <w:rsid w:val="00847AAD"/>
    <w:rsid w:val="00861042"/>
    <w:rsid w:val="0086470C"/>
    <w:rsid w:val="00872681"/>
    <w:rsid w:val="0087620B"/>
    <w:rsid w:val="008768DC"/>
    <w:rsid w:val="00882AC1"/>
    <w:rsid w:val="0089029C"/>
    <w:rsid w:val="00896562"/>
    <w:rsid w:val="00897558"/>
    <w:rsid w:val="008A1806"/>
    <w:rsid w:val="008A3C6C"/>
    <w:rsid w:val="008A3FCA"/>
    <w:rsid w:val="008B0554"/>
    <w:rsid w:val="008B0A89"/>
    <w:rsid w:val="008B636F"/>
    <w:rsid w:val="008E28C0"/>
    <w:rsid w:val="008E2B29"/>
    <w:rsid w:val="008E3421"/>
    <w:rsid w:val="008E4A96"/>
    <w:rsid w:val="008F2778"/>
    <w:rsid w:val="0090342E"/>
    <w:rsid w:val="00904A09"/>
    <w:rsid w:val="00913AFB"/>
    <w:rsid w:val="00917152"/>
    <w:rsid w:val="009204AF"/>
    <w:rsid w:val="009222BD"/>
    <w:rsid w:val="00930A31"/>
    <w:rsid w:val="00931921"/>
    <w:rsid w:val="009501E0"/>
    <w:rsid w:val="0095235B"/>
    <w:rsid w:val="00972BBF"/>
    <w:rsid w:val="00972D66"/>
    <w:rsid w:val="00974AAB"/>
    <w:rsid w:val="00980C0E"/>
    <w:rsid w:val="009834B3"/>
    <w:rsid w:val="0098351C"/>
    <w:rsid w:val="009859EE"/>
    <w:rsid w:val="00987CC9"/>
    <w:rsid w:val="009913C8"/>
    <w:rsid w:val="00992021"/>
    <w:rsid w:val="00992E7C"/>
    <w:rsid w:val="009A0DA1"/>
    <w:rsid w:val="009B2AAC"/>
    <w:rsid w:val="009C2D8D"/>
    <w:rsid w:val="009D67CA"/>
    <w:rsid w:val="009E17C8"/>
    <w:rsid w:val="009E2EEE"/>
    <w:rsid w:val="009F19D9"/>
    <w:rsid w:val="00A0563B"/>
    <w:rsid w:val="00A17959"/>
    <w:rsid w:val="00A2046D"/>
    <w:rsid w:val="00A27A84"/>
    <w:rsid w:val="00A325D3"/>
    <w:rsid w:val="00A400CB"/>
    <w:rsid w:val="00A4379D"/>
    <w:rsid w:val="00A57915"/>
    <w:rsid w:val="00A62C70"/>
    <w:rsid w:val="00A83358"/>
    <w:rsid w:val="00A87860"/>
    <w:rsid w:val="00A93384"/>
    <w:rsid w:val="00A944F0"/>
    <w:rsid w:val="00A96FFC"/>
    <w:rsid w:val="00A974F8"/>
    <w:rsid w:val="00AA1258"/>
    <w:rsid w:val="00AC1A0E"/>
    <w:rsid w:val="00AD2F2C"/>
    <w:rsid w:val="00AD5487"/>
    <w:rsid w:val="00AD5C2A"/>
    <w:rsid w:val="00AF4B18"/>
    <w:rsid w:val="00AF599B"/>
    <w:rsid w:val="00AF6B76"/>
    <w:rsid w:val="00B04DF2"/>
    <w:rsid w:val="00B145F0"/>
    <w:rsid w:val="00B235C1"/>
    <w:rsid w:val="00B30D5F"/>
    <w:rsid w:val="00B31865"/>
    <w:rsid w:val="00B466AB"/>
    <w:rsid w:val="00B46805"/>
    <w:rsid w:val="00B4689F"/>
    <w:rsid w:val="00B50915"/>
    <w:rsid w:val="00B54177"/>
    <w:rsid w:val="00B651BA"/>
    <w:rsid w:val="00B655F6"/>
    <w:rsid w:val="00B66505"/>
    <w:rsid w:val="00B6683B"/>
    <w:rsid w:val="00B718B4"/>
    <w:rsid w:val="00B83C25"/>
    <w:rsid w:val="00B935BA"/>
    <w:rsid w:val="00B94829"/>
    <w:rsid w:val="00B94A6E"/>
    <w:rsid w:val="00BA148F"/>
    <w:rsid w:val="00BA3EFF"/>
    <w:rsid w:val="00BA5D50"/>
    <w:rsid w:val="00BB2196"/>
    <w:rsid w:val="00BC7D51"/>
    <w:rsid w:val="00BD0FD1"/>
    <w:rsid w:val="00BE172C"/>
    <w:rsid w:val="00BE5808"/>
    <w:rsid w:val="00BF7B6F"/>
    <w:rsid w:val="00C015ED"/>
    <w:rsid w:val="00C02F19"/>
    <w:rsid w:val="00C1448B"/>
    <w:rsid w:val="00C14FA2"/>
    <w:rsid w:val="00C15D34"/>
    <w:rsid w:val="00C20C06"/>
    <w:rsid w:val="00C24428"/>
    <w:rsid w:val="00C24DA3"/>
    <w:rsid w:val="00C25459"/>
    <w:rsid w:val="00C259BA"/>
    <w:rsid w:val="00C37077"/>
    <w:rsid w:val="00C40DEB"/>
    <w:rsid w:val="00C429FD"/>
    <w:rsid w:val="00C44A08"/>
    <w:rsid w:val="00C45214"/>
    <w:rsid w:val="00C50E32"/>
    <w:rsid w:val="00C81C3A"/>
    <w:rsid w:val="00C93AE2"/>
    <w:rsid w:val="00C9404C"/>
    <w:rsid w:val="00C94635"/>
    <w:rsid w:val="00CA17F8"/>
    <w:rsid w:val="00CA3C79"/>
    <w:rsid w:val="00CA3D31"/>
    <w:rsid w:val="00CC09F3"/>
    <w:rsid w:val="00CD066F"/>
    <w:rsid w:val="00CD0866"/>
    <w:rsid w:val="00CD4B49"/>
    <w:rsid w:val="00CE1D5C"/>
    <w:rsid w:val="00CF33A1"/>
    <w:rsid w:val="00CF4699"/>
    <w:rsid w:val="00D008F8"/>
    <w:rsid w:val="00D029D2"/>
    <w:rsid w:val="00D104ED"/>
    <w:rsid w:val="00D13031"/>
    <w:rsid w:val="00D169A2"/>
    <w:rsid w:val="00D17040"/>
    <w:rsid w:val="00D20D0C"/>
    <w:rsid w:val="00D25920"/>
    <w:rsid w:val="00D43436"/>
    <w:rsid w:val="00D43B64"/>
    <w:rsid w:val="00D53051"/>
    <w:rsid w:val="00D53C0E"/>
    <w:rsid w:val="00D5485D"/>
    <w:rsid w:val="00D6433C"/>
    <w:rsid w:val="00D6517E"/>
    <w:rsid w:val="00D67AEA"/>
    <w:rsid w:val="00D72936"/>
    <w:rsid w:val="00D729F0"/>
    <w:rsid w:val="00D73955"/>
    <w:rsid w:val="00D86FDC"/>
    <w:rsid w:val="00D90C93"/>
    <w:rsid w:val="00D94CAD"/>
    <w:rsid w:val="00DA37C7"/>
    <w:rsid w:val="00DA4EF9"/>
    <w:rsid w:val="00DD336A"/>
    <w:rsid w:val="00DD7410"/>
    <w:rsid w:val="00DF428B"/>
    <w:rsid w:val="00DF477B"/>
    <w:rsid w:val="00DF674C"/>
    <w:rsid w:val="00DF688D"/>
    <w:rsid w:val="00E02820"/>
    <w:rsid w:val="00E04439"/>
    <w:rsid w:val="00E1437A"/>
    <w:rsid w:val="00E16B31"/>
    <w:rsid w:val="00E23BA1"/>
    <w:rsid w:val="00E2543A"/>
    <w:rsid w:val="00E30B3A"/>
    <w:rsid w:val="00E347EC"/>
    <w:rsid w:val="00E3681D"/>
    <w:rsid w:val="00E440A4"/>
    <w:rsid w:val="00E47EBF"/>
    <w:rsid w:val="00E542F4"/>
    <w:rsid w:val="00E61E60"/>
    <w:rsid w:val="00E63CCE"/>
    <w:rsid w:val="00E65A9A"/>
    <w:rsid w:val="00E65CD3"/>
    <w:rsid w:val="00E756DB"/>
    <w:rsid w:val="00E764E3"/>
    <w:rsid w:val="00E93041"/>
    <w:rsid w:val="00EA311B"/>
    <w:rsid w:val="00EA6329"/>
    <w:rsid w:val="00ED19EF"/>
    <w:rsid w:val="00ED1F05"/>
    <w:rsid w:val="00ED4991"/>
    <w:rsid w:val="00ED54C3"/>
    <w:rsid w:val="00EE5288"/>
    <w:rsid w:val="00EF0607"/>
    <w:rsid w:val="00EF2AEB"/>
    <w:rsid w:val="00EF5544"/>
    <w:rsid w:val="00F04523"/>
    <w:rsid w:val="00F05B44"/>
    <w:rsid w:val="00F07F6B"/>
    <w:rsid w:val="00F126F3"/>
    <w:rsid w:val="00F159C5"/>
    <w:rsid w:val="00F17CE7"/>
    <w:rsid w:val="00F24152"/>
    <w:rsid w:val="00F24BD3"/>
    <w:rsid w:val="00F33483"/>
    <w:rsid w:val="00F47902"/>
    <w:rsid w:val="00F503F9"/>
    <w:rsid w:val="00F50F6A"/>
    <w:rsid w:val="00F57074"/>
    <w:rsid w:val="00F57CDC"/>
    <w:rsid w:val="00F65805"/>
    <w:rsid w:val="00F74FA2"/>
    <w:rsid w:val="00F75C12"/>
    <w:rsid w:val="00F812FE"/>
    <w:rsid w:val="00F83CF5"/>
    <w:rsid w:val="00F842CE"/>
    <w:rsid w:val="00F97937"/>
    <w:rsid w:val="00FA10C0"/>
    <w:rsid w:val="00FA7069"/>
    <w:rsid w:val="00FD5970"/>
    <w:rsid w:val="00FD6CFD"/>
    <w:rsid w:val="00FE4272"/>
    <w:rsid w:val="00FF6E91"/>
    <w:rsid w:val="00FF7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ACA5"/>
  <w15:chartTrackingRefBased/>
  <w15:docId w15:val="{515197AE-D152-457B-8DBB-EC19265D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03F9"/>
    <w:rPr>
      <w:rFonts w:ascii="Verdana" w:hAnsi="Verdana"/>
      <w:sz w:val="18"/>
    </w:rPr>
  </w:style>
  <w:style w:type="paragraph" w:styleId="Kop4">
    <w:name w:val="heading 4"/>
    <w:basedOn w:val="Standaard"/>
    <w:link w:val="Kop4Char"/>
    <w:uiPriority w:val="9"/>
    <w:qFormat/>
    <w:rsid w:val="00FF7F06"/>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03F9"/>
    <w:pPr>
      <w:ind w:left="720"/>
      <w:contextualSpacing/>
    </w:pPr>
  </w:style>
  <w:style w:type="table" w:styleId="Tabelraster">
    <w:name w:val="Table Grid"/>
    <w:basedOn w:val="Standaardtabel"/>
    <w:uiPriority w:val="39"/>
    <w:rsid w:val="00F503F9"/>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03F9"/>
    <w:pPr>
      <w:autoSpaceDE w:val="0"/>
      <w:autoSpaceDN w:val="0"/>
      <w:adjustRightInd w:val="0"/>
      <w:spacing w:after="0" w:line="240" w:lineRule="auto"/>
    </w:pPr>
    <w:rPr>
      <w:rFonts w:ascii="Verdana" w:eastAsia="DejaVu Sans" w:hAnsi="Verdana" w:cs="Verdana"/>
      <w:color w:val="000000"/>
      <w:sz w:val="24"/>
      <w:szCs w:val="24"/>
      <w:lang w:eastAsia="nl-NL"/>
    </w:rPr>
  </w:style>
  <w:style w:type="paragraph" w:styleId="Voetnoottekst">
    <w:name w:val="footnote text"/>
    <w:basedOn w:val="Standaard"/>
    <w:link w:val="VoetnoottekstChar"/>
    <w:uiPriority w:val="99"/>
    <w:semiHidden/>
    <w:unhideWhenUsed/>
    <w:rsid w:val="00F503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03F9"/>
    <w:rPr>
      <w:rFonts w:ascii="Verdana" w:hAnsi="Verdana"/>
      <w:sz w:val="20"/>
      <w:szCs w:val="20"/>
    </w:rPr>
  </w:style>
  <w:style w:type="character" w:styleId="Voetnootmarkering">
    <w:name w:val="footnote reference"/>
    <w:basedOn w:val="Standaardalinea-lettertype"/>
    <w:uiPriority w:val="99"/>
    <w:semiHidden/>
    <w:unhideWhenUsed/>
    <w:rsid w:val="00F503F9"/>
    <w:rPr>
      <w:vertAlign w:val="superscript"/>
    </w:rPr>
  </w:style>
  <w:style w:type="table" w:styleId="Rastertabel5donker-Accent1">
    <w:name w:val="Grid Table 5 Dark Accent 1"/>
    <w:basedOn w:val="Standaardtabel"/>
    <w:uiPriority w:val="50"/>
    <w:rsid w:val="00F503F9"/>
    <w:pPr>
      <w:spacing w:after="0" w:line="240" w:lineRule="auto"/>
    </w:pPr>
    <w:rPr>
      <w:rFonts w:ascii="Verdana" w:hAnsi="Verdana"/>
      <w:sz w:val="18"/>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Koptekst">
    <w:name w:val="header"/>
    <w:basedOn w:val="Standaard"/>
    <w:link w:val="KoptekstChar"/>
    <w:uiPriority w:val="99"/>
    <w:unhideWhenUsed/>
    <w:rsid w:val="00F50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3F9"/>
    <w:rPr>
      <w:rFonts w:ascii="Verdana" w:hAnsi="Verdana"/>
      <w:sz w:val="18"/>
    </w:rPr>
  </w:style>
  <w:style w:type="character" w:styleId="Hyperlink">
    <w:name w:val="Hyperlink"/>
    <w:basedOn w:val="Standaardalinea-lettertype"/>
    <w:uiPriority w:val="99"/>
    <w:unhideWhenUsed/>
    <w:rsid w:val="00F503F9"/>
    <w:rPr>
      <w:color w:val="0563C1" w:themeColor="hyperlink"/>
      <w:u w:val="single"/>
    </w:rPr>
  </w:style>
  <w:style w:type="character" w:styleId="Verwijzingopmerking">
    <w:name w:val="annotation reference"/>
    <w:basedOn w:val="Standaardalinea-lettertype"/>
    <w:uiPriority w:val="99"/>
    <w:semiHidden/>
    <w:unhideWhenUsed/>
    <w:rsid w:val="00EF2AEB"/>
    <w:rPr>
      <w:sz w:val="16"/>
      <w:szCs w:val="16"/>
    </w:rPr>
  </w:style>
  <w:style w:type="paragraph" w:styleId="Tekstopmerking">
    <w:name w:val="annotation text"/>
    <w:basedOn w:val="Standaard"/>
    <w:link w:val="TekstopmerkingChar"/>
    <w:uiPriority w:val="99"/>
    <w:unhideWhenUsed/>
    <w:rsid w:val="00EF2AEB"/>
    <w:pPr>
      <w:spacing w:line="240" w:lineRule="auto"/>
    </w:pPr>
    <w:rPr>
      <w:sz w:val="20"/>
      <w:szCs w:val="20"/>
    </w:rPr>
  </w:style>
  <w:style w:type="character" w:customStyle="1" w:styleId="TekstopmerkingChar">
    <w:name w:val="Tekst opmerking Char"/>
    <w:basedOn w:val="Standaardalinea-lettertype"/>
    <w:link w:val="Tekstopmerking"/>
    <w:uiPriority w:val="99"/>
    <w:rsid w:val="00EF2AE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F2AEB"/>
    <w:rPr>
      <w:b/>
      <w:bCs/>
    </w:rPr>
  </w:style>
  <w:style w:type="character" w:customStyle="1" w:styleId="OnderwerpvanopmerkingChar">
    <w:name w:val="Onderwerp van opmerking Char"/>
    <w:basedOn w:val="TekstopmerkingChar"/>
    <w:link w:val="Onderwerpvanopmerking"/>
    <w:uiPriority w:val="99"/>
    <w:semiHidden/>
    <w:rsid w:val="00EF2AEB"/>
    <w:rPr>
      <w:rFonts w:ascii="Verdana" w:hAnsi="Verdana"/>
      <w:b/>
      <w:bCs/>
      <w:sz w:val="20"/>
      <w:szCs w:val="20"/>
    </w:rPr>
  </w:style>
  <w:style w:type="paragraph" w:styleId="Ballontekst">
    <w:name w:val="Balloon Text"/>
    <w:basedOn w:val="Standaard"/>
    <w:link w:val="BallontekstChar"/>
    <w:uiPriority w:val="99"/>
    <w:semiHidden/>
    <w:unhideWhenUsed/>
    <w:rsid w:val="00EF2AE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F2AEB"/>
    <w:rPr>
      <w:rFonts w:ascii="Segoe UI" w:hAnsi="Segoe UI" w:cs="Segoe UI"/>
      <w:sz w:val="18"/>
      <w:szCs w:val="18"/>
    </w:rPr>
  </w:style>
  <w:style w:type="paragraph" w:styleId="Revisie">
    <w:name w:val="Revision"/>
    <w:hidden/>
    <w:uiPriority w:val="99"/>
    <w:semiHidden/>
    <w:rsid w:val="006271FC"/>
    <w:pPr>
      <w:spacing w:after="0" w:line="240" w:lineRule="auto"/>
    </w:pPr>
    <w:rPr>
      <w:rFonts w:ascii="Verdana" w:hAnsi="Verdana"/>
      <w:sz w:val="18"/>
    </w:rPr>
  </w:style>
  <w:style w:type="character" w:styleId="GevolgdeHyperlink">
    <w:name w:val="FollowedHyperlink"/>
    <w:basedOn w:val="Standaardalinea-lettertype"/>
    <w:uiPriority w:val="99"/>
    <w:semiHidden/>
    <w:unhideWhenUsed/>
    <w:rsid w:val="00640DCD"/>
    <w:rPr>
      <w:color w:val="954F72" w:themeColor="followedHyperlink"/>
      <w:u w:val="single"/>
    </w:rPr>
  </w:style>
  <w:style w:type="paragraph" w:styleId="Voettekst">
    <w:name w:val="footer"/>
    <w:basedOn w:val="Standaard"/>
    <w:link w:val="VoettekstChar"/>
    <w:uiPriority w:val="99"/>
    <w:unhideWhenUsed/>
    <w:rsid w:val="00CD0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0866"/>
    <w:rPr>
      <w:rFonts w:ascii="Verdana" w:hAnsi="Verdana"/>
      <w:sz w:val="18"/>
    </w:rPr>
  </w:style>
  <w:style w:type="paragraph" w:styleId="Eindnoottekst">
    <w:name w:val="endnote text"/>
    <w:basedOn w:val="Standaard"/>
    <w:link w:val="EindnoottekstChar"/>
    <w:uiPriority w:val="99"/>
    <w:semiHidden/>
    <w:unhideWhenUsed/>
    <w:rsid w:val="000E1B4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E1B46"/>
    <w:rPr>
      <w:rFonts w:ascii="Verdana" w:hAnsi="Verdana"/>
      <w:sz w:val="20"/>
      <w:szCs w:val="20"/>
    </w:rPr>
  </w:style>
  <w:style w:type="character" w:styleId="Eindnootmarkering">
    <w:name w:val="endnote reference"/>
    <w:basedOn w:val="Standaardalinea-lettertype"/>
    <w:uiPriority w:val="99"/>
    <w:semiHidden/>
    <w:unhideWhenUsed/>
    <w:rsid w:val="000E1B46"/>
    <w:rPr>
      <w:vertAlign w:val="superscript"/>
    </w:rPr>
  </w:style>
  <w:style w:type="character" w:customStyle="1" w:styleId="Onopgelostemelding1">
    <w:name w:val="Onopgeloste melding1"/>
    <w:basedOn w:val="Standaardalinea-lettertype"/>
    <w:uiPriority w:val="99"/>
    <w:semiHidden/>
    <w:unhideWhenUsed/>
    <w:rsid w:val="000E1B46"/>
    <w:rPr>
      <w:color w:val="605E5C"/>
      <w:shd w:val="clear" w:color="auto" w:fill="E1DFDD"/>
    </w:rPr>
  </w:style>
  <w:style w:type="paragraph" w:customStyle="1" w:styleId="paragraph">
    <w:name w:val="paragraph"/>
    <w:basedOn w:val="Standaard"/>
    <w:rsid w:val="005518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518D2"/>
  </w:style>
  <w:style w:type="character" w:customStyle="1" w:styleId="spellingerror">
    <w:name w:val="spellingerror"/>
    <w:basedOn w:val="Standaardalinea-lettertype"/>
    <w:rsid w:val="005518D2"/>
  </w:style>
  <w:style w:type="character" w:customStyle="1" w:styleId="eop">
    <w:name w:val="eop"/>
    <w:basedOn w:val="Standaardalinea-lettertype"/>
    <w:rsid w:val="005518D2"/>
  </w:style>
  <w:style w:type="character" w:customStyle="1" w:styleId="Kop4Char">
    <w:name w:val="Kop 4 Char"/>
    <w:basedOn w:val="Standaardalinea-lettertype"/>
    <w:link w:val="Kop4"/>
    <w:uiPriority w:val="9"/>
    <w:rsid w:val="00FF7F06"/>
    <w:rPr>
      <w:rFonts w:ascii="Times New Roman" w:eastAsia="Times New Roman" w:hAnsi="Times New Roman" w:cs="Times New Roman"/>
      <w:b/>
      <w:bCs/>
      <w:sz w:val="24"/>
      <w:szCs w:val="24"/>
      <w:lang w:eastAsia="nl-NL"/>
    </w:rPr>
  </w:style>
  <w:style w:type="character" w:customStyle="1" w:styleId="visually-hidden">
    <w:name w:val="visually-hidden"/>
    <w:basedOn w:val="Standaardalinea-lettertype"/>
    <w:rsid w:val="00FF7F06"/>
  </w:style>
  <w:style w:type="paragraph" w:customStyle="1" w:styleId="al">
    <w:name w:val="al"/>
    <w:basedOn w:val="Standaard"/>
    <w:rsid w:val="00FF7F0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FF7F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F7F06"/>
  </w:style>
  <w:style w:type="paragraph" w:styleId="Lijstopsomteken">
    <w:name w:val="List Bullet"/>
    <w:basedOn w:val="Standaard"/>
    <w:uiPriority w:val="99"/>
    <w:unhideWhenUsed/>
    <w:rsid w:val="004B2766"/>
    <w:pPr>
      <w:contextualSpacing/>
    </w:pPr>
  </w:style>
  <w:style w:type="character" w:customStyle="1" w:styleId="Onopgelostemelding2">
    <w:name w:val="Onopgeloste melding2"/>
    <w:basedOn w:val="Standaardalinea-lettertype"/>
    <w:uiPriority w:val="99"/>
    <w:semiHidden/>
    <w:unhideWhenUsed/>
    <w:rsid w:val="009501E0"/>
    <w:rPr>
      <w:color w:val="605E5C"/>
      <w:shd w:val="clear" w:color="auto" w:fill="E1DFDD"/>
    </w:rPr>
  </w:style>
  <w:style w:type="character" w:customStyle="1" w:styleId="Onopgelostemelding3">
    <w:name w:val="Onopgeloste melding3"/>
    <w:basedOn w:val="Standaardalinea-lettertype"/>
    <w:uiPriority w:val="99"/>
    <w:semiHidden/>
    <w:unhideWhenUsed/>
    <w:rsid w:val="00D67AEA"/>
    <w:rPr>
      <w:color w:val="605E5C"/>
      <w:shd w:val="clear" w:color="auto" w:fill="E1DFDD"/>
    </w:rPr>
  </w:style>
  <w:style w:type="character" w:customStyle="1" w:styleId="Onopgelostemelding4">
    <w:name w:val="Onopgeloste melding4"/>
    <w:basedOn w:val="Standaardalinea-lettertype"/>
    <w:uiPriority w:val="99"/>
    <w:semiHidden/>
    <w:unhideWhenUsed/>
    <w:rsid w:val="00DD3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531471">
      <w:bodyDiv w:val="1"/>
      <w:marLeft w:val="0"/>
      <w:marRight w:val="0"/>
      <w:marTop w:val="0"/>
      <w:marBottom w:val="0"/>
      <w:divBdr>
        <w:top w:val="none" w:sz="0" w:space="0" w:color="auto"/>
        <w:left w:val="none" w:sz="0" w:space="0" w:color="auto"/>
        <w:bottom w:val="none" w:sz="0" w:space="0" w:color="auto"/>
        <w:right w:val="none" w:sz="0" w:space="0" w:color="auto"/>
      </w:divBdr>
      <w:divsChild>
        <w:div w:id="1984310570">
          <w:marLeft w:val="0"/>
          <w:marRight w:val="0"/>
          <w:marTop w:val="60"/>
          <w:marBottom w:val="60"/>
          <w:divBdr>
            <w:top w:val="none" w:sz="0" w:space="0" w:color="auto"/>
            <w:left w:val="none" w:sz="0" w:space="0" w:color="auto"/>
            <w:bottom w:val="none" w:sz="0" w:space="0" w:color="auto"/>
            <w:right w:val="none" w:sz="0" w:space="0" w:color="auto"/>
          </w:divBdr>
        </w:div>
      </w:divsChild>
    </w:div>
    <w:div w:id="1799033671">
      <w:bodyDiv w:val="1"/>
      <w:marLeft w:val="0"/>
      <w:marRight w:val="0"/>
      <w:marTop w:val="0"/>
      <w:marBottom w:val="0"/>
      <w:divBdr>
        <w:top w:val="none" w:sz="0" w:space="0" w:color="auto"/>
        <w:left w:val="none" w:sz="0" w:space="0" w:color="auto"/>
        <w:bottom w:val="none" w:sz="0" w:space="0" w:color="auto"/>
        <w:right w:val="none" w:sz="0" w:space="0" w:color="auto"/>
      </w:divBdr>
    </w:div>
    <w:div w:id="18717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ug.nl/staff/m.l.m.hertogh/" TargetMode="External" Id="rId13" /><Relationship Type="http://schemas.openxmlformats.org/officeDocument/2006/relationships/hyperlink" Target="https://zoek.officielebekendmakingen.nl/blg-1038174" TargetMode="External" Id="rId18" /><Relationship Type="http://schemas.openxmlformats.org/officeDocument/2006/relationships/image" Target="media/image3.png" Id="rId21" /><Relationship Type="http://schemas.openxmlformats.org/officeDocument/2006/relationships/styles" Target="styles.xml" Id="rId7" /><Relationship Type="http://schemas.openxmlformats.org/officeDocument/2006/relationships/hyperlink" Target="https://research.vu.nl/en/persons/klara-boonstra" TargetMode="External" Id="rId12" /><Relationship Type="http://schemas.openxmlformats.org/officeDocument/2006/relationships/hyperlink" Target="https://zoek.officielebekendmakingen.nl/blg-1038175" TargetMode="External" Id="rId17" /><Relationship Type="http://schemas.openxmlformats.org/officeDocument/2006/relationships/hyperlink" Target="https://zoek.officielebekendmakingen.nl/kst-1038173" TargetMode="External" Id="rId16" /><Relationship Type="http://schemas.openxmlformats.org/officeDocument/2006/relationships/image" Target="media/image2.png"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zoek.officielebekendmakingen.nl/kst-35851-12.html"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image" Target="media/image1.png" Id="rId19" /><Relationship Type="http://schemas.openxmlformats.org/officeDocument/2006/relationships/webSettings" Target="webSettings.xml" Id="rId9" /><Relationship Type="http://schemas.openxmlformats.org/officeDocument/2006/relationships/hyperlink" Target="mailto:m.julicher@tweedekamer.nl"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montesquieu-instituut.nl/id/vklbfxjscqwi/nieuws/de_nederlandse_omgang_met_klokkenluiders" TargetMode="External"/><Relationship Id="rId2" Type="http://schemas.openxmlformats.org/officeDocument/2006/relationships/hyperlink" Target="https://zoek.officielebekendmakingen.nl/kst-35851-7.html" TargetMode="External"/><Relationship Id="rId1" Type="http://schemas.openxmlformats.org/officeDocument/2006/relationships/hyperlink" Target="https://zoek.officielebekendmakingen.nl/dossier/kst-35851-2.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3159</ap:Words>
  <ap:Characters>17380</ap:Characters>
  <ap:DocSecurity>0</ap:DocSecurity>
  <ap:Lines>144</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2022-09-16T11:54:00.0000000Z</lastPrinted>
  <dcterms:created xsi:type="dcterms:W3CDTF">2022-09-29T09:51:00.0000000Z</dcterms:created>
  <dcterms:modified xsi:type="dcterms:W3CDTF">2022-09-29T11:53:00.0000000Z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0x010100903D424A32290B4D82773431592F895F</vt:lpwstr>
  </property>
  <property fmtid="{D5CDD505-2E9C-101B-9397-08002B2CF9AE}" pid="3" name="_dlc_DocIdItemGuid">
    <vt:lpwstr>e2bb126a-1548-4f72-819c-43e9fcb78a1c</vt:lpwstr>
  </property>
</Properties>
</file>