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1DAA" w:rsidR="007D7B81" w:rsidRDefault="008E49B2" w14:paraId="1BF3F48C" w14:textId="3D8089CC">
      <w:pPr>
        <w:rPr>
          <w:rFonts w:ascii="Calibri" w:hAnsi="Calibri" w:cs="Calibri"/>
          <w:sz w:val="22"/>
          <w:szCs w:val="22"/>
          <w:u w:val="single"/>
        </w:rPr>
      </w:pPr>
      <w:r w:rsidRPr="00261DAA">
        <w:rPr>
          <w:rFonts w:ascii="Calibri" w:hAnsi="Calibri" w:cs="Calibri"/>
          <w:sz w:val="22"/>
          <w:szCs w:val="22"/>
          <w:u w:val="single"/>
        </w:rPr>
        <w:t>Gespreksnotitie</w:t>
      </w:r>
    </w:p>
    <w:p w:rsidRPr="00261DAA" w:rsidR="00C82D12" w:rsidRDefault="00C82D12" w14:paraId="787CC6E8" w14:textId="65E7B76D">
      <w:pPr>
        <w:rPr>
          <w:rFonts w:ascii="Calibri" w:hAnsi="Calibri" w:cs="Calibri"/>
          <w:sz w:val="22"/>
          <w:szCs w:val="22"/>
        </w:rPr>
      </w:pPr>
    </w:p>
    <w:p w:rsidRPr="00261DAA" w:rsidR="00C82D12" w:rsidRDefault="00C82D12" w14:paraId="0574C843" w14:textId="59B75BCB">
      <w:pPr>
        <w:rPr>
          <w:rFonts w:ascii="Calibri" w:hAnsi="Calibri" w:cs="Calibri"/>
          <w:b/>
          <w:sz w:val="22"/>
          <w:szCs w:val="22"/>
        </w:rPr>
      </w:pPr>
      <w:r w:rsidRPr="00261DAA">
        <w:rPr>
          <w:rFonts w:ascii="Calibri" w:hAnsi="Calibri" w:cs="Calibri"/>
          <w:b/>
          <w:sz w:val="22"/>
          <w:szCs w:val="22"/>
        </w:rPr>
        <w:t>Wetenschapstoets: Wet Huis voor Klokkenluiders</w:t>
      </w:r>
    </w:p>
    <w:p w:rsidRPr="00261DAA" w:rsidR="00C82D12" w:rsidRDefault="00C82D12" w14:paraId="6A495482" w14:textId="1A3BF04C">
      <w:pPr>
        <w:rPr>
          <w:rFonts w:ascii="Calibri" w:hAnsi="Calibri" w:cs="Calibri"/>
          <w:sz w:val="22"/>
          <w:szCs w:val="22"/>
        </w:rPr>
      </w:pPr>
    </w:p>
    <w:p w:rsidRPr="00261DAA" w:rsidR="00C82D12" w:rsidRDefault="00C82D12" w14:paraId="087E4AC3" w14:textId="2AC9B0E2">
      <w:pPr>
        <w:rPr>
          <w:rFonts w:ascii="Calibri" w:hAnsi="Calibri" w:cs="Calibri"/>
          <w:sz w:val="22"/>
          <w:szCs w:val="22"/>
        </w:rPr>
      </w:pPr>
      <w:r w:rsidRPr="00261DAA">
        <w:rPr>
          <w:rFonts w:ascii="Calibri" w:hAnsi="Calibri" w:cs="Calibri"/>
          <w:sz w:val="22"/>
          <w:szCs w:val="22"/>
        </w:rPr>
        <w:t>Prof. dr. Klara Boonstra, Vrije Universiteit</w:t>
      </w:r>
    </w:p>
    <w:p w:rsidRPr="00261DAA" w:rsidR="00C82D12" w:rsidRDefault="00C82D12" w14:paraId="1A177C28" w14:textId="448FCF8B">
      <w:pPr>
        <w:rPr>
          <w:rFonts w:ascii="Calibri" w:hAnsi="Calibri" w:cs="Calibri"/>
          <w:sz w:val="22"/>
          <w:szCs w:val="22"/>
        </w:rPr>
      </w:pPr>
      <w:r w:rsidRPr="00261DAA">
        <w:rPr>
          <w:rFonts w:ascii="Calibri" w:hAnsi="Calibri" w:cs="Calibri"/>
          <w:sz w:val="22"/>
          <w:szCs w:val="22"/>
        </w:rPr>
        <w:t>Prof. dr. Marc Hertogh, Rijksuniversiteit Groningen</w:t>
      </w:r>
    </w:p>
    <w:p w:rsidR="00C82D12" w:rsidRDefault="00C82D12" w14:paraId="5BC510B3" w14:textId="17AE96B6">
      <w:pPr>
        <w:rPr>
          <w:rFonts w:ascii="Calibri" w:hAnsi="Calibri" w:cs="Calibri"/>
          <w:sz w:val="22"/>
          <w:szCs w:val="22"/>
        </w:rPr>
      </w:pPr>
    </w:p>
    <w:p w:rsidR="00D64E65" w:rsidRDefault="00D64E65" w14:paraId="1FD88A8D" w14:textId="7D541151">
      <w:pPr>
        <w:rPr>
          <w:rFonts w:ascii="Calibri" w:hAnsi="Calibri" w:cs="Calibri"/>
          <w:sz w:val="22"/>
          <w:szCs w:val="22"/>
        </w:rPr>
      </w:pPr>
      <w:r w:rsidRPr="00D64E65">
        <w:rPr>
          <w:rFonts w:ascii="Calibri" w:hAnsi="Calibri" w:cs="Calibri"/>
          <w:b/>
          <w:bCs/>
          <w:sz w:val="22"/>
          <w:szCs w:val="22"/>
        </w:rPr>
        <w:t>NB</w:t>
      </w:r>
      <w:r>
        <w:rPr>
          <w:rFonts w:ascii="Calibri" w:hAnsi="Calibri" w:cs="Calibri"/>
          <w:sz w:val="22"/>
          <w:szCs w:val="22"/>
        </w:rPr>
        <w:t>: de verwijzingen in de tekst hebben betrekking op de eigenlijke wetenschapstoets (u separaat toegestuurd)</w:t>
      </w:r>
    </w:p>
    <w:p w:rsidRPr="00261DAA" w:rsidR="00D64E65" w:rsidRDefault="00D64E65" w14:paraId="5514518E" w14:textId="77777777">
      <w:pPr>
        <w:rPr>
          <w:rFonts w:ascii="Calibri" w:hAnsi="Calibri" w:cs="Calibri"/>
          <w:sz w:val="22"/>
          <w:szCs w:val="22"/>
        </w:rPr>
      </w:pPr>
    </w:p>
    <w:p w:rsidRPr="00261DAA" w:rsidR="00C82D12" w:rsidRDefault="00C82D12" w14:paraId="5AE1F1B1" w14:textId="0C84F354">
      <w:pPr>
        <w:rPr>
          <w:rFonts w:ascii="Calibri" w:hAnsi="Calibri" w:cs="Calibri"/>
          <w:b/>
          <w:sz w:val="22"/>
          <w:szCs w:val="22"/>
        </w:rPr>
      </w:pPr>
      <w:r w:rsidRPr="00261DAA">
        <w:rPr>
          <w:rFonts w:ascii="Calibri" w:hAnsi="Calibri" w:cs="Calibri"/>
          <w:b/>
          <w:sz w:val="22"/>
          <w:szCs w:val="22"/>
        </w:rPr>
        <w:t>1. Algemeen oordeel</w:t>
      </w:r>
    </w:p>
    <w:p w:rsidRPr="00261DAA" w:rsidR="00C82D12" w:rsidRDefault="00C82D12" w14:paraId="63778EAB" w14:textId="7CA915F3">
      <w:pPr>
        <w:rPr>
          <w:rFonts w:ascii="Calibri" w:hAnsi="Calibri" w:cs="Calibri"/>
          <w:sz w:val="22"/>
          <w:szCs w:val="22"/>
          <w:u w:val="single"/>
        </w:rPr>
      </w:pPr>
    </w:p>
    <w:p w:rsidRPr="00261DAA" w:rsidR="008E49B2" w:rsidP="00261DAA" w:rsidRDefault="008E49B2" w14:paraId="47391F24" w14:textId="5DED114A">
      <w:pPr>
        <w:pStyle w:val="Lijstalinea"/>
        <w:numPr>
          <w:ilvl w:val="0"/>
          <w:numId w:val="6"/>
        </w:numPr>
        <w:rPr>
          <w:rFonts w:ascii="Calibri" w:hAnsi="Calibri" w:cs="Calibri"/>
          <w:sz w:val="22"/>
        </w:rPr>
      </w:pPr>
      <w:r w:rsidRPr="00261DAA">
        <w:rPr>
          <w:rFonts w:ascii="Calibri" w:hAnsi="Calibri" w:cs="Calibri"/>
          <w:sz w:val="22"/>
        </w:rPr>
        <w:t xml:space="preserve">Bij de keuze van juridische instrumenten is vooral gekeken naar de EU-richtlijn, maar het is niet duidelijk in hoeverre deze instrumenten een oplossing bieden voor de eerder geconstateerde problemen bij de bescherming van klokkenluiders in ons land (Zie o.a. </w:t>
      </w:r>
      <w:hyperlink w:history="1" r:id="rId7">
        <w:r w:rsidRPr="00261DAA">
          <w:rPr>
            <w:rStyle w:val="Hyperlink"/>
            <w:rFonts w:ascii="Calibri" w:hAnsi="Calibri" w:cs="Calibri"/>
            <w:sz w:val="22"/>
          </w:rPr>
          <w:t>Evaluatie Wet Huis voor klokkenluiders</w:t>
        </w:r>
      </w:hyperlink>
      <w:r w:rsidRPr="00261DAA">
        <w:rPr>
          <w:rFonts w:ascii="Calibri" w:hAnsi="Calibri" w:cs="Calibri"/>
          <w:sz w:val="22"/>
        </w:rPr>
        <w:t xml:space="preserve">; </w:t>
      </w:r>
      <w:hyperlink w:history="1" r:id="rId8">
        <w:r w:rsidRPr="00261DAA">
          <w:rPr>
            <w:rStyle w:val="Hyperlink"/>
            <w:rFonts w:ascii="Calibri" w:hAnsi="Calibri" w:cs="Calibri"/>
            <w:sz w:val="22"/>
          </w:rPr>
          <w:t>Advies Ruys</w:t>
        </w:r>
      </w:hyperlink>
      <w:r w:rsidRPr="00261DAA">
        <w:rPr>
          <w:rFonts w:ascii="Calibri" w:hAnsi="Calibri" w:cs="Calibri"/>
          <w:sz w:val="22"/>
        </w:rPr>
        <w:t xml:space="preserve">; </w:t>
      </w:r>
      <w:hyperlink w:history="1" r:id="rId9">
        <w:r w:rsidRPr="00261DAA">
          <w:rPr>
            <w:rStyle w:val="Hyperlink"/>
            <w:rFonts w:ascii="Calibri" w:hAnsi="Calibri" w:cs="Calibri"/>
            <w:sz w:val="22"/>
          </w:rPr>
          <w:t>Advies Van Zutphen</w:t>
        </w:r>
      </w:hyperlink>
      <w:r w:rsidRPr="00261DAA">
        <w:rPr>
          <w:rFonts w:ascii="Calibri" w:hAnsi="Calibri" w:cs="Calibri"/>
          <w:sz w:val="22"/>
        </w:rPr>
        <w:t>) (</w:t>
      </w:r>
      <w:r w:rsidRPr="00D64E65" w:rsidR="00D64E65">
        <w:rPr>
          <w:rFonts w:ascii="Calibri" w:hAnsi="Calibri" w:cs="Calibri"/>
          <w:i/>
          <w:iCs/>
          <w:sz w:val="22"/>
        </w:rPr>
        <w:t xml:space="preserve">zie </w:t>
      </w:r>
      <w:r w:rsidR="00D64E65">
        <w:rPr>
          <w:rFonts w:ascii="Calibri" w:hAnsi="Calibri" w:cs="Calibri"/>
          <w:i/>
          <w:iCs/>
          <w:sz w:val="22"/>
        </w:rPr>
        <w:t xml:space="preserve">wetenschapstoets </w:t>
      </w:r>
      <w:r w:rsidRPr="00D64E65" w:rsidR="00D64E65">
        <w:rPr>
          <w:rFonts w:ascii="Calibri" w:hAnsi="Calibri" w:cs="Calibri"/>
          <w:i/>
          <w:iCs/>
          <w:sz w:val="22"/>
        </w:rPr>
        <w:t>sub</w:t>
      </w:r>
      <w:r w:rsidR="00D64E65">
        <w:rPr>
          <w:rFonts w:ascii="Calibri" w:hAnsi="Calibri" w:cs="Calibri"/>
          <w:sz w:val="22"/>
        </w:rPr>
        <w:t xml:space="preserve"> </w:t>
      </w:r>
      <w:r w:rsidRPr="00261DAA">
        <w:rPr>
          <w:rFonts w:ascii="Calibri" w:hAnsi="Calibri" w:cs="Calibri"/>
          <w:i/>
          <w:iCs/>
          <w:sz w:val="22"/>
        </w:rPr>
        <w:t>3. Ingezette beleidsinstrumenten</w:t>
      </w:r>
      <w:r w:rsidRPr="00261DAA">
        <w:rPr>
          <w:rFonts w:ascii="Calibri" w:hAnsi="Calibri" w:cs="Calibri"/>
          <w:sz w:val="22"/>
        </w:rPr>
        <w:t xml:space="preserve">). </w:t>
      </w:r>
    </w:p>
    <w:p w:rsidRPr="00261DAA" w:rsidR="00C82D12" w:rsidP="00261DAA" w:rsidRDefault="00C82D12" w14:paraId="2E0346B0" w14:textId="1A9D83F6">
      <w:pPr>
        <w:pStyle w:val="Lijstalinea"/>
        <w:numPr>
          <w:ilvl w:val="0"/>
          <w:numId w:val="6"/>
        </w:numPr>
        <w:rPr>
          <w:rFonts w:ascii="Calibri" w:hAnsi="Calibri" w:cs="Calibri"/>
          <w:sz w:val="22"/>
        </w:rPr>
      </w:pPr>
      <w:r w:rsidRPr="00261DAA">
        <w:rPr>
          <w:rFonts w:ascii="Calibri" w:hAnsi="Calibri" w:cs="Calibri"/>
          <w:sz w:val="22"/>
        </w:rPr>
        <w:t xml:space="preserve">De wet die nu voorligt is wél in overeenstemming met de </w:t>
      </w:r>
      <w:r w:rsidRPr="00261DAA">
        <w:rPr>
          <w:rFonts w:ascii="Calibri" w:hAnsi="Calibri" w:cs="Calibri"/>
          <w:iCs/>
          <w:sz w:val="22"/>
        </w:rPr>
        <w:t>letter</w:t>
      </w:r>
      <w:r w:rsidRPr="00261DAA">
        <w:rPr>
          <w:rFonts w:ascii="Calibri" w:hAnsi="Calibri" w:cs="Calibri"/>
          <w:sz w:val="22"/>
        </w:rPr>
        <w:t xml:space="preserve">, maar níet in overeenstemming met de </w:t>
      </w:r>
      <w:r w:rsidRPr="00261DAA">
        <w:rPr>
          <w:rFonts w:ascii="Calibri" w:hAnsi="Calibri" w:cs="Calibri"/>
          <w:iCs/>
          <w:sz w:val="22"/>
        </w:rPr>
        <w:t>geest</w:t>
      </w:r>
      <w:r w:rsidRPr="00261DAA">
        <w:rPr>
          <w:rFonts w:ascii="Calibri" w:hAnsi="Calibri" w:cs="Calibri"/>
          <w:sz w:val="22"/>
        </w:rPr>
        <w:t xml:space="preserve"> van de E</w:t>
      </w:r>
      <w:r w:rsidR="00D64E65">
        <w:rPr>
          <w:rFonts w:ascii="Calibri" w:hAnsi="Calibri" w:cs="Calibri"/>
          <w:sz w:val="22"/>
        </w:rPr>
        <w:t>U-r</w:t>
      </w:r>
      <w:r w:rsidRPr="00261DAA">
        <w:rPr>
          <w:rFonts w:ascii="Calibri" w:hAnsi="Calibri" w:cs="Calibri"/>
          <w:sz w:val="22"/>
        </w:rPr>
        <w:t>ichtlijn</w:t>
      </w:r>
      <w:r w:rsidRPr="00261DAA" w:rsidR="006174E2">
        <w:rPr>
          <w:rFonts w:ascii="Calibri" w:hAnsi="Calibri" w:cs="Calibri"/>
          <w:sz w:val="22"/>
        </w:rPr>
        <w:t xml:space="preserve"> (</w:t>
      </w:r>
      <w:r w:rsidRPr="00D64E65" w:rsidR="00D64E65">
        <w:rPr>
          <w:rFonts w:ascii="Calibri" w:hAnsi="Calibri" w:cs="Calibri"/>
          <w:i/>
          <w:iCs/>
          <w:sz w:val="22"/>
        </w:rPr>
        <w:t>zie wetenschapstoets sub</w:t>
      </w:r>
      <w:r w:rsidR="00D64E65">
        <w:rPr>
          <w:rFonts w:ascii="Calibri" w:hAnsi="Calibri" w:cs="Calibri"/>
          <w:sz w:val="22"/>
        </w:rPr>
        <w:t xml:space="preserve"> </w:t>
      </w:r>
      <w:r w:rsidRPr="00261DAA" w:rsidR="006174E2">
        <w:rPr>
          <w:rFonts w:ascii="Calibri" w:hAnsi="Calibri" w:cs="Calibri"/>
          <w:i/>
          <w:sz w:val="22"/>
        </w:rPr>
        <w:t>4. Doeltreffendheid</w:t>
      </w:r>
      <w:r w:rsidRPr="00261DAA" w:rsidR="006174E2">
        <w:rPr>
          <w:rFonts w:ascii="Calibri" w:hAnsi="Calibri" w:cs="Calibri"/>
          <w:sz w:val="22"/>
        </w:rPr>
        <w:t>)</w:t>
      </w:r>
      <w:r w:rsidRPr="00261DAA">
        <w:rPr>
          <w:rFonts w:ascii="Calibri" w:hAnsi="Calibri" w:cs="Calibri"/>
          <w:sz w:val="22"/>
        </w:rPr>
        <w:t xml:space="preserve">. </w:t>
      </w:r>
    </w:p>
    <w:p w:rsidRPr="00D64E65" w:rsidR="00261DAA" w:rsidP="00D64E65" w:rsidRDefault="00C82D12" w14:paraId="7F07BE89" w14:textId="790BE179">
      <w:pPr>
        <w:pStyle w:val="Lijstalinea"/>
        <w:numPr>
          <w:ilvl w:val="0"/>
          <w:numId w:val="6"/>
        </w:numPr>
        <w:rPr>
          <w:rFonts w:ascii="Calibri" w:hAnsi="Calibri" w:cs="Calibri"/>
          <w:sz w:val="22"/>
        </w:rPr>
      </w:pPr>
      <w:r w:rsidRPr="00261DAA">
        <w:rPr>
          <w:rFonts w:ascii="Calibri" w:hAnsi="Calibri" w:cs="Calibri"/>
          <w:sz w:val="22"/>
        </w:rPr>
        <w:t xml:space="preserve">De wet die nu voorligt leidt waarschijnlijk niet tot doeltreffende bescherming van klokkenluiders en </w:t>
      </w:r>
      <w:r w:rsidR="00D64E65">
        <w:rPr>
          <w:rFonts w:ascii="Calibri" w:hAnsi="Calibri" w:cs="Calibri"/>
          <w:sz w:val="22"/>
        </w:rPr>
        <w:t xml:space="preserve">tot </w:t>
      </w:r>
      <w:r w:rsidRPr="00261DAA">
        <w:rPr>
          <w:rFonts w:ascii="Calibri" w:hAnsi="Calibri" w:cs="Calibri"/>
          <w:sz w:val="22"/>
        </w:rPr>
        <w:t>de oplossing van maatschappelijke misstanden</w:t>
      </w:r>
      <w:r w:rsidRPr="00261DAA" w:rsidR="006174E2">
        <w:rPr>
          <w:rFonts w:ascii="Calibri" w:hAnsi="Calibri" w:cs="Calibri"/>
          <w:sz w:val="22"/>
        </w:rPr>
        <w:t xml:space="preserve"> (</w:t>
      </w:r>
      <w:r w:rsidR="00D64E65">
        <w:rPr>
          <w:rFonts w:ascii="Calibri" w:hAnsi="Calibri" w:cs="Calibri"/>
          <w:sz w:val="22"/>
        </w:rPr>
        <w:t xml:space="preserve">sub </w:t>
      </w:r>
      <w:r w:rsidRPr="00261DAA" w:rsidR="006174E2">
        <w:rPr>
          <w:rFonts w:ascii="Calibri" w:hAnsi="Calibri" w:cs="Calibri"/>
          <w:i/>
          <w:sz w:val="22"/>
        </w:rPr>
        <w:t>4. Doeltreffendheid</w:t>
      </w:r>
      <w:r w:rsidRPr="00261DAA" w:rsidR="006174E2">
        <w:rPr>
          <w:rFonts w:ascii="Calibri" w:hAnsi="Calibri" w:cs="Calibri"/>
          <w:sz w:val="22"/>
        </w:rPr>
        <w:t>)</w:t>
      </w:r>
      <w:r w:rsidR="00D64E65">
        <w:rPr>
          <w:rFonts w:ascii="Calibri" w:hAnsi="Calibri" w:cs="Calibri"/>
          <w:sz w:val="22"/>
        </w:rPr>
        <w:t>.</w:t>
      </w:r>
    </w:p>
    <w:p w:rsidRPr="00261DAA" w:rsidR="0099345A" w:rsidP="00261DAA" w:rsidRDefault="00C82D12" w14:paraId="06C892FE" w14:textId="332F72A0">
      <w:pPr>
        <w:pStyle w:val="Lijstalinea"/>
        <w:numPr>
          <w:ilvl w:val="0"/>
          <w:numId w:val="6"/>
        </w:numPr>
        <w:rPr>
          <w:rFonts w:ascii="Calibri" w:hAnsi="Calibri" w:cs="Calibri"/>
          <w:sz w:val="22"/>
        </w:rPr>
      </w:pPr>
      <w:r w:rsidRPr="00261DAA">
        <w:rPr>
          <w:rFonts w:ascii="Calibri" w:hAnsi="Calibri" w:cs="Calibri"/>
          <w:sz w:val="22"/>
        </w:rPr>
        <w:t xml:space="preserve">De drie belangrijkste tekortkomingen hebben betrekking op: </w:t>
      </w:r>
    </w:p>
    <w:p w:rsidRPr="00261DAA" w:rsidR="00D31BBC" w:rsidP="00D31BBC" w:rsidRDefault="00261DAA" w14:paraId="21FC23E3" w14:textId="25C76696">
      <w:pPr>
        <w:pStyle w:val="Lijstalinea"/>
        <w:numPr>
          <w:ilvl w:val="0"/>
          <w:numId w:val="4"/>
        </w:numPr>
        <w:rPr>
          <w:rFonts w:ascii="Calibri" w:hAnsi="Calibri" w:cs="Calibri"/>
          <w:sz w:val="22"/>
        </w:rPr>
      </w:pPr>
      <w:r>
        <w:rPr>
          <w:rFonts w:ascii="Calibri" w:hAnsi="Calibri" w:cs="Calibri"/>
          <w:sz w:val="22"/>
        </w:rPr>
        <w:t>D</w:t>
      </w:r>
      <w:r w:rsidRPr="00261DAA" w:rsidR="00D31BBC">
        <w:rPr>
          <w:rFonts w:ascii="Calibri" w:hAnsi="Calibri" w:cs="Calibri"/>
          <w:sz w:val="22"/>
        </w:rPr>
        <w:t xml:space="preserve">e toegankelijkheid van de </w:t>
      </w:r>
      <w:r w:rsidRPr="00261DAA" w:rsidR="00A17621">
        <w:rPr>
          <w:rFonts w:ascii="Calibri" w:hAnsi="Calibri" w:cs="Calibri"/>
          <w:sz w:val="22"/>
        </w:rPr>
        <w:t>bescherming die de wet biedt</w:t>
      </w:r>
    </w:p>
    <w:p w:rsidRPr="00261DAA" w:rsidR="00D31BBC" w:rsidP="00D31BBC" w:rsidRDefault="00261DAA" w14:paraId="0E39A330" w14:textId="2D196183">
      <w:pPr>
        <w:pStyle w:val="Lijstalinea"/>
        <w:numPr>
          <w:ilvl w:val="0"/>
          <w:numId w:val="4"/>
        </w:numPr>
        <w:rPr>
          <w:rFonts w:ascii="Calibri" w:hAnsi="Calibri" w:cs="Calibri"/>
          <w:sz w:val="22"/>
        </w:rPr>
      </w:pPr>
      <w:r>
        <w:rPr>
          <w:rFonts w:ascii="Calibri" w:hAnsi="Calibri" w:cs="Calibri"/>
          <w:sz w:val="22"/>
        </w:rPr>
        <w:t>D</w:t>
      </w:r>
      <w:r w:rsidRPr="00261DAA" w:rsidR="00C82D12">
        <w:rPr>
          <w:rFonts w:ascii="Calibri" w:hAnsi="Calibri" w:cs="Calibri"/>
          <w:sz w:val="22"/>
        </w:rPr>
        <w:t xml:space="preserve">e </w:t>
      </w:r>
      <w:r w:rsidRPr="00261DAA" w:rsidR="00D31BBC">
        <w:rPr>
          <w:rFonts w:ascii="Calibri" w:hAnsi="Calibri" w:cs="Calibri"/>
          <w:sz w:val="22"/>
        </w:rPr>
        <w:t>relatie met het arbeidsrecht</w:t>
      </w:r>
    </w:p>
    <w:p w:rsidRPr="00261DAA" w:rsidR="00C82D12" w:rsidP="00D31BBC" w:rsidRDefault="00261DAA" w14:paraId="69817F6B" w14:textId="4B1DF7FF">
      <w:pPr>
        <w:pStyle w:val="Lijstalinea"/>
        <w:numPr>
          <w:ilvl w:val="0"/>
          <w:numId w:val="4"/>
        </w:numPr>
        <w:rPr>
          <w:rFonts w:ascii="Calibri" w:hAnsi="Calibri" w:cs="Calibri"/>
          <w:sz w:val="22"/>
        </w:rPr>
      </w:pPr>
      <w:r>
        <w:rPr>
          <w:rFonts w:ascii="Calibri" w:hAnsi="Calibri" w:cs="Calibri"/>
          <w:sz w:val="22"/>
        </w:rPr>
        <w:t>H</w:t>
      </w:r>
      <w:r w:rsidRPr="00261DAA" w:rsidR="00C82D12">
        <w:rPr>
          <w:rFonts w:ascii="Calibri" w:hAnsi="Calibri" w:cs="Calibri"/>
          <w:sz w:val="22"/>
        </w:rPr>
        <w:t>et toe</w:t>
      </w:r>
      <w:r w:rsidRPr="00261DAA" w:rsidR="00D31BBC">
        <w:rPr>
          <w:rFonts w:ascii="Calibri" w:hAnsi="Calibri" w:cs="Calibri"/>
          <w:sz w:val="22"/>
        </w:rPr>
        <w:t xml:space="preserve">zicht </w:t>
      </w:r>
      <w:r w:rsidRPr="00261DAA" w:rsidR="00A17621">
        <w:rPr>
          <w:rFonts w:ascii="Calibri" w:hAnsi="Calibri" w:cs="Calibri"/>
          <w:sz w:val="22"/>
        </w:rPr>
        <w:t xml:space="preserve">op en de handhaving </w:t>
      </w:r>
      <w:r w:rsidRPr="00261DAA" w:rsidR="00D31BBC">
        <w:rPr>
          <w:rFonts w:ascii="Calibri" w:hAnsi="Calibri" w:cs="Calibri"/>
          <w:sz w:val="22"/>
        </w:rPr>
        <w:t>van de wet</w:t>
      </w:r>
    </w:p>
    <w:p w:rsidRPr="00261DAA" w:rsidR="00041B64" w:rsidRDefault="00C82D12" w14:paraId="18D2EFD9" w14:textId="4AFB24E3">
      <w:pPr>
        <w:rPr>
          <w:rFonts w:ascii="Calibri" w:hAnsi="Calibri" w:cs="Calibri"/>
          <w:b/>
          <w:bCs/>
          <w:sz w:val="22"/>
          <w:szCs w:val="22"/>
        </w:rPr>
      </w:pPr>
      <w:r w:rsidRPr="00261DAA">
        <w:rPr>
          <w:rFonts w:ascii="Calibri" w:hAnsi="Calibri" w:cs="Calibri"/>
          <w:b/>
          <w:bCs/>
          <w:sz w:val="22"/>
          <w:szCs w:val="22"/>
        </w:rPr>
        <w:t>2. Toegankelijkheid van de</w:t>
      </w:r>
      <w:r w:rsidRPr="00261DAA" w:rsidR="00A17621">
        <w:rPr>
          <w:rFonts w:ascii="Calibri" w:hAnsi="Calibri" w:cs="Calibri"/>
          <w:b/>
          <w:bCs/>
          <w:sz w:val="22"/>
          <w:szCs w:val="22"/>
        </w:rPr>
        <w:t xml:space="preserve"> bescherming die de wet biedt</w:t>
      </w:r>
    </w:p>
    <w:p w:rsidRPr="00261DAA" w:rsidR="00041B64" w:rsidRDefault="00041B64" w14:paraId="38C7344E" w14:textId="5D24FAEA">
      <w:pPr>
        <w:rPr>
          <w:rFonts w:ascii="Calibri" w:hAnsi="Calibri" w:cs="Calibri"/>
          <w:sz w:val="22"/>
          <w:szCs w:val="22"/>
        </w:rPr>
      </w:pPr>
    </w:p>
    <w:p w:rsidRPr="00261DAA" w:rsidR="0099345A" w:rsidP="00261DAA" w:rsidRDefault="0099345A" w14:paraId="11621E07" w14:textId="5E81FC0C">
      <w:pPr>
        <w:pStyle w:val="Lijstalinea"/>
        <w:numPr>
          <w:ilvl w:val="0"/>
          <w:numId w:val="6"/>
        </w:numPr>
        <w:rPr>
          <w:rFonts w:ascii="Calibri" w:hAnsi="Calibri" w:cs="Calibri"/>
          <w:sz w:val="22"/>
        </w:rPr>
      </w:pPr>
      <w:r w:rsidRPr="00261DAA">
        <w:rPr>
          <w:rFonts w:ascii="Calibri" w:hAnsi="Calibri" w:cs="Calibri"/>
          <w:sz w:val="22"/>
        </w:rPr>
        <w:t>De definitie van ‘maatschappelijk belang’ leidt tot onduidelijkheid en kan potenti</w:t>
      </w:r>
      <w:r w:rsidRPr="00261DAA" w:rsidR="008E49B2">
        <w:rPr>
          <w:rFonts w:ascii="Calibri" w:hAnsi="Calibri" w:cs="Calibri"/>
          <w:sz w:val="22"/>
        </w:rPr>
        <w:t>ë</w:t>
      </w:r>
      <w:r w:rsidRPr="00261DAA">
        <w:rPr>
          <w:rFonts w:ascii="Calibri" w:hAnsi="Calibri" w:cs="Calibri"/>
          <w:sz w:val="22"/>
        </w:rPr>
        <w:t>le melders ervan weerhouden om een melding te doen</w:t>
      </w:r>
      <w:r w:rsidRPr="00261DAA" w:rsidR="006174E2">
        <w:rPr>
          <w:rFonts w:ascii="Calibri" w:hAnsi="Calibri" w:cs="Calibri"/>
          <w:sz w:val="22"/>
        </w:rPr>
        <w:t xml:space="preserve"> (</w:t>
      </w:r>
      <w:r w:rsidRPr="00D64E65" w:rsidR="00D64E65">
        <w:rPr>
          <w:rFonts w:ascii="Calibri" w:hAnsi="Calibri" w:cs="Calibri"/>
          <w:i/>
          <w:iCs/>
          <w:sz w:val="22"/>
        </w:rPr>
        <w:t>sub</w:t>
      </w:r>
      <w:r w:rsidR="00D64E65">
        <w:rPr>
          <w:rFonts w:ascii="Calibri" w:hAnsi="Calibri" w:cs="Calibri"/>
          <w:sz w:val="22"/>
        </w:rPr>
        <w:t xml:space="preserve"> </w:t>
      </w:r>
      <w:r w:rsidRPr="00261DAA" w:rsidR="006174E2">
        <w:rPr>
          <w:rFonts w:ascii="Calibri" w:hAnsi="Calibri" w:cs="Calibri"/>
          <w:i/>
          <w:sz w:val="22"/>
        </w:rPr>
        <w:t>3. Ingezette beleidsinstrumenten</w:t>
      </w:r>
      <w:r w:rsidRPr="00261DAA" w:rsidR="006174E2">
        <w:rPr>
          <w:rFonts w:ascii="Calibri" w:hAnsi="Calibri" w:cs="Calibri"/>
          <w:sz w:val="22"/>
        </w:rPr>
        <w:t>)</w:t>
      </w:r>
      <w:r w:rsidRPr="00261DAA">
        <w:rPr>
          <w:rFonts w:ascii="Calibri" w:hAnsi="Calibri" w:cs="Calibri"/>
          <w:sz w:val="22"/>
        </w:rPr>
        <w:t xml:space="preserve">. </w:t>
      </w:r>
    </w:p>
    <w:p w:rsidRPr="00D64E65" w:rsidR="008E49B2" w:rsidP="00261DAA" w:rsidRDefault="0099345A" w14:paraId="11FA6DC9" w14:textId="374EC09D">
      <w:pPr>
        <w:pStyle w:val="Lijstalinea"/>
        <w:numPr>
          <w:ilvl w:val="0"/>
          <w:numId w:val="6"/>
        </w:numPr>
        <w:rPr>
          <w:rFonts w:ascii="Calibri" w:hAnsi="Calibri" w:cs="Calibri"/>
          <w:sz w:val="22"/>
        </w:rPr>
      </w:pPr>
      <w:r w:rsidRPr="00261DAA">
        <w:rPr>
          <w:rFonts w:ascii="Calibri" w:hAnsi="Calibri" w:cs="Calibri"/>
          <w:i/>
          <w:sz w:val="22"/>
        </w:rPr>
        <w:t>Aanbeveling</w:t>
      </w:r>
      <w:r w:rsidRPr="00261DAA" w:rsidR="006174E2">
        <w:rPr>
          <w:rFonts w:ascii="Calibri" w:hAnsi="Calibri" w:cs="Calibri"/>
          <w:i/>
          <w:sz w:val="22"/>
        </w:rPr>
        <w:t xml:space="preserve"> 2</w:t>
      </w:r>
      <w:r w:rsidRPr="00261DAA">
        <w:rPr>
          <w:rFonts w:ascii="Calibri" w:hAnsi="Calibri" w:cs="Calibri"/>
          <w:sz w:val="22"/>
        </w:rPr>
        <w:t>: leg (a.d.h.v. een reeks criteria) wettelijk vast wat wordt verstaan onder ‘maatschappelijk belang’ (vergelijkbaar met bijv. de ‘</w:t>
      </w:r>
      <w:r w:rsidRPr="00D64E65">
        <w:rPr>
          <w:rFonts w:ascii="Calibri" w:hAnsi="Calibri" w:cs="Calibri"/>
          <w:sz w:val="22"/>
        </w:rPr>
        <w:t>public interest test’</w:t>
      </w:r>
      <w:r w:rsidRPr="00261DAA">
        <w:rPr>
          <w:rFonts w:ascii="Calibri" w:hAnsi="Calibri" w:cs="Calibri"/>
          <w:sz w:val="22"/>
        </w:rPr>
        <w:t xml:space="preserve"> in het VK).</w:t>
      </w:r>
    </w:p>
    <w:p w:rsidRPr="00261DAA" w:rsidR="008E49B2" w:rsidP="00261DAA" w:rsidRDefault="008E49B2" w14:paraId="1E34A296" w14:textId="133144EC">
      <w:pPr>
        <w:pStyle w:val="Lijstalinea"/>
        <w:numPr>
          <w:ilvl w:val="0"/>
          <w:numId w:val="6"/>
        </w:numPr>
        <w:rPr>
          <w:rFonts w:ascii="Calibri" w:hAnsi="Calibri" w:cs="Calibri"/>
          <w:sz w:val="22"/>
        </w:rPr>
      </w:pPr>
      <w:r w:rsidRPr="00261DAA">
        <w:rPr>
          <w:rFonts w:ascii="Calibri" w:hAnsi="Calibri" w:cs="Calibri"/>
          <w:sz w:val="22"/>
        </w:rPr>
        <w:t>Het is onduidelijk waarom de instelling van een fonds voor klokkenluiders nog langer moet worden uitgesteld (zie ook artikel 20, lid 2, EU Richtlijn). Veel melders ondervinden negatieve financiële gevolgen van hun melding. Waarom wachten op de uitkomst van de pilots? Die leveren hoogstens informatie op t.b.v. financiële uitwerking (</w:t>
      </w:r>
      <w:r w:rsidR="00D64E65">
        <w:rPr>
          <w:rFonts w:ascii="Calibri" w:hAnsi="Calibri" w:cs="Calibri"/>
          <w:i/>
          <w:iCs/>
          <w:sz w:val="22"/>
        </w:rPr>
        <w:t xml:space="preserve">sub </w:t>
      </w:r>
      <w:r w:rsidRPr="00261DAA" w:rsidR="0025383F">
        <w:rPr>
          <w:rFonts w:ascii="Calibri" w:hAnsi="Calibri" w:cs="Calibri"/>
          <w:i/>
          <w:iCs/>
          <w:sz w:val="22"/>
        </w:rPr>
        <w:t>3. Ingezette beleidsinstrumenten</w:t>
      </w:r>
      <w:r w:rsidRPr="00261DAA" w:rsidR="0025383F">
        <w:rPr>
          <w:rFonts w:ascii="Calibri" w:hAnsi="Calibri" w:cs="Calibri"/>
          <w:sz w:val="22"/>
        </w:rPr>
        <w:t>)</w:t>
      </w:r>
      <w:r w:rsidRPr="00261DAA">
        <w:rPr>
          <w:rFonts w:ascii="Calibri" w:hAnsi="Calibri" w:cs="Calibri"/>
          <w:sz w:val="22"/>
        </w:rPr>
        <w:t xml:space="preserve">. </w:t>
      </w:r>
    </w:p>
    <w:p w:rsidRPr="00261DAA" w:rsidR="0099345A" w:rsidP="00041B64" w:rsidRDefault="00587716" w14:paraId="481FAA09" w14:textId="2AE1CAB1">
      <w:pPr>
        <w:pStyle w:val="Lijstalinea"/>
        <w:numPr>
          <w:ilvl w:val="0"/>
          <w:numId w:val="6"/>
        </w:numPr>
        <w:rPr>
          <w:rFonts w:ascii="Calibri" w:hAnsi="Calibri" w:cs="Calibri"/>
          <w:sz w:val="22"/>
        </w:rPr>
      </w:pPr>
      <w:r w:rsidRPr="00261DAA">
        <w:rPr>
          <w:rFonts w:ascii="Calibri" w:hAnsi="Calibri" w:cs="Calibri"/>
          <w:bCs/>
          <w:i/>
          <w:iCs/>
          <w:sz w:val="22"/>
        </w:rPr>
        <w:t>Aanbeveling</w:t>
      </w:r>
      <w:r w:rsidRPr="00261DAA" w:rsidR="006174E2">
        <w:rPr>
          <w:rFonts w:ascii="Calibri" w:hAnsi="Calibri" w:cs="Calibri"/>
          <w:bCs/>
          <w:i/>
          <w:iCs/>
          <w:sz w:val="22"/>
        </w:rPr>
        <w:t xml:space="preserve"> 7</w:t>
      </w:r>
      <w:r w:rsidRPr="00261DAA">
        <w:rPr>
          <w:rFonts w:ascii="Calibri" w:hAnsi="Calibri" w:cs="Calibri"/>
          <w:iCs/>
          <w:sz w:val="22"/>
        </w:rPr>
        <w:t>: maak haast met het wettelijk instellen van een fonds voor klokkenluiders.</w:t>
      </w:r>
    </w:p>
    <w:p w:rsidRPr="00261DAA" w:rsidR="0099345A" w:rsidP="00041B64" w:rsidRDefault="0099345A" w14:paraId="1FC476CA" w14:textId="380A5AF9">
      <w:pPr>
        <w:rPr>
          <w:rFonts w:ascii="Calibri" w:hAnsi="Calibri" w:cs="Calibri"/>
          <w:b/>
          <w:sz w:val="22"/>
          <w:szCs w:val="22"/>
        </w:rPr>
      </w:pPr>
      <w:r w:rsidRPr="00261DAA">
        <w:rPr>
          <w:rFonts w:ascii="Calibri" w:hAnsi="Calibri" w:cs="Calibri"/>
          <w:b/>
          <w:sz w:val="22"/>
          <w:szCs w:val="22"/>
        </w:rPr>
        <w:t>3. Relatie met het arbeidsrecht</w:t>
      </w:r>
      <w:r w:rsidRPr="00261DAA" w:rsidR="00E427DE">
        <w:rPr>
          <w:rFonts w:ascii="Calibri" w:hAnsi="Calibri" w:cs="Calibri"/>
          <w:b/>
          <w:sz w:val="22"/>
          <w:szCs w:val="22"/>
        </w:rPr>
        <w:t xml:space="preserve"> </w:t>
      </w:r>
      <w:r w:rsidRPr="00261DAA" w:rsidR="00E427DE">
        <w:rPr>
          <w:rFonts w:ascii="Calibri" w:hAnsi="Calibri" w:cs="Calibri"/>
          <w:sz w:val="22"/>
          <w:szCs w:val="22"/>
        </w:rPr>
        <w:t>(</w:t>
      </w:r>
      <w:r w:rsidRPr="00261DAA" w:rsidR="00E427DE">
        <w:rPr>
          <w:rFonts w:ascii="Calibri" w:hAnsi="Calibri" w:cs="Calibri"/>
          <w:i/>
          <w:iCs/>
          <w:sz w:val="22"/>
          <w:szCs w:val="22"/>
        </w:rPr>
        <w:t>Aanbeveling 11</w:t>
      </w:r>
      <w:r w:rsidRPr="00261DAA" w:rsidR="00E427DE">
        <w:rPr>
          <w:rFonts w:ascii="Calibri" w:hAnsi="Calibri" w:cs="Calibri"/>
          <w:sz w:val="22"/>
          <w:szCs w:val="22"/>
        </w:rPr>
        <w:t>)</w:t>
      </w:r>
    </w:p>
    <w:p w:rsidRPr="00261DAA" w:rsidR="0099345A" w:rsidP="00041B64" w:rsidRDefault="0099345A" w14:paraId="70090E76" w14:textId="267CB4A9">
      <w:pPr>
        <w:rPr>
          <w:rFonts w:ascii="Calibri" w:hAnsi="Calibri" w:cs="Calibri"/>
          <w:sz w:val="22"/>
          <w:szCs w:val="22"/>
        </w:rPr>
      </w:pPr>
    </w:p>
    <w:p w:rsidRPr="00261DAA" w:rsidR="0099345A" w:rsidP="00261DAA" w:rsidRDefault="00E427DE" w14:paraId="192B9189" w14:textId="1F3D723A">
      <w:pPr>
        <w:pStyle w:val="Lijstalinea"/>
        <w:numPr>
          <w:ilvl w:val="0"/>
          <w:numId w:val="6"/>
        </w:numPr>
        <w:rPr>
          <w:rFonts w:ascii="Calibri" w:hAnsi="Calibri" w:cs="Calibri"/>
          <w:sz w:val="22"/>
        </w:rPr>
      </w:pPr>
      <w:r w:rsidRPr="00261DAA">
        <w:rPr>
          <w:rFonts w:ascii="Calibri" w:hAnsi="Calibri" w:cs="Calibri"/>
          <w:sz w:val="22"/>
        </w:rPr>
        <w:t xml:space="preserve">Uit de gepubliceerde jurisprudentie blijkt dat klokkenluiders in de rechtspraak onvoldoende erkend worden. Waarom is daarvan geen analyse gemaakt opdat de wetgeving een remedie kan bieden? </w:t>
      </w:r>
    </w:p>
    <w:p w:rsidRPr="00261DAA" w:rsidR="006174E2" w:rsidP="00261DAA" w:rsidRDefault="00E427DE" w14:paraId="51749857" w14:textId="0AF2EFD3">
      <w:pPr>
        <w:pStyle w:val="Lijstalinea"/>
        <w:numPr>
          <w:ilvl w:val="0"/>
          <w:numId w:val="6"/>
        </w:numPr>
        <w:rPr>
          <w:rFonts w:ascii="Calibri" w:hAnsi="Calibri" w:cs="Calibri"/>
          <w:sz w:val="22"/>
        </w:rPr>
      </w:pPr>
      <w:r w:rsidRPr="00261DAA">
        <w:rPr>
          <w:rFonts w:ascii="Calibri" w:hAnsi="Calibri" w:cs="Calibri"/>
          <w:sz w:val="22"/>
        </w:rPr>
        <w:t>De arbeidswetgeving kent instrumenten ter bescherming van werkenden die een bepaalde positie bekleden</w:t>
      </w:r>
      <w:r w:rsidRPr="00261DAA" w:rsidR="007E1681">
        <w:rPr>
          <w:rFonts w:ascii="Calibri" w:hAnsi="Calibri" w:cs="Calibri"/>
          <w:sz w:val="22"/>
        </w:rPr>
        <w:t>, zoals opzegverboden</w:t>
      </w:r>
      <w:r w:rsidRPr="00261DAA">
        <w:rPr>
          <w:rFonts w:ascii="Calibri" w:hAnsi="Calibri" w:cs="Calibri"/>
          <w:sz w:val="22"/>
        </w:rPr>
        <w:t xml:space="preserve">. Waarom dit niet uitbreiden tot degenen die maatschappelijke misstanden terecht aankaarten? </w:t>
      </w:r>
    </w:p>
    <w:p w:rsidRPr="00261DAA" w:rsidR="006174E2" w:rsidP="00261DAA" w:rsidRDefault="00E427DE" w14:paraId="44D24673" w14:textId="2EA2D564">
      <w:pPr>
        <w:pStyle w:val="Lijstalinea"/>
        <w:numPr>
          <w:ilvl w:val="0"/>
          <w:numId w:val="8"/>
        </w:numPr>
        <w:rPr>
          <w:rFonts w:ascii="Calibri" w:hAnsi="Calibri" w:cs="Calibri"/>
          <w:sz w:val="22"/>
        </w:rPr>
      </w:pPr>
      <w:r w:rsidRPr="00261DAA">
        <w:rPr>
          <w:rFonts w:ascii="Calibri" w:hAnsi="Calibri" w:cs="Calibri"/>
          <w:sz w:val="22"/>
        </w:rPr>
        <w:t xml:space="preserve">Hoe komt het dat </w:t>
      </w:r>
      <w:r w:rsidRPr="00261DAA" w:rsidR="007E1681">
        <w:rPr>
          <w:rFonts w:ascii="Calibri" w:hAnsi="Calibri" w:cs="Calibri"/>
          <w:sz w:val="22"/>
        </w:rPr>
        <w:t xml:space="preserve">blijkt dat </w:t>
      </w:r>
      <w:r w:rsidRPr="00261DAA">
        <w:rPr>
          <w:rFonts w:ascii="Calibri" w:hAnsi="Calibri" w:cs="Calibri"/>
          <w:sz w:val="22"/>
        </w:rPr>
        <w:t>de klokkenluider vaak alle lasten</w:t>
      </w:r>
      <w:r w:rsidRPr="00261DAA" w:rsidR="007E1681">
        <w:rPr>
          <w:rFonts w:ascii="Calibri" w:hAnsi="Calibri" w:cs="Calibri"/>
          <w:sz w:val="22"/>
        </w:rPr>
        <w:t xml:space="preserve"> </w:t>
      </w:r>
      <w:r w:rsidRPr="00261DAA">
        <w:rPr>
          <w:rFonts w:ascii="Calibri" w:hAnsi="Calibri" w:cs="Calibri"/>
          <w:sz w:val="22"/>
        </w:rPr>
        <w:t>draagt en de veroorzaker niet? Zou ook hier niet het principe ‘de vervuiler betaalt’ moeten gelden?</w:t>
      </w:r>
    </w:p>
    <w:p w:rsidRPr="00C12E08" w:rsidR="00AC0771" w:rsidP="00041B64" w:rsidRDefault="00E427DE" w14:paraId="7675050B" w14:textId="5E822C1B">
      <w:pPr>
        <w:pStyle w:val="Lijstalinea"/>
        <w:numPr>
          <w:ilvl w:val="0"/>
          <w:numId w:val="8"/>
        </w:numPr>
        <w:rPr>
          <w:rFonts w:ascii="Calibri" w:hAnsi="Calibri" w:cs="Calibri"/>
          <w:sz w:val="22"/>
        </w:rPr>
      </w:pPr>
      <w:r w:rsidRPr="00261DAA">
        <w:rPr>
          <w:rFonts w:ascii="Calibri" w:hAnsi="Calibri" w:cs="Calibri"/>
          <w:sz w:val="22"/>
        </w:rPr>
        <w:lastRenderedPageBreak/>
        <w:t>Als de klokkenluider lichamelijke en/of psychische schade oploopt is toch eigenlijk sprake van door de werkplek ontstane gezondheidsschade. Waarom zou de werkgever daar in beginsel niet voor aansprakelijk zijn</w:t>
      </w:r>
      <w:r w:rsidRPr="00261DAA" w:rsidR="007E1681">
        <w:rPr>
          <w:rFonts w:ascii="Calibri" w:hAnsi="Calibri" w:cs="Calibri"/>
          <w:sz w:val="22"/>
        </w:rPr>
        <w:t>?</w:t>
      </w:r>
      <w:r w:rsidRPr="00261DAA">
        <w:rPr>
          <w:rFonts w:ascii="Calibri" w:hAnsi="Calibri" w:cs="Calibri"/>
          <w:sz w:val="22"/>
        </w:rPr>
        <w:t xml:space="preserve"> En zo dat het geval is, hoe wordt de klokkenluider dan bijgestaan in het behalen van het recht?</w:t>
      </w:r>
    </w:p>
    <w:p w:rsidRPr="00261DAA" w:rsidR="0099345A" w:rsidP="00041B64" w:rsidRDefault="0099345A" w14:paraId="1F754825" w14:textId="245F48B5">
      <w:pPr>
        <w:rPr>
          <w:rFonts w:ascii="Calibri" w:hAnsi="Calibri" w:cs="Calibri"/>
          <w:b/>
          <w:sz w:val="22"/>
          <w:szCs w:val="22"/>
        </w:rPr>
      </w:pPr>
      <w:r w:rsidRPr="00261DAA">
        <w:rPr>
          <w:rFonts w:ascii="Calibri" w:hAnsi="Calibri" w:cs="Calibri"/>
          <w:b/>
          <w:sz w:val="22"/>
          <w:szCs w:val="22"/>
        </w:rPr>
        <w:t xml:space="preserve">4. Toezicht op </w:t>
      </w:r>
      <w:r w:rsidRPr="00261DAA" w:rsidR="00A17621">
        <w:rPr>
          <w:rFonts w:ascii="Calibri" w:hAnsi="Calibri" w:cs="Calibri"/>
          <w:b/>
          <w:sz w:val="22"/>
          <w:szCs w:val="22"/>
        </w:rPr>
        <w:t>en handhaving van de wet</w:t>
      </w:r>
    </w:p>
    <w:p w:rsidRPr="00261DAA" w:rsidR="0099345A" w:rsidP="00041B64" w:rsidRDefault="0099345A" w14:paraId="27FA0EC5" w14:textId="0C4427BD">
      <w:pPr>
        <w:rPr>
          <w:rFonts w:ascii="Calibri" w:hAnsi="Calibri" w:cs="Calibri"/>
          <w:sz w:val="22"/>
          <w:szCs w:val="22"/>
        </w:rPr>
      </w:pPr>
    </w:p>
    <w:p w:rsidRPr="00261DAA" w:rsidR="0099345A" w:rsidP="00261DAA" w:rsidRDefault="0099345A" w14:paraId="2DB53496" w14:textId="2C03A40C">
      <w:pPr>
        <w:pStyle w:val="Lijstalinea"/>
        <w:numPr>
          <w:ilvl w:val="0"/>
          <w:numId w:val="8"/>
        </w:numPr>
        <w:rPr>
          <w:rFonts w:ascii="Calibri" w:hAnsi="Calibri" w:cs="Calibri"/>
          <w:sz w:val="22"/>
        </w:rPr>
      </w:pPr>
      <w:r w:rsidRPr="00261DAA">
        <w:rPr>
          <w:rFonts w:ascii="Calibri" w:hAnsi="Calibri" w:cs="Calibri"/>
          <w:sz w:val="22"/>
        </w:rPr>
        <w:t>Het toezicht op de naleving van de wet (via de kantonrechter) ligt volledig bij de melder en niet bij de overheid</w:t>
      </w:r>
      <w:r w:rsidRPr="00261DAA" w:rsidR="006174E2">
        <w:rPr>
          <w:rFonts w:ascii="Calibri" w:hAnsi="Calibri" w:cs="Calibri"/>
          <w:sz w:val="22"/>
        </w:rPr>
        <w:t xml:space="preserve"> (</w:t>
      </w:r>
      <w:r w:rsidRPr="00C12E08" w:rsidR="00C12E08">
        <w:rPr>
          <w:rFonts w:ascii="Calibri" w:hAnsi="Calibri" w:cs="Calibri"/>
          <w:i/>
          <w:iCs/>
          <w:sz w:val="22"/>
        </w:rPr>
        <w:t>sub</w:t>
      </w:r>
      <w:r w:rsidR="00C12E08">
        <w:rPr>
          <w:rFonts w:ascii="Calibri" w:hAnsi="Calibri" w:cs="Calibri"/>
          <w:sz w:val="22"/>
        </w:rPr>
        <w:t xml:space="preserve"> </w:t>
      </w:r>
      <w:r w:rsidRPr="00261DAA" w:rsidR="006174E2">
        <w:rPr>
          <w:rFonts w:ascii="Calibri" w:hAnsi="Calibri" w:cs="Calibri"/>
          <w:i/>
          <w:sz w:val="22"/>
        </w:rPr>
        <w:t>3. Ingezette beleidsinstrumenten</w:t>
      </w:r>
      <w:r w:rsidRPr="00261DAA" w:rsidR="006174E2">
        <w:rPr>
          <w:rFonts w:ascii="Calibri" w:hAnsi="Calibri" w:cs="Calibri"/>
          <w:sz w:val="22"/>
        </w:rPr>
        <w:t>)</w:t>
      </w:r>
      <w:r w:rsidRPr="00261DAA">
        <w:rPr>
          <w:rFonts w:ascii="Calibri" w:hAnsi="Calibri" w:cs="Calibri"/>
          <w:sz w:val="22"/>
        </w:rPr>
        <w:t>.</w:t>
      </w:r>
    </w:p>
    <w:p w:rsidRPr="00261DAA" w:rsidR="0099345A" w:rsidP="00261DAA" w:rsidRDefault="0099345A" w14:paraId="0344E87B" w14:textId="0E3E96F3">
      <w:pPr>
        <w:pStyle w:val="Lijstalinea"/>
        <w:numPr>
          <w:ilvl w:val="0"/>
          <w:numId w:val="8"/>
        </w:numPr>
        <w:rPr>
          <w:rFonts w:ascii="Calibri" w:hAnsi="Calibri" w:cs="Calibri"/>
          <w:sz w:val="22"/>
        </w:rPr>
      </w:pPr>
      <w:r w:rsidRPr="00261DAA">
        <w:rPr>
          <w:rFonts w:ascii="Calibri" w:hAnsi="Calibri" w:cs="Calibri"/>
          <w:sz w:val="22"/>
        </w:rPr>
        <w:t>In de praktijk bestaan vaak grote obstakels om de rechter in te schakelen</w:t>
      </w:r>
      <w:r w:rsidRPr="00261DAA" w:rsidR="006174E2">
        <w:rPr>
          <w:rFonts w:ascii="Calibri" w:hAnsi="Calibri" w:cs="Calibri"/>
          <w:sz w:val="22"/>
        </w:rPr>
        <w:t xml:space="preserve"> (</w:t>
      </w:r>
      <w:r w:rsidRPr="00C12E08" w:rsidR="00C12E08">
        <w:rPr>
          <w:rFonts w:ascii="Calibri" w:hAnsi="Calibri" w:cs="Calibri"/>
          <w:i/>
          <w:iCs/>
          <w:sz w:val="22"/>
        </w:rPr>
        <w:t>sub</w:t>
      </w:r>
      <w:r w:rsidR="00C12E08">
        <w:rPr>
          <w:rFonts w:ascii="Calibri" w:hAnsi="Calibri" w:cs="Calibri"/>
          <w:sz w:val="22"/>
        </w:rPr>
        <w:t xml:space="preserve"> </w:t>
      </w:r>
      <w:r w:rsidRPr="00261DAA" w:rsidR="006174E2">
        <w:rPr>
          <w:rFonts w:ascii="Calibri" w:hAnsi="Calibri" w:cs="Calibri"/>
          <w:i/>
          <w:sz w:val="22"/>
        </w:rPr>
        <w:t>3. Ingezette beleidsinstrumenten</w:t>
      </w:r>
      <w:r w:rsidRPr="00261DAA" w:rsidR="006174E2">
        <w:rPr>
          <w:rFonts w:ascii="Calibri" w:hAnsi="Calibri" w:cs="Calibri"/>
          <w:sz w:val="22"/>
        </w:rPr>
        <w:t>).</w:t>
      </w:r>
    </w:p>
    <w:p w:rsidRPr="00261DAA" w:rsidR="0025383F" w:rsidP="00261DAA" w:rsidRDefault="0099345A" w14:paraId="79B001E4" w14:textId="3933F3A9">
      <w:pPr>
        <w:pStyle w:val="Lijstalinea"/>
        <w:numPr>
          <w:ilvl w:val="0"/>
          <w:numId w:val="8"/>
        </w:numPr>
        <w:rPr>
          <w:rFonts w:ascii="Calibri" w:hAnsi="Calibri" w:cs="Calibri"/>
          <w:sz w:val="22"/>
        </w:rPr>
      </w:pPr>
      <w:r w:rsidRPr="00261DAA">
        <w:rPr>
          <w:rFonts w:ascii="Calibri" w:hAnsi="Calibri" w:cs="Calibri"/>
          <w:sz w:val="22"/>
        </w:rPr>
        <w:t>Het is niet duidelijk waarom toezicht via de kantonrechter doeltreffender is dan bijvoorbeeld toezicht door de arbeidsinspectie</w:t>
      </w:r>
      <w:r w:rsidRPr="00261DAA" w:rsidR="006174E2">
        <w:rPr>
          <w:rFonts w:ascii="Calibri" w:hAnsi="Calibri" w:cs="Calibri"/>
          <w:sz w:val="22"/>
        </w:rPr>
        <w:t xml:space="preserve"> (</w:t>
      </w:r>
      <w:r w:rsidRPr="00C12E08" w:rsidR="00C12E08">
        <w:rPr>
          <w:rFonts w:ascii="Calibri" w:hAnsi="Calibri" w:cs="Calibri"/>
          <w:i/>
          <w:iCs/>
          <w:sz w:val="22"/>
        </w:rPr>
        <w:t>sub</w:t>
      </w:r>
      <w:r w:rsidR="00C12E08">
        <w:rPr>
          <w:rFonts w:ascii="Calibri" w:hAnsi="Calibri" w:cs="Calibri"/>
          <w:sz w:val="22"/>
        </w:rPr>
        <w:t xml:space="preserve"> </w:t>
      </w:r>
      <w:r w:rsidRPr="00261DAA" w:rsidR="006174E2">
        <w:rPr>
          <w:rFonts w:ascii="Calibri" w:hAnsi="Calibri" w:cs="Calibri"/>
          <w:i/>
          <w:sz w:val="22"/>
        </w:rPr>
        <w:t>3. Ingezette beleidsinstrumenten</w:t>
      </w:r>
      <w:r w:rsidRPr="00261DAA" w:rsidR="006174E2">
        <w:rPr>
          <w:rFonts w:ascii="Calibri" w:hAnsi="Calibri" w:cs="Calibri"/>
          <w:sz w:val="22"/>
        </w:rPr>
        <w:t>)</w:t>
      </w:r>
      <w:r w:rsidRPr="00261DAA">
        <w:rPr>
          <w:rFonts w:ascii="Calibri" w:hAnsi="Calibri" w:cs="Calibri"/>
          <w:sz w:val="22"/>
        </w:rPr>
        <w:t>.</w:t>
      </w:r>
    </w:p>
    <w:p w:rsidRPr="00261DAA" w:rsidR="00587716" w:rsidP="00261DAA" w:rsidRDefault="00587716" w14:paraId="4136242A" w14:textId="071C89B7">
      <w:pPr>
        <w:pStyle w:val="Lijstalinea"/>
        <w:numPr>
          <w:ilvl w:val="0"/>
          <w:numId w:val="8"/>
        </w:numPr>
        <w:rPr>
          <w:rFonts w:ascii="Calibri" w:hAnsi="Calibri" w:cs="Calibri"/>
          <w:sz w:val="22"/>
        </w:rPr>
      </w:pPr>
      <w:r w:rsidRPr="00261DAA">
        <w:rPr>
          <w:rFonts w:ascii="Calibri" w:hAnsi="Calibri" w:cs="Calibri"/>
          <w:sz w:val="22"/>
        </w:rPr>
        <w:t>Art. 23 EU</w:t>
      </w:r>
      <w:r w:rsidR="00C12E08">
        <w:rPr>
          <w:rFonts w:ascii="Calibri" w:hAnsi="Calibri" w:cs="Calibri"/>
          <w:sz w:val="22"/>
        </w:rPr>
        <w:t>-r</w:t>
      </w:r>
      <w:r w:rsidRPr="00261DAA">
        <w:rPr>
          <w:rFonts w:ascii="Calibri" w:hAnsi="Calibri" w:cs="Calibri"/>
          <w:sz w:val="22"/>
        </w:rPr>
        <w:t>ichtlijn verplicht lidstaten om te zorgen voor ‘doeltreffende, evenredige en afschrikkende sancties’. Het kabinet kiest (vooral) voor civiele sancties, maar het is niet duidelijk waarom civiele sancties doeltreffender en afschrikkender zouden zijn dan bijvoorbeeld strafrechtelijke of bestuursrechtelijke sancties</w:t>
      </w:r>
      <w:r w:rsidRPr="00261DAA" w:rsidR="006174E2">
        <w:rPr>
          <w:rFonts w:ascii="Calibri" w:hAnsi="Calibri" w:cs="Calibri"/>
          <w:sz w:val="22"/>
        </w:rPr>
        <w:t xml:space="preserve"> (</w:t>
      </w:r>
      <w:r w:rsidR="00C12E08">
        <w:rPr>
          <w:rFonts w:ascii="Calibri" w:hAnsi="Calibri" w:cs="Calibri"/>
          <w:i/>
          <w:iCs/>
          <w:sz w:val="22"/>
        </w:rPr>
        <w:t xml:space="preserve">sub </w:t>
      </w:r>
      <w:r w:rsidRPr="00261DAA" w:rsidR="006174E2">
        <w:rPr>
          <w:rFonts w:ascii="Calibri" w:hAnsi="Calibri" w:cs="Calibri"/>
          <w:i/>
          <w:sz w:val="22"/>
        </w:rPr>
        <w:t>3. Ingezette beleidsinstrumenten</w:t>
      </w:r>
      <w:r w:rsidRPr="00261DAA" w:rsidR="006174E2">
        <w:rPr>
          <w:rFonts w:ascii="Calibri" w:hAnsi="Calibri" w:cs="Calibri"/>
          <w:sz w:val="22"/>
        </w:rPr>
        <w:t>)</w:t>
      </w:r>
      <w:r w:rsidRPr="00261DAA">
        <w:rPr>
          <w:rFonts w:ascii="Calibri" w:hAnsi="Calibri" w:cs="Calibri"/>
          <w:sz w:val="22"/>
        </w:rPr>
        <w:t>.</w:t>
      </w:r>
    </w:p>
    <w:p w:rsidRPr="00261DAA" w:rsidR="00041B64" w:rsidP="00261DAA" w:rsidRDefault="00587716" w14:paraId="0C516332" w14:textId="5A016BC6">
      <w:pPr>
        <w:pStyle w:val="Lijstalinea"/>
        <w:numPr>
          <w:ilvl w:val="0"/>
          <w:numId w:val="8"/>
        </w:numPr>
        <w:rPr>
          <w:rFonts w:ascii="Calibri" w:hAnsi="Calibri" w:cs="Calibri"/>
          <w:sz w:val="22"/>
        </w:rPr>
      </w:pPr>
      <w:r w:rsidRPr="00261DAA">
        <w:rPr>
          <w:rFonts w:ascii="Calibri" w:hAnsi="Calibri" w:cs="Calibri"/>
          <w:bCs/>
          <w:i/>
          <w:sz w:val="22"/>
        </w:rPr>
        <w:t>Aanbeveling</w:t>
      </w:r>
      <w:r w:rsidRPr="00261DAA" w:rsidR="006174E2">
        <w:rPr>
          <w:rFonts w:ascii="Calibri" w:hAnsi="Calibri" w:cs="Calibri"/>
          <w:bCs/>
          <w:i/>
          <w:sz w:val="22"/>
        </w:rPr>
        <w:t xml:space="preserve"> 3</w:t>
      </w:r>
      <w:r w:rsidRPr="00261DAA">
        <w:rPr>
          <w:rFonts w:ascii="Calibri" w:hAnsi="Calibri" w:cs="Calibri"/>
          <w:b/>
          <w:bCs/>
          <w:sz w:val="22"/>
        </w:rPr>
        <w:t>:</w:t>
      </w:r>
      <w:r w:rsidRPr="00261DAA" w:rsidR="006174E2">
        <w:rPr>
          <w:rFonts w:ascii="Calibri" w:hAnsi="Calibri" w:cs="Calibri"/>
          <w:b/>
          <w:bCs/>
          <w:sz w:val="22"/>
        </w:rPr>
        <w:t xml:space="preserve"> </w:t>
      </w:r>
      <w:r w:rsidRPr="00261DAA">
        <w:rPr>
          <w:rFonts w:ascii="Calibri" w:hAnsi="Calibri" w:cs="Calibri"/>
          <w:sz w:val="22"/>
        </w:rPr>
        <w:t>overweeg de wettelijke invoering van (aanvullende) strafrechtelijke en/of bestuurlijke sancties (voor de benadeling van melders).</w:t>
      </w:r>
    </w:p>
    <w:p w:rsidRPr="00261DAA" w:rsidR="00DB6F0F" w:rsidP="00261DAA" w:rsidRDefault="00DB6F0F" w14:paraId="40B4DE0D" w14:textId="7561F751">
      <w:pPr>
        <w:pStyle w:val="Lijstalinea"/>
        <w:numPr>
          <w:ilvl w:val="0"/>
          <w:numId w:val="8"/>
        </w:numPr>
        <w:rPr>
          <w:rFonts w:ascii="Calibri" w:hAnsi="Calibri" w:cs="Calibri"/>
          <w:sz w:val="22"/>
        </w:rPr>
      </w:pPr>
      <w:r w:rsidRPr="00261DAA">
        <w:rPr>
          <w:rFonts w:ascii="Calibri" w:hAnsi="Calibri" w:cs="Calibri"/>
          <w:bCs/>
          <w:i/>
          <w:sz w:val="22"/>
        </w:rPr>
        <w:t>Aanbeveling 4</w:t>
      </w:r>
      <w:r w:rsidRPr="00261DAA">
        <w:rPr>
          <w:rFonts w:ascii="Calibri" w:hAnsi="Calibri" w:cs="Calibri"/>
          <w:sz w:val="22"/>
        </w:rPr>
        <w:t>: maak een publieke instantie (zoals bijvoorbeeld de Arbeidsinspectie) wettelijk verantwoordelijk voor het toezicht op de interne meldkanalen.</w:t>
      </w:r>
    </w:p>
    <w:sectPr w:rsidRPr="00261DAA" w:rsidR="00DB6F0F">
      <w:footerReference w:type="even" r:id="rId10"/>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BCE3" w14:textId="77777777" w:rsidR="00275377" w:rsidRDefault="00275377" w:rsidP="00041B64">
      <w:r>
        <w:separator/>
      </w:r>
    </w:p>
  </w:endnote>
  <w:endnote w:type="continuationSeparator" w:id="0">
    <w:p w14:paraId="6BD93514" w14:textId="77777777" w:rsidR="00275377" w:rsidRDefault="00275377" w:rsidP="0004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664238730"/>
      <w:docPartObj>
        <w:docPartGallery w:val="Page Numbers (Bottom of Page)"/>
        <w:docPartUnique/>
      </w:docPartObj>
    </w:sdtPr>
    <w:sdtEndPr>
      <w:rPr>
        <w:rStyle w:val="Paginanummer"/>
      </w:rPr>
    </w:sdtEndPr>
    <w:sdtContent>
      <w:p w14:paraId="6D41AF8A" w14:textId="492C88D3" w:rsidR="00870293" w:rsidRDefault="00870293" w:rsidP="0043619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D519157" w14:textId="77777777" w:rsidR="00870293" w:rsidRDefault="00870293" w:rsidP="008702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91203853"/>
      <w:docPartObj>
        <w:docPartGallery w:val="Page Numbers (Bottom of Page)"/>
        <w:docPartUnique/>
      </w:docPartObj>
    </w:sdtPr>
    <w:sdtEndPr>
      <w:rPr>
        <w:rStyle w:val="Paginanummer"/>
      </w:rPr>
    </w:sdtEndPr>
    <w:sdtContent>
      <w:p w14:paraId="7FE31EEA" w14:textId="7D466B0E" w:rsidR="00870293" w:rsidRDefault="00870293" w:rsidP="0043619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D8B30FD" w14:textId="77777777" w:rsidR="00870293" w:rsidRDefault="00870293" w:rsidP="0087029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6131C" w14:textId="77777777" w:rsidR="00275377" w:rsidRDefault="00275377" w:rsidP="00041B64">
      <w:r>
        <w:separator/>
      </w:r>
    </w:p>
  </w:footnote>
  <w:footnote w:type="continuationSeparator" w:id="0">
    <w:p w14:paraId="568E36C1" w14:textId="77777777" w:rsidR="00275377" w:rsidRDefault="00275377" w:rsidP="00041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0789"/>
    <w:multiLevelType w:val="hybridMultilevel"/>
    <w:tmpl w:val="9C1A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7F5FE6"/>
    <w:multiLevelType w:val="hybridMultilevel"/>
    <w:tmpl w:val="9F7CFBF8"/>
    <w:lvl w:ilvl="0" w:tplc="E31A16A4">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716D42"/>
    <w:multiLevelType w:val="hybridMultilevel"/>
    <w:tmpl w:val="BA70D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29629B"/>
    <w:multiLevelType w:val="hybridMultilevel"/>
    <w:tmpl w:val="5BBE0CF4"/>
    <w:lvl w:ilvl="0" w:tplc="E31A16A4">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0379B8"/>
    <w:multiLevelType w:val="hybridMultilevel"/>
    <w:tmpl w:val="65086048"/>
    <w:lvl w:ilvl="0" w:tplc="04130003">
      <w:start w:val="1"/>
      <w:numFmt w:val="bullet"/>
      <w:lvlText w:val="o"/>
      <w:lvlJc w:val="left"/>
      <w:pPr>
        <w:ind w:left="360" w:hanging="360"/>
      </w:pPr>
      <w:rPr>
        <w:rFonts w:ascii="Courier New" w:hAnsi="Courier New" w:hint="default"/>
      </w:rPr>
    </w:lvl>
    <w:lvl w:ilvl="1" w:tplc="04130003">
      <w:start w:val="1"/>
      <w:numFmt w:val="bullet"/>
      <w:lvlText w:val="o"/>
      <w:lvlJc w:val="left"/>
      <w:pPr>
        <w:ind w:left="1080" w:hanging="360"/>
      </w:pPr>
      <w:rPr>
        <w:rFonts w:ascii="Courier New" w:hAnsi="Courier New" w:cs="Courier New" w:hint="default"/>
      </w:rPr>
    </w:lvl>
    <w:lvl w:ilvl="2" w:tplc="B30C4CB6">
      <w:start w:val="4"/>
      <w:numFmt w:val="bullet"/>
      <w:lvlText w:val="-"/>
      <w:lvlJc w:val="left"/>
      <w:pPr>
        <w:ind w:left="1800" w:hanging="360"/>
      </w:pPr>
      <w:rPr>
        <w:rFonts w:ascii="Verdana" w:eastAsiaTheme="minorHAnsi" w:hAnsi="Verdana" w:cstheme="minorBid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7BF7551"/>
    <w:multiLevelType w:val="hybridMultilevel"/>
    <w:tmpl w:val="E188D4CE"/>
    <w:lvl w:ilvl="0" w:tplc="E31A16A4">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CC13DA"/>
    <w:multiLevelType w:val="hybridMultilevel"/>
    <w:tmpl w:val="37FAE3CA"/>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0484578"/>
    <w:multiLevelType w:val="hybridMultilevel"/>
    <w:tmpl w:val="A8265E8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522E9B"/>
    <w:multiLevelType w:val="hybridMultilevel"/>
    <w:tmpl w:val="D786CF7A"/>
    <w:lvl w:ilvl="0" w:tplc="E31A16A4">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7"/>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81"/>
    <w:rsid w:val="00040A13"/>
    <w:rsid w:val="00041B64"/>
    <w:rsid w:val="0025383F"/>
    <w:rsid w:val="00261DAA"/>
    <w:rsid w:val="00275377"/>
    <w:rsid w:val="003E05D1"/>
    <w:rsid w:val="00540CB6"/>
    <w:rsid w:val="00564E48"/>
    <w:rsid w:val="005766C0"/>
    <w:rsid w:val="00587716"/>
    <w:rsid w:val="005F63F0"/>
    <w:rsid w:val="006174E2"/>
    <w:rsid w:val="006E1427"/>
    <w:rsid w:val="007D7B81"/>
    <w:rsid w:val="007E1681"/>
    <w:rsid w:val="00870293"/>
    <w:rsid w:val="0087542A"/>
    <w:rsid w:val="008A1CA6"/>
    <w:rsid w:val="008E49B2"/>
    <w:rsid w:val="0099345A"/>
    <w:rsid w:val="00A17621"/>
    <w:rsid w:val="00AC0771"/>
    <w:rsid w:val="00C12E08"/>
    <w:rsid w:val="00C4383E"/>
    <w:rsid w:val="00C82D12"/>
    <w:rsid w:val="00D31BBC"/>
    <w:rsid w:val="00D64E65"/>
    <w:rsid w:val="00DB6F0F"/>
    <w:rsid w:val="00E411D4"/>
    <w:rsid w:val="00E427DE"/>
    <w:rsid w:val="00F73D03"/>
    <w:rsid w:val="00FB1300"/>
    <w:rsid w:val="00FE28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5A5D"/>
  <w15:chartTrackingRefBased/>
  <w15:docId w15:val="{F4DCBB81-8D33-D64D-BCB5-76FF8077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1B64"/>
    <w:rPr>
      <w:color w:val="0563C1" w:themeColor="hyperlink"/>
      <w:u w:val="single"/>
    </w:rPr>
  </w:style>
  <w:style w:type="paragraph" w:styleId="Lijstalinea">
    <w:name w:val="List Paragraph"/>
    <w:basedOn w:val="Standaard"/>
    <w:uiPriority w:val="34"/>
    <w:qFormat/>
    <w:rsid w:val="00041B64"/>
    <w:pPr>
      <w:spacing w:after="160" w:line="259" w:lineRule="auto"/>
      <w:ind w:left="720"/>
      <w:contextualSpacing/>
    </w:pPr>
    <w:rPr>
      <w:rFonts w:ascii="Verdana" w:hAnsi="Verdana"/>
      <w:sz w:val="18"/>
      <w:szCs w:val="22"/>
    </w:rPr>
  </w:style>
  <w:style w:type="character" w:styleId="Voetnootmarkering">
    <w:name w:val="footnote reference"/>
    <w:basedOn w:val="Standaardalinea-lettertype"/>
    <w:uiPriority w:val="99"/>
    <w:semiHidden/>
    <w:unhideWhenUsed/>
    <w:rsid w:val="00041B64"/>
    <w:rPr>
      <w:vertAlign w:val="superscript"/>
    </w:rPr>
  </w:style>
  <w:style w:type="paragraph" w:styleId="Voetnoottekst">
    <w:name w:val="footnote text"/>
    <w:basedOn w:val="Standaard"/>
    <w:link w:val="VoetnoottekstChar"/>
    <w:uiPriority w:val="99"/>
    <w:semiHidden/>
    <w:unhideWhenUsed/>
    <w:rsid w:val="00041B64"/>
    <w:rPr>
      <w:rFonts w:ascii="Verdana" w:hAnsi="Verdana"/>
      <w:sz w:val="20"/>
      <w:szCs w:val="20"/>
    </w:rPr>
  </w:style>
  <w:style w:type="character" w:customStyle="1" w:styleId="VoetnoottekstChar">
    <w:name w:val="Voetnoottekst Char"/>
    <w:basedOn w:val="Standaardalinea-lettertype"/>
    <w:link w:val="Voetnoottekst"/>
    <w:uiPriority w:val="99"/>
    <w:semiHidden/>
    <w:rsid w:val="00041B64"/>
    <w:rPr>
      <w:rFonts w:ascii="Verdana" w:hAnsi="Verdana"/>
      <w:sz w:val="20"/>
      <w:szCs w:val="20"/>
    </w:rPr>
  </w:style>
  <w:style w:type="character" w:styleId="Onopgelostemelding">
    <w:name w:val="Unresolved Mention"/>
    <w:basedOn w:val="Standaardalinea-lettertype"/>
    <w:uiPriority w:val="99"/>
    <w:semiHidden/>
    <w:unhideWhenUsed/>
    <w:rsid w:val="008E49B2"/>
    <w:rPr>
      <w:color w:val="605E5C"/>
      <w:shd w:val="clear" w:color="auto" w:fill="E1DFDD"/>
    </w:rPr>
  </w:style>
  <w:style w:type="character" w:styleId="GevolgdeHyperlink">
    <w:name w:val="FollowedHyperlink"/>
    <w:basedOn w:val="Standaardalinea-lettertype"/>
    <w:uiPriority w:val="99"/>
    <w:semiHidden/>
    <w:unhideWhenUsed/>
    <w:rsid w:val="008E49B2"/>
    <w:rPr>
      <w:color w:val="954F72" w:themeColor="followedHyperlink"/>
      <w:u w:val="single"/>
    </w:rPr>
  </w:style>
  <w:style w:type="paragraph" w:styleId="Voettekst">
    <w:name w:val="footer"/>
    <w:basedOn w:val="Standaard"/>
    <w:link w:val="VoettekstChar"/>
    <w:uiPriority w:val="99"/>
    <w:unhideWhenUsed/>
    <w:rsid w:val="00870293"/>
    <w:pPr>
      <w:tabs>
        <w:tab w:val="center" w:pos="4536"/>
        <w:tab w:val="right" w:pos="9072"/>
      </w:tabs>
    </w:pPr>
  </w:style>
  <w:style w:type="character" w:customStyle="1" w:styleId="VoettekstChar">
    <w:name w:val="Voettekst Char"/>
    <w:basedOn w:val="Standaardalinea-lettertype"/>
    <w:link w:val="Voettekst"/>
    <w:uiPriority w:val="99"/>
    <w:rsid w:val="00870293"/>
  </w:style>
  <w:style w:type="character" w:styleId="Paginanummer">
    <w:name w:val="page number"/>
    <w:basedOn w:val="Standaardalinea-lettertype"/>
    <w:uiPriority w:val="99"/>
    <w:semiHidden/>
    <w:unhideWhenUsed/>
    <w:rsid w:val="0087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isvoorklokkenluiders.nl/Publicaties/publicaties/2017/12/14/advies-voor-een-herstart-voor-het-huis-voor-klokkenluiders---rapport-ruy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jksoverheid.nl/documenten/rapporten/2020/06/30/rapport-evaluatie-wet-huis-voor-klokkenluid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uisvoorklokkenluiders.nl/Publicaties/kamerstukken/2019/11/11/advies-nationale-ombudsman-van-zutphen-aan-minister-van-bzk-over-huis-voor-klokkenluid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713</ap:Words>
  <ap:Characters>3927</ap:Characters>
  <ap:DocSecurity>0</ap:DocSecurity>
  <ap:Lines>32</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2022-09-30T10:50:00.0000000Z</dcterms:created>
  <dcterms:modified xsi:type="dcterms:W3CDTF">2022-09-30T10:56:00.0000000Z</dcterms:modified>
  <version/>
  <category/>
</coreProperties>
</file>