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68730976"/>
        <w:lock w:val="contentLocked"/>
        <w:placeholder>
          <w:docPart w:val="DefaultPlaceholder_1082065158"/>
        </w:placeholder>
        <w:group/>
      </w:sdtPr>
      <w:sdtEndPr/>
      <w:sdtContent>
        <w:p w:rsidR="00D2526B" w:rsidP="00D2526B" w:rsidRDefault="00977969" w14:paraId="712BC2A5"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7D9506E0" wp14:anchorId="15807F0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29DE443F"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7EBE3A07" wp14:anchorId="5935C472">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W12.22.0118/III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7 september 2022</w:t>
              </w:r>
            </w:sdtContent>
          </w:sdt>
        </w:p>
        <w:p w:rsidRPr="00831363" w:rsidR="001410FD" w:rsidP="00AC5AD9" w:rsidRDefault="001410FD" w14:paraId="36D72F33" w14:textId="77777777">
          <w:pPr>
            <w:tabs>
              <w:tab w:val="left" w:pos="3686"/>
            </w:tabs>
          </w:pPr>
        </w:p>
        <w:p w:rsidRPr="00831363" w:rsidR="00636D17" w:rsidP="00636D17" w:rsidRDefault="00636D17" w14:paraId="783A89B8" w14:textId="77777777">
          <w:pPr>
            <w:tabs>
              <w:tab w:val="left" w:pos="3685"/>
            </w:tabs>
          </w:pPr>
        </w:p>
        <w:p w:rsidRPr="00831363" w:rsidR="00636D17" w:rsidP="00636D17" w:rsidRDefault="00636D17" w14:paraId="78C26202"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F664D0" w:rsidRDefault="00912C80" w14:paraId="5436E4D4" w14:textId="77777777">
              <w:r>
                <w:t>Bij Kabinetsmissive van 7 juli 2022, no.2022001495, heeft Uwe Majesteit, op voordracht van de Minister van Sociale Zaken en Werkgelegenheid, bij de Afdeling advisering van de Raad van State ter overweging aanhangig gemaakt het voorstel van wet tot wijzigin</w:t>
              </w:r>
              <w:r>
                <w:t>g van enkele wetten van het Ministerie van Sociale Zaken en Werkgelegenheid (Verzamelwet SZW 2023), met memorie van toelichting.</w:t>
              </w:r>
            </w:p>
          </w:sdtContent>
        </w:sdt>
        <w:p w:rsidRPr="00831363" w:rsidR="00CE4655" w:rsidP="003C7608" w:rsidRDefault="00CE4655" w14:paraId="58F58DD4" w14:textId="77777777"/>
        <w:sdt>
          <w:sdtPr>
            <w:alias w:val="VrijeTekst1"/>
            <w:tag w:val="VrijeTekst1"/>
            <w:id w:val="-437221631"/>
            <w:lock w:val="sdtLocked"/>
          </w:sdtPr>
          <w:sdtEndPr/>
          <w:sdtContent>
            <w:p w:rsidR="00F63A60" w:rsidP="00A30410" w:rsidRDefault="00912C80" w14:paraId="5F4EDEAC" w14:textId="77777777">
              <w:r>
                <w:t xml:space="preserve">Het wetsvoorstel </w:t>
              </w:r>
              <w:r w:rsidRPr="001E2F82">
                <w:t xml:space="preserve">Verzamelwet SZW </w:t>
              </w:r>
              <w:r>
                <w:t>2023</w:t>
              </w:r>
              <w:r w:rsidRPr="001E2F82">
                <w:t xml:space="preserve"> wijzigt een aantal wetten op het terrein van </w:t>
              </w:r>
              <w:r>
                <w:t>het ministerie van Sociale Zaken en Werkg</w:t>
              </w:r>
              <w:r>
                <w:t>elegenheid</w:t>
              </w:r>
              <w:r w:rsidRPr="001E2F82">
                <w:t xml:space="preserve">. </w:t>
              </w:r>
            </w:p>
            <w:p w:rsidR="00F63A60" w:rsidP="00A30410" w:rsidRDefault="00912C80" w14:paraId="6FC15276" w14:textId="77777777"/>
            <w:p w:rsidR="00A30410" w:rsidP="00A30410" w:rsidRDefault="00912C80" w14:paraId="66855ADF" w14:textId="77777777">
              <w:r w:rsidRPr="001E2F82">
                <w:t xml:space="preserve">De Afdeling advisering van de Raad van State </w:t>
              </w:r>
              <w:r>
                <w:t xml:space="preserve">adviseert om de voorgestelde nuancering van het onherleidbaarheidsvereiste bij het verslag van de toezichthouder inzake de naleving van de Wet allocatie arbeidskrachten door </w:t>
              </w:r>
              <w:r>
                <w:t>intermediairs en de Wet op het algemeen verbindend en het onverbindend verklaren van bepalingen van collectieve arbeidsovereenkomsten nader te motiveren</w:t>
              </w:r>
              <w:r>
                <w:t>.</w:t>
              </w:r>
              <w:r>
                <w:t xml:space="preserve"> </w:t>
              </w:r>
              <w:r>
                <w:rPr>
                  <w:szCs w:val="22"/>
                </w:rPr>
                <w:t>D</w:t>
              </w:r>
              <w:r w:rsidRPr="00DF5B27">
                <w:rPr>
                  <w:szCs w:val="22"/>
                </w:rPr>
                <w:t xml:space="preserve">aarbij </w:t>
              </w:r>
              <w:r>
                <w:rPr>
                  <w:szCs w:val="22"/>
                </w:rPr>
                <w:t xml:space="preserve">dient te worden </w:t>
              </w:r>
              <w:r w:rsidRPr="00DF5B27">
                <w:rPr>
                  <w:szCs w:val="22"/>
                </w:rPr>
                <w:t>in</w:t>
              </w:r>
              <w:r>
                <w:rPr>
                  <w:szCs w:val="22"/>
                </w:rPr>
                <w:t>g</w:t>
              </w:r>
              <w:r>
                <w:rPr>
                  <w:szCs w:val="22"/>
                </w:rPr>
                <w:t>e</w:t>
              </w:r>
              <w:r w:rsidRPr="00DF5B27">
                <w:rPr>
                  <w:szCs w:val="22"/>
                </w:rPr>
                <w:t xml:space="preserve">gaan op de </w:t>
              </w:r>
              <w:r>
                <w:rPr>
                  <w:szCs w:val="22"/>
                </w:rPr>
                <w:t xml:space="preserve">weging van de gerechtvaardigde </w:t>
              </w:r>
              <w:r w:rsidRPr="00DF5B27">
                <w:rPr>
                  <w:szCs w:val="22"/>
                </w:rPr>
                <w:t>belangen van werknemers en werkz</w:t>
              </w:r>
              <w:r w:rsidRPr="00DF5B27">
                <w:rPr>
                  <w:szCs w:val="22"/>
                </w:rPr>
                <w:t>oekenden</w:t>
              </w:r>
              <w:r>
                <w:t xml:space="preserve">. </w:t>
              </w:r>
              <w:r w:rsidRPr="001E2F82">
                <w:t xml:space="preserve">In verband daarmee </w:t>
              </w:r>
              <w:r>
                <w:t>is aanpassing van de toelichting en zo nodig van het voorstel wenselijk</w:t>
              </w:r>
              <w:r w:rsidRPr="001E2F82">
                <w:t>.</w:t>
              </w:r>
            </w:p>
            <w:p w:rsidR="00F63A60" w:rsidP="00A30410" w:rsidRDefault="00912C80" w14:paraId="24FC0D55" w14:textId="77777777"/>
            <w:p w:rsidRPr="007B3D70" w:rsidR="007B3D70" w:rsidP="00A30410" w:rsidRDefault="00912C80" w14:paraId="74983411" w14:textId="77777777">
              <w:r>
                <w:t>1.</w:t>
              </w:r>
              <w:r>
                <w:tab/>
              </w:r>
              <w:r>
                <w:rPr>
                  <w:u w:val="single"/>
                </w:rPr>
                <w:t>Nuancering onherleidbaarheidsvereiste</w:t>
              </w:r>
            </w:p>
            <w:p w:rsidR="007B3D70" w:rsidP="00A30410" w:rsidRDefault="00912C80" w14:paraId="0E12673D" w14:textId="77777777"/>
            <w:p w:rsidR="004374AE" w:rsidP="004374AE" w:rsidRDefault="00912C80" w14:paraId="730F5AC3" w14:textId="77777777">
              <w:r>
                <w:t>Voor sommige artikelen in de Wet allocatie arb</w:t>
              </w:r>
              <w:r>
                <w:t xml:space="preserve">eidskrachten door intermediairs (Waadi) en de Wet op het algemeen verbindend en het onverbindend verklaren van bepalingen van collectieve arbeidsovereenkomsten (Wet AVV) geldt dat naleving door de belanghebbende zelf moet worden afgedwongen bij de civiele </w:t>
              </w:r>
              <w:r>
                <w:t>rechter.</w:t>
              </w:r>
              <w:r>
                <w:rPr>
                  <w:rStyle w:val="Voetnootmarkering"/>
                </w:rPr>
                <w:footnoteReference w:id="1"/>
              </w:r>
              <w:r>
                <w:t xml:space="preserve"> Ter ondersteuning hiervan kan een belanghebbende een melding doen van niet-naleving bij de Nederlandse Arbeidsinspectie (NLA). De NLA stelt dan een onderzoek in naar de naleving van de Waadi of de Wet AVV. Daarvan maakt de NLA een verslag.</w:t>
              </w:r>
            </w:p>
            <w:p w:rsidR="004374AE" w:rsidP="004374AE" w:rsidRDefault="00912C80" w14:paraId="2F19CF3F" w14:textId="77777777"/>
            <w:p w:rsidR="00A30410" w:rsidP="004374AE" w:rsidRDefault="00912C80" w14:paraId="0C3066A7" w14:textId="77777777">
              <w:r>
                <w:t xml:space="preserve">Dit </w:t>
              </w:r>
              <w:r>
                <w:t xml:space="preserve">verslag kan worden gebruikt in een civiele procedure om nakoming van de gedragsregel of schadevergoeding te eisen. Het verslag mag op grond van de huidige wetgeving geen gegevens bevatten </w:t>
              </w:r>
              <w:r w:rsidRPr="00444C2F">
                <w:t>waaruit de identiteit van de in het onderzoek betrokken werknemers o</w:t>
              </w:r>
              <w:r w:rsidRPr="00444C2F">
                <w:t>f werkzoekenden kan worden afgeleid.</w:t>
              </w:r>
              <w:r>
                <w:rPr>
                  <w:rStyle w:val="Voetnootmarkering"/>
                </w:rPr>
                <w:footnoteReference w:id="2"/>
              </w:r>
              <w:r>
                <w:t xml:space="preserve"> </w:t>
              </w:r>
              <w:r>
                <w:rPr>
                  <w:rFonts w:eastAsiaTheme="minorHAnsi" w:cstheme="minorBidi"/>
                  <w:lang w:eastAsia="en-US"/>
                </w:rPr>
                <w:t>Volgens de toelichting op de betreffende bepaling in de Wet AVV moet hiermee worden voorkomen dat de werkgever identificeerbare werknemers op een voor hen nadelige manier kan bejegenen.</w:t>
              </w:r>
              <w:r>
                <w:rPr>
                  <w:rStyle w:val="Voetnootmarkering"/>
                  <w:rFonts w:eastAsiaTheme="minorHAnsi" w:cstheme="minorBidi"/>
                  <w:lang w:eastAsia="en-US"/>
                </w:rPr>
                <w:footnoteReference w:id="3"/>
              </w:r>
              <w:r>
                <w:rPr>
                  <w:rFonts w:eastAsiaTheme="minorHAnsi" w:cstheme="minorBidi"/>
                  <w:lang w:eastAsia="en-US"/>
                </w:rPr>
                <w:t xml:space="preserve"> </w:t>
              </w:r>
            </w:p>
            <w:p w:rsidR="00A30410" w:rsidP="00A30410" w:rsidRDefault="00912C80" w14:paraId="37DEC213" w14:textId="77777777"/>
            <w:p w:rsidR="00F63A60" w:rsidP="00A30410" w:rsidRDefault="00912C80" w14:paraId="77C82F96" w14:textId="77777777">
              <w:pPr>
                <w:rPr>
                  <w:rFonts w:eastAsiaTheme="minorHAnsi" w:cstheme="minorBidi"/>
                  <w:lang w:eastAsia="en-US"/>
                </w:rPr>
              </w:pPr>
              <w:r>
                <w:lastRenderedPageBreak/>
                <w:t>Het wetsvoorstel stelt voor</w:t>
              </w:r>
              <w:r>
                <w:t xml:space="preserve"> om dit ‘onherleidbaarheidsvereiste’ te nuanceren. </w:t>
              </w:r>
              <w:r>
                <w:rPr>
                  <w:rFonts w:eastAsiaTheme="minorHAnsi" w:cstheme="minorBidi"/>
                  <w:lang w:eastAsia="en-US"/>
                </w:rPr>
                <w:t xml:space="preserve">De toelichting wijst erop dat </w:t>
              </w:r>
              <w:r w:rsidRPr="004F51BC">
                <w:rPr>
                  <w:rFonts w:eastAsiaTheme="minorHAnsi" w:cstheme="minorBidi"/>
                  <w:lang w:eastAsia="en-US"/>
                </w:rPr>
                <w:t>de absolute formulering</w:t>
              </w:r>
              <w:r>
                <w:rPr>
                  <w:rFonts w:eastAsiaTheme="minorHAnsi" w:cstheme="minorBidi"/>
                  <w:lang w:eastAsia="en-US"/>
                </w:rPr>
                <w:t xml:space="preserve"> van het vereiste</w:t>
              </w:r>
              <w:r w:rsidRPr="004F51BC">
                <w:rPr>
                  <w:rFonts w:eastAsiaTheme="minorHAnsi" w:cstheme="minorBidi"/>
                  <w:lang w:eastAsia="en-US"/>
                </w:rPr>
                <w:t xml:space="preserve"> </w:t>
              </w:r>
              <w:r>
                <w:rPr>
                  <w:rFonts w:eastAsiaTheme="minorHAnsi" w:cstheme="minorBidi"/>
                  <w:lang w:eastAsia="en-US"/>
                </w:rPr>
                <w:t xml:space="preserve">in de praktijk </w:t>
              </w:r>
              <w:r w:rsidRPr="004F51BC">
                <w:rPr>
                  <w:rFonts w:eastAsiaTheme="minorHAnsi" w:cstheme="minorBidi"/>
                  <w:lang w:eastAsia="en-US"/>
                </w:rPr>
                <w:t>voor knelpunten</w:t>
              </w:r>
              <w:r>
                <w:rPr>
                  <w:rFonts w:eastAsiaTheme="minorHAnsi" w:cstheme="minorBidi"/>
                  <w:lang w:eastAsia="en-US"/>
                </w:rPr>
                <w:t xml:space="preserve"> zorgt</w:t>
              </w:r>
              <w:r w:rsidRPr="004F51BC">
                <w:rPr>
                  <w:rFonts w:eastAsiaTheme="minorHAnsi" w:cstheme="minorBidi"/>
                  <w:lang w:eastAsia="en-US"/>
                </w:rPr>
                <w:t>.</w:t>
              </w:r>
              <w:r>
                <w:rPr>
                  <w:rStyle w:val="Voetnootmarkering"/>
                  <w:rFonts w:eastAsiaTheme="minorHAnsi" w:cstheme="minorBidi"/>
                  <w:lang w:eastAsia="en-US"/>
                </w:rPr>
                <w:footnoteReference w:id="4"/>
              </w:r>
              <w:r w:rsidRPr="004F51BC">
                <w:rPr>
                  <w:rFonts w:eastAsiaTheme="minorHAnsi" w:cstheme="minorBidi"/>
                  <w:lang w:eastAsia="en-US"/>
                </w:rPr>
                <w:t xml:space="preserve"> In bedrijven met weinig werknemers kunnen gegevens over de werknemer door een werkgever te her</w:t>
              </w:r>
              <w:r w:rsidRPr="004F51BC">
                <w:rPr>
                  <w:rFonts w:eastAsiaTheme="minorHAnsi" w:cstheme="minorBidi"/>
                  <w:lang w:eastAsia="en-US"/>
                </w:rPr>
                <w:t>leiden zijn tot de betrokken werknemer en ook wanneer een werknemer een unieke functie heeft</w:t>
              </w:r>
              <w:r>
                <w:rPr>
                  <w:rFonts w:eastAsiaTheme="minorHAnsi" w:cstheme="minorBidi"/>
                  <w:lang w:eastAsia="en-US"/>
                </w:rPr>
                <w:t>,</w:t>
              </w:r>
              <w:r w:rsidRPr="004F51BC">
                <w:rPr>
                  <w:rFonts w:eastAsiaTheme="minorHAnsi" w:cstheme="minorBidi"/>
                  <w:lang w:eastAsia="en-US"/>
                </w:rPr>
                <w:t xml:space="preserve"> kunnen gegevens door de werkgever te herleiden zijn. </w:t>
              </w:r>
              <w:r>
                <w:rPr>
                  <w:rFonts w:eastAsiaTheme="minorHAnsi" w:cstheme="minorBidi"/>
                  <w:lang w:eastAsia="en-US"/>
                </w:rPr>
                <w:t xml:space="preserve">Daarom wordt voorgesteld dat </w:t>
              </w:r>
              <w:r>
                <w:t>als het verslag niet kan worden uitgebracht zonder vermelding van herleidbare ge</w:t>
              </w:r>
              <w:r>
                <w:t>gevens, die g</w:t>
              </w:r>
              <w:r>
                <w:rPr>
                  <w:rFonts w:eastAsiaTheme="minorHAnsi" w:cstheme="minorBidi"/>
                  <w:lang w:eastAsia="en-US"/>
                </w:rPr>
                <w:t>egevens dan slechts worden opgenomen voor zover de persoonlijke levenssfeer van de betrokken werknemers of werkzoekenden hierdoor niet onevenredig wordt geschaad.</w:t>
              </w:r>
              <w:r>
                <w:rPr>
                  <w:rStyle w:val="Voetnootmarkering"/>
                  <w:rFonts w:eastAsiaTheme="minorHAnsi" w:cstheme="minorBidi"/>
                  <w:lang w:eastAsia="en-US"/>
                </w:rPr>
                <w:footnoteReference w:id="5"/>
              </w:r>
              <w:r>
                <w:rPr>
                  <w:rFonts w:eastAsiaTheme="minorHAnsi" w:cstheme="minorBidi"/>
                  <w:lang w:eastAsia="en-US"/>
                </w:rPr>
                <w:t xml:space="preserve"> </w:t>
              </w:r>
            </w:p>
            <w:p w:rsidR="00F63A60" w:rsidP="00A30410" w:rsidRDefault="00912C80" w14:paraId="55D681C8" w14:textId="77777777">
              <w:pPr>
                <w:rPr>
                  <w:rFonts w:eastAsiaTheme="minorHAnsi" w:cstheme="minorBidi"/>
                  <w:lang w:eastAsia="en-US"/>
                </w:rPr>
              </w:pPr>
            </w:p>
            <w:p w:rsidR="00A30410" w:rsidP="00A30410" w:rsidRDefault="00912C80" w14:paraId="213DABE7" w14:textId="77777777">
              <w:pPr>
                <w:rPr>
                  <w:rFonts w:eastAsiaTheme="minorHAnsi" w:cstheme="minorBidi"/>
                  <w:lang w:eastAsia="en-US"/>
                </w:rPr>
              </w:pPr>
              <w:r>
                <w:rPr>
                  <w:rFonts w:eastAsiaTheme="minorHAnsi" w:cstheme="minorBidi"/>
                  <w:lang w:eastAsia="en-US"/>
                </w:rPr>
                <w:t xml:space="preserve">Met deze wijziging moet ruimte ontstaan voor een afweging tussen het belang </w:t>
              </w:r>
              <w:r>
                <w:rPr>
                  <w:rFonts w:eastAsiaTheme="minorHAnsi" w:cstheme="minorBidi"/>
                  <w:lang w:eastAsia="en-US"/>
                </w:rPr>
                <w:t>van de bescherming van de persoonlijke levenssfeer van de betrokkene en het belang van het opnemen van gegevens in het verslag. Volgens de toelichting is toestemming voor het opnemen van herleidbare gegevens in het verslag geen noodzakelijke voorwaarde, ma</w:t>
              </w:r>
              <w:r>
                <w:rPr>
                  <w:rFonts w:eastAsiaTheme="minorHAnsi" w:cstheme="minorBidi"/>
                  <w:lang w:eastAsia="en-US"/>
                </w:rPr>
                <w:t>ar is het aan de toezichthouder om in voorkomend geval te beoordelen of toestemming van de betrokkene noodzakelijk of gewenst is. Indien toestemming wordt onthouden, wordt dit “in beginsel” gevolgd.</w:t>
              </w:r>
              <w:r>
                <w:rPr>
                  <w:rStyle w:val="Voetnootmarkering"/>
                  <w:rFonts w:eastAsiaTheme="minorHAnsi" w:cstheme="minorBidi"/>
                  <w:lang w:eastAsia="en-US"/>
                </w:rPr>
                <w:footnoteReference w:id="6"/>
              </w:r>
            </w:p>
            <w:p w:rsidR="00A30410" w:rsidP="00A30410" w:rsidRDefault="00912C80" w14:paraId="55F87304" w14:textId="77777777">
              <w:pPr>
                <w:rPr>
                  <w:rFonts w:eastAsiaTheme="minorHAnsi" w:cstheme="minorBidi"/>
                  <w:lang w:eastAsia="en-US"/>
                </w:rPr>
              </w:pPr>
            </w:p>
            <w:p w:rsidR="00F664D0" w:rsidRDefault="00912C80" w14:paraId="37613FD6" w14:textId="77777777">
              <w:pPr>
                <w:rPr>
                  <w:rFonts w:eastAsiaTheme="minorHAnsi" w:cstheme="minorBidi"/>
                  <w:lang w:eastAsia="en-US"/>
                </w:rPr>
              </w:pPr>
              <w:r>
                <w:rPr>
                  <w:rFonts w:eastAsiaTheme="minorHAnsi" w:cstheme="minorBidi"/>
                  <w:lang w:eastAsia="en-US"/>
                </w:rPr>
                <w:t xml:space="preserve">De voorgestelde aanpassing </w:t>
              </w:r>
              <w:r>
                <w:rPr>
                  <w:rFonts w:eastAsiaTheme="minorHAnsi" w:cstheme="minorBidi"/>
                  <w:lang w:eastAsia="en-US"/>
                </w:rPr>
                <w:t xml:space="preserve">is </w:t>
              </w:r>
              <w:r>
                <w:rPr>
                  <w:rFonts w:eastAsiaTheme="minorHAnsi" w:cstheme="minorBidi"/>
                  <w:lang w:eastAsia="en-US"/>
                </w:rPr>
                <w:t xml:space="preserve">onvoldoende gemotiveerd. </w:t>
              </w:r>
              <w:r>
                <w:rPr>
                  <w:rFonts w:eastAsiaTheme="minorHAnsi" w:cstheme="minorBidi"/>
                  <w:lang w:eastAsia="en-US"/>
                </w:rPr>
                <w:t xml:space="preserve">De Afdeling </w:t>
              </w:r>
              <w:r>
                <w:rPr>
                  <w:rFonts w:eastAsiaTheme="minorHAnsi" w:cstheme="minorBidi"/>
                  <w:lang w:eastAsia="en-US"/>
                </w:rPr>
                <w:t>begrijpt dat het onherleidbaarheidsvereiste in de hiervoor genoemde gevallen beperkingen kan stellen aan het verslag</w:t>
              </w:r>
              <w:r>
                <w:rPr>
                  <w:rFonts w:eastAsiaTheme="minorHAnsi" w:cstheme="minorBidi"/>
                  <w:lang w:eastAsia="en-US"/>
                </w:rPr>
                <w:t>.</w:t>
              </w:r>
              <w:r>
                <w:rPr>
                  <w:rFonts w:eastAsiaTheme="minorHAnsi" w:cstheme="minorBidi"/>
                  <w:lang w:eastAsia="en-US"/>
                </w:rPr>
                <w:t xml:space="preserve"> </w:t>
              </w:r>
              <w:r>
                <w:rPr>
                  <w:rFonts w:eastAsiaTheme="minorHAnsi" w:cstheme="minorBidi"/>
                  <w:lang w:eastAsia="en-US"/>
                </w:rPr>
                <w:t xml:space="preserve">Zij </w:t>
              </w:r>
              <w:r>
                <w:rPr>
                  <w:rFonts w:eastAsiaTheme="minorHAnsi" w:cstheme="minorBidi"/>
                  <w:lang w:eastAsia="en-US"/>
                </w:rPr>
                <w:t xml:space="preserve">merkt </w:t>
              </w:r>
              <w:r>
                <w:rPr>
                  <w:rFonts w:eastAsiaTheme="minorHAnsi" w:cstheme="minorBidi"/>
                  <w:lang w:eastAsia="en-US"/>
                </w:rPr>
                <w:t xml:space="preserve">echter </w:t>
              </w:r>
              <w:r>
                <w:rPr>
                  <w:rFonts w:eastAsiaTheme="minorHAnsi" w:cstheme="minorBidi"/>
                  <w:lang w:eastAsia="en-US"/>
                </w:rPr>
                <w:t>op dat het verslag vooral beoogt de werknemer een sterkere positie te geven in civie</w:t>
              </w:r>
              <w:r>
                <w:rPr>
                  <w:rFonts w:eastAsiaTheme="minorHAnsi" w:cstheme="minorBidi"/>
                  <w:lang w:eastAsia="en-US"/>
                </w:rPr>
                <w:t>le procedures.</w:t>
              </w:r>
              <w:r>
                <w:rPr>
                  <w:rStyle w:val="Voetnootmarkering"/>
                  <w:rFonts w:eastAsiaTheme="minorHAnsi" w:cstheme="minorBidi"/>
                  <w:lang w:eastAsia="en-US"/>
                </w:rPr>
                <w:footnoteReference w:id="7"/>
              </w:r>
              <w:r>
                <w:rPr>
                  <w:rFonts w:eastAsiaTheme="minorHAnsi" w:cstheme="minorBidi"/>
                  <w:lang w:eastAsia="en-US"/>
                </w:rPr>
                <w:t xml:space="preserve"> Dit betekent dat het verslag primair het belang van de werknemer dient. In dat licht bezien ligt het in de rede om in gevallen waarin het onherleidbaarheidsvereiste om praktische redenen niet kan worden gerealiseerd, de werknemer om toeste</w:t>
              </w:r>
              <w:r>
                <w:rPr>
                  <w:rFonts w:eastAsiaTheme="minorHAnsi" w:cstheme="minorBidi"/>
                  <w:lang w:eastAsia="en-US"/>
                </w:rPr>
                <w:t>mming te vragen en het antwoord van de werknemer daarop doorslaggevend te achten. De toelichting legt niet uit waarom de toestemming van de werknemer</w:t>
              </w:r>
              <w:r>
                <w:rPr>
                  <w:rStyle w:val="Voetnootmarkering"/>
                  <w:rFonts w:eastAsiaTheme="minorHAnsi" w:cstheme="minorBidi"/>
                  <w:lang w:eastAsia="en-US"/>
                </w:rPr>
                <w:footnoteReference w:id="8"/>
              </w:r>
              <w:r>
                <w:rPr>
                  <w:rFonts w:eastAsiaTheme="minorHAnsi" w:cstheme="minorBidi"/>
                  <w:lang w:eastAsia="en-US"/>
                </w:rPr>
                <w:t xml:space="preserve"> in die gevallen niet leidend moet zijn. </w:t>
              </w:r>
            </w:p>
            <w:p w:rsidR="004374AE" w:rsidP="004374AE" w:rsidRDefault="00912C80" w14:paraId="28DAD759" w14:textId="77777777">
              <w:pPr>
                <w:rPr>
                  <w:rFonts w:eastAsiaTheme="minorHAnsi" w:cstheme="minorBidi"/>
                  <w:lang w:eastAsia="en-US"/>
                </w:rPr>
              </w:pPr>
            </w:p>
            <w:p w:rsidR="00A30410" w:rsidP="00E56565" w:rsidRDefault="00912C80" w14:paraId="6E844CAB" w14:textId="77777777">
              <w:pPr>
                <w:rPr>
                  <w:rFonts w:eastAsiaTheme="minorHAnsi" w:cstheme="minorBidi"/>
                  <w:lang w:eastAsia="en-US"/>
                </w:rPr>
              </w:pPr>
              <w:r>
                <w:rPr>
                  <w:rFonts w:eastAsiaTheme="minorHAnsi" w:cstheme="minorBidi"/>
                  <w:lang w:eastAsia="en-US"/>
                </w:rPr>
                <w:t>Als de regering er niet voor kiest om de toestemming van de we</w:t>
              </w:r>
              <w:r>
                <w:rPr>
                  <w:rFonts w:eastAsiaTheme="minorHAnsi" w:cstheme="minorBidi"/>
                  <w:lang w:eastAsia="en-US"/>
                </w:rPr>
                <w:t xml:space="preserve">rknemer in de genoemde gevallen (verplicht) leidend te laten zijn, dan </w:t>
              </w:r>
              <w:r>
                <w:rPr>
                  <w:rFonts w:eastAsiaTheme="minorHAnsi" w:cstheme="minorBidi"/>
                  <w:lang w:eastAsia="en-US"/>
                </w:rPr>
                <w:t xml:space="preserve">dient in </w:t>
              </w:r>
              <w:r>
                <w:rPr>
                  <w:rFonts w:eastAsiaTheme="minorHAnsi" w:cstheme="minorBidi"/>
                  <w:lang w:eastAsia="en-US"/>
                </w:rPr>
                <w:t xml:space="preserve">de toelichting nader </w:t>
              </w:r>
              <w:r>
                <w:rPr>
                  <w:rFonts w:eastAsiaTheme="minorHAnsi" w:cstheme="minorBidi"/>
                  <w:lang w:eastAsia="en-US"/>
                </w:rPr>
                <w:t>te worden ge</w:t>
              </w:r>
              <w:r>
                <w:rPr>
                  <w:rFonts w:eastAsiaTheme="minorHAnsi" w:cstheme="minorBidi"/>
                  <w:lang w:eastAsia="en-US"/>
                </w:rPr>
                <w:t>motiveer</w:t>
              </w:r>
              <w:r>
                <w:rPr>
                  <w:rFonts w:eastAsiaTheme="minorHAnsi" w:cstheme="minorBidi"/>
                  <w:lang w:eastAsia="en-US"/>
                </w:rPr>
                <w:t>d</w:t>
              </w:r>
              <w:r>
                <w:rPr>
                  <w:rFonts w:eastAsiaTheme="minorHAnsi" w:cstheme="minorBidi"/>
                  <w:lang w:eastAsia="en-US"/>
                </w:rPr>
                <w:t xml:space="preserve"> hoe het voorstel zich </w:t>
              </w:r>
              <w:r>
                <w:rPr>
                  <w:rFonts w:eastAsiaTheme="minorHAnsi" w:cstheme="minorBidi"/>
                  <w:lang w:eastAsia="en-US"/>
                </w:rPr>
                <w:t xml:space="preserve">verhoudt </w:t>
              </w:r>
              <w:r>
                <w:rPr>
                  <w:rFonts w:eastAsiaTheme="minorHAnsi" w:cstheme="minorBidi"/>
                  <w:lang w:eastAsia="en-US"/>
                </w:rPr>
                <w:t>tot de AVG.</w:t>
              </w:r>
              <w:r>
                <w:rPr>
                  <w:rStyle w:val="Voetnootmarkering"/>
                  <w:rFonts w:eastAsiaTheme="minorHAnsi" w:cstheme="minorBidi"/>
                  <w:lang w:eastAsia="en-US"/>
                </w:rPr>
                <w:footnoteReference w:id="9"/>
              </w:r>
              <w:r>
                <w:rPr>
                  <w:rFonts w:eastAsiaTheme="minorHAnsi" w:cstheme="minorBidi"/>
                  <w:lang w:eastAsia="en-US"/>
                </w:rPr>
                <w:t xml:space="preserve"> </w:t>
              </w:r>
              <w:r>
                <w:rPr>
                  <w:rFonts w:eastAsiaTheme="minorHAnsi" w:cstheme="minorBidi"/>
                  <w:lang w:eastAsia="en-US"/>
                </w:rPr>
                <w:t>H</w:t>
              </w:r>
              <w:r>
                <w:rPr>
                  <w:rFonts w:eastAsiaTheme="minorHAnsi" w:cstheme="minorBidi"/>
                  <w:lang w:eastAsia="en-US"/>
                </w:rPr>
                <w:t xml:space="preserve">et doel van de regeling </w:t>
              </w:r>
              <w:r>
                <w:rPr>
                  <w:rFonts w:eastAsiaTheme="minorHAnsi" w:cstheme="minorBidi"/>
                  <w:lang w:eastAsia="en-US"/>
                </w:rPr>
                <w:t>is</w:t>
              </w:r>
              <w:r>
                <w:rPr>
                  <w:rFonts w:eastAsiaTheme="minorHAnsi" w:cstheme="minorBidi"/>
                  <w:lang w:eastAsia="en-US"/>
                </w:rPr>
                <w:t xml:space="preserve"> de bescherming van het belang van de betrokken werknemer</w:t>
              </w:r>
              <w:r>
                <w:rPr>
                  <w:rFonts w:eastAsiaTheme="minorHAnsi" w:cstheme="minorBidi"/>
                  <w:lang w:eastAsia="en-US"/>
                </w:rPr>
                <w:t>. Ge</w:t>
              </w:r>
              <w:r>
                <w:rPr>
                  <w:rFonts w:eastAsiaTheme="minorHAnsi" w:cstheme="minorBidi"/>
                  <w:lang w:eastAsia="en-US"/>
                </w:rPr>
                <w:t xml:space="preserve">let daarop dient dan ook </w:t>
              </w:r>
              <w:r>
                <w:rPr>
                  <w:rFonts w:eastAsiaTheme="minorHAnsi" w:cstheme="minorBidi"/>
                  <w:lang w:eastAsia="en-US"/>
                </w:rPr>
                <w:t xml:space="preserve">in concrete zin duidelijk </w:t>
              </w:r>
              <w:r>
                <w:rPr>
                  <w:rFonts w:eastAsiaTheme="minorHAnsi" w:cstheme="minorBidi"/>
                  <w:lang w:eastAsia="en-US"/>
                </w:rPr>
                <w:t>te worden ge</w:t>
              </w:r>
              <w:r>
                <w:rPr>
                  <w:rFonts w:eastAsiaTheme="minorHAnsi" w:cstheme="minorBidi"/>
                  <w:lang w:eastAsia="en-US"/>
                </w:rPr>
                <w:t>ma</w:t>
              </w:r>
              <w:r>
                <w:rPr>
                  <w:rFonts w:eastAsiaTheme="minorHAnsi" w:cstheme="minorBidi"/>
                  <w:lang w:eastAsia="en-US"/>
                </w:rPr>
                <w:t>a</w:t>
              </w:r>
              <w:r>
                <w:rPr>
                  <w:rFonts w:eastAsiaTheme="minorHAnsi" w:cstheme="minorBidi"/>
                  <w:lang w:eastAsia="en-US"/>
                </w:rPr>
                <w:t>k</w:t>
              </w:r>
              <w:r>
                <w:rPr>
                  <w:rFonts w:eastAsiaTheme="minorHAnsi" w:cstheme="minorBidi"/>
                  <w:lang w:eastAsia="en-US"/>
                </w:rPr>
                <w:t>t</w:t>
              </w:r>
              <w:r>
                <w:rPr>
                  <w:rFonts w:eastAsiaTheme="minorHAnsi" w:cstheme="minorBidi"/>
                  <w:lang w:eastAsia="en-US"/>
                </w:rPr>
                <w:t xml:space="preserve"> in welke gevallen en met het oog op welke belangen het noodzakelijk kan zijn het </w:t>
              </w:r>
              <w:r>
                <w:t xml:space="preserve">onherleidbaarheidsvereiste (alsnog) </w:t>
              </w:r>
              <w:r>
                <w:rPr>
                  <w:rFonts w:eastAsiaTheme="minorHAnsi" w:cstheme="minorBidi"/>
                  <w:lang w:eastAsia="en-US"/>
                </w:rPr>
                <w:t>achterwege te laten</w:t>
              </w:r>
              <w:r>
                <w:rPr>
                  <w:rFonts w:eastAsiaTheme="minorHAnsi" w:cstheme="minorBidi"/>
                  <w:lang w:eastAsia="en-US"/>
                </w:rPr>
                <w:t>. Tevens dient te worden ingegaan op de vraag</w:t>
              </w:r>
              <w:r>
                <w:rPr>
                  <w:rFonts w:eastAsiaTheme="minorHAnsi" w:cstheme="minorBidi"/>
                  <w:lang w:eastAsia="en-US"/>
                </w:rPr>
                <w:t xml:space="preserve"> hoe d</w:t>
              </w:r>
              <w:r>
                <w:rPr>
                  <w:rFonts w:eastAsiaTheme="minorHAnsi" w:cstheme="minorBidi"/>
                  <w:lang w:eastAsia="en-US"/>
                </w:rPr>
                <w:t>an wordt verzekerd dat de gerechtvaardigde belangen van de betrokken werknemer door de wijziging niet worden geschaad. De toelichting is op dit punt niet toereikend.</w:t>
              </w:r>
            </w:p>
            <w:p w:rsidRPr="00DF5B27" w:rsidR="00A30410" w:rsidP="00A30410" w:rsidRDefault="00912C80" w14:paraId="647E2611" w14:textId="77777777">
              <w:pPr>
                <w:rPr>
                  <w:szCs w:val="22"/>
                </w:rPr>
              </w:pPr>
            </w:p>
            <w:p w:rsidR="0031089B" w:rsidP="007C500A" w:rsidRDefault="00912C80" w14:paraId="56875462" w14:textId="77777777">
              <w:r w:rsidRPr="00DF5B27">
                <w:rPr>
                  <w:szCs w:val="22"/>
                </w:rPr>
                <w:t xml:space="preserve">Gelet op het voorgaande adviseert de Afdeling om de voorgestelde wijziging </w:t>
              </w:r>
              <w:r>
                <w:rPr>
                  <w:szCs w:val="22"/>
                </w:rPr>
                <w:t>nader</w:t>
              </w:r>
              <w:r w:rsidRPr="00DF5B27">
                <w:rPr>
                  <w:szCs w:val="22"/>
                </w:rPr>
                <w:t xml:space="preserve"> te motiv</w:t>
              </w:r>
              <w:r w:rsidRPr="00DF5B27">
                <w:rPr>
                  <w:szCs w:val="22"/>
                </w:rPr>
                <w:t>eren</w:t>
              </w:r>
              <w:r>
                <w:rPr>
                  <w:szCs w:val="22"/>
                </w:rPr>
                <w:t xml:space="preserve"> in de toelichting</w:t>
              </w:r>
              <w:r w:rsidRPr="00DF5B27">
                <w:rPr>
                  <w:szCs w:val="22"/>
                </w:rPr>
                <w:t xml:space="preserve"> en daarbij in </w:t>
              </w:r>
              <w:r>
                <w:rPr>
                  <w:szCs w:val="22"/>
                </w:rPr>
                <w:t>te</w:t>
              </w:r>
              <w:r w:rsidRPr="00DF5B27">
                <w:rPr>
                  <w:szCs w:val="22"/>
                </w:rPr>
                <w:t xml:space="preserve"> gaan op de </w:t>
              </w:r>
              <w:r>
                <w:rPr>
                  <w:szCs w:val="22"/>
                </w:rPr>
                <w:t xml:space="preserve">weging van de gerechtvaardigde </w:t>
              </w:r>
              <w:r w:rsidRPr="00DF5B27">
                <w:rPr>
                  <w:szCs w:val="22"/>
                </w:rPr>
                <w:t>belangen van werknemers en werkzoekenden</w:t>
              </w:r>
              <w:r>
                <w:rPr>
                  <w:szCs w:val="22"/>
                </w:rPr>
                <w:t>, en zo nodig het wetsvoorstel aan te passen.</w:t>
              </w:r>
            </w:p>
          </w:sdtContent>
        </w:sdt>
        <w:p w:rsidRPr="00831363" w:rsidR="008C5EDD" w:rsidP="00CE4655" w:rsidRDefault="008C5EDD" w14:paraId="20BD1742" w14:textId="77777777"/>
        <w:sdt>
          <w:sdtPr>
            <w:alias w:val="VrijeTekst2"/>
            <w:tag w:val="VrijeTekst2"/>
            <w:id w:val="-1010833392"/>
            <w:lock w:val="sdtLocked"/>
            <w:placeholder>
              <w:docPart w:val="DefaultPlaceholder_1082065158"/>
            </w:placeholder>
          </w:sdtPr>
          <w:sdtEndPr/>
          <w:sdtContent>
            <w:p w:rsidR="007212F1" w:rsidP="00891BB0" w:rsidRDefault="00912C80" w14:paraId="113208C9" w14:textId="77777777">
              <w:r>
                <w:t>2.</w:t>
              </w:r>
              <w:r>
                <w:tab/>
              </w:r>
              <w:r w:rsidRPr="005F7A2B">
                <w:t xml:space="preserve">De Afdeling verwijst naar de bij dit advies behorende redactionele </w:t>
              </w:r>
              <w:r w:rsidRPr="005F7A2B">
                <w:t>bijlage.</w:t>
              </w:r>
            </w:p>
          </w:sdtContent>
        </w:sdt>
        <w:p w:rsidRPr="00831363" w:rsidR="001410FD" w:rsidP="00796479" w:rsidRDefault="001410FD" w14:paraId="4787B746" w14:textId="77777777"/>
        <w:sdt>
          <w:sdtPr>
            <w:alias w:val="Dictum"/>
            <w:tag w:val="Dictum"/>
            <w:id w:val="316161467"/>
            <w:lock w:val="sdtContentLocked"/>
            <w:placeholder>
              <w:docPart w:val="DefaultPlaceholder_1082065158"/>
            </w:placeholder>
            <w:text w:multiLine="1"/>
          </w:sdtPr>
          <w:sdtEndPr/>
          <w:sdtContent>
            <w:p w:rsidR="00F664D0" w:rsidRDefault="00912C80" w14:paraId="3C8ED15F"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w:t>
              </w:r>
              <w:r>
                <w:t>n State,</w:t>
              </w:r>
            </w:p>
          </w:sdtContent>
        </w:sdt>
        <w:p w:rsidRPr="00831363" w:rsidR="0037367E" w:rsidRDefault="0037367E" w14:paraId="4E02F44A" w14:textId="77777777">
          <w:pPr>
            <w:sectPr w:rsidRPr="00831363" w:rsidR="0037367E" w:rsidSect="00636D17">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sectPr>
          </w:pPr>
        </w:p>
        <w:p w:rsidRPr="00831363" w:rsidR="00907421" w:rsidP="00907421" w:rsidRDefault="00907421" w14:paraId="62629F5C"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W12.22.0118</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14:paraId="7C887C83" w14:textId="77777777"/>
        <w:sdt>
          <w:sdtPr>
            <w:alias w:val="VrijeTekst3"/>
            <w:tag w:val="VrijeTekst3"/>
            <w:id w:val="2141764690"/>
            <w:lock w:val="sdtLocked"/>
          </w:sdtPr>
          <w:sdtEndPr/>
          <w:sdtContent>
            <w:p w:rsidR="00E70C71" w:rsidP="00AE02A6" w:rsidRDefault="00912C80" w14:paraId="1B1DA39B" w14:textId="77777777">
              <w:pPr>
                <w:numPr>
                  <w:ilvl w:val="0"/>
                  <w:numId w:val="1"/>
                </w:numPr>
              </w:pPr>
              <w:r>
                <w:t xml:space="preserve">In het in artikel XVII, onderdeel C, </w:t>
              </w:r>
              <w:r>
                <w:t>voorgestelde artikel 1.62, derde lid, van de Wet kinderopvang “in redelijkheid” laten vervallen.</w:t>
              </w:r>
            </w:p>
          </w:sdtContent>
        </w:sdt>
        <w:p w:rsidR="00C50D4F" w:rsidP="005841EA" w:rsidRDefault="00912C80" w14:paraId="5B1A2814" w14:textId="77777777">
          <w:pPr>
            <w:ind w:left="737"/>
          </w:pPr>
        </w:p>
      </w:sdtContent>
    </w:sdt>
    <w:sectPr w:rsidR="00C50D4F" w:rsidSect="00636D17">
      <w:headerReference w:type="default" r:id="rId16"/>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3FF2D" w14:textId="77777777" w:rsidR="00847094" w:rsidRDefault="00912C80" w:rsidP="005B3E03">
      <w:r>
        <w:separator/>
      </w:r>
    </w:p>
    <w:p w14:paraId="16712B28" w14:textId="77777777" w:rsidR="002D0ACF" w:rsidRDefault="00912C80"/>
  </w:endnote>
  <w:endnote w:type="continuationSeparator" w:id="0">
    <w:p w14:paraId="7761F0F5" w14:textId="77777777" w:rsidR="00847094" w:rsidRDefault="00912C80" w:rsidP="005B3E03">
      <w:r>
        <w:continuationSeparator/>
      </w:r>
    </w:p>
    <w:p w14:paraId="0365D826" w14:textId="77777777" w:rsidR="002D0ACF" w:rsidRDefault="00912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5108" w14:textId="77777777" w:rsidR="00912C80" w:rsidRDefault="00912C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9EF5" w14:textId="77777777" w:rsidR="00912C80" w:rsidRDefault="00912C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E942"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1AE5E42F" wp14:editId="006FA669">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A438A1"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1EF8" w14:textId="77777777" w:rsidR="00847094" w:rsidRDefault="00912C80" w:rsidP="005B3E03">
      <w:r>
        <w:separator/>
      </w:r>
    </w:p>
    <w:p w14:paraId="3F41F6D2" w14:textId="77777777" w:rsidR="002D0ACF" w:rsidRDefault="00912C80"/>
  </w:footnote>
  <w:footnote w:type="continuationSeparator" w:id="0">
    <w:p w14:paraId="75EAD1B8" w14:textId="77777777" w:rsidR="00847094" w:rsidRDefault="00912C80" w:rsidP="005B3E03">
      <w:r>
        <w:continuationSeparator/>
      </w:r>
    </w:p>
    <w:p w14:paraId="4C7C6825" w14:textId="77777777" w:rsidR="002D0ACF" w:rsidRDefault="00912C80"/>
  </w:footnote>
  <w:footnote w:id="1">
    <w:p w14:paraId="564FBA9F" w14:textId="77777777" w:rsidR="00A30410" w:rsidRDefault="00912C80" w:rsidP="00A30410">
      <w:pPr>
        <w:pStyle w:val="Voetnoottekst"/>
      </w:pPr>
      <w:r>
        <w:rPr>
          <w:rStyle w:val="Voetnootmarkering"/>
        </w:rPr>
        <w:footnoteRef/>
      </w:r>
      <w:r>
        <w:t xml:space="preserve"> </w:t>
      </w:r>
      <w:r>
        <w:tab/>
        <w:t>Dit betreft de artikelen 8-10 van de Waadi en artikel 3 van de Wet AVV.</w:t>
      </w:r>
    </w:p>
  </w:footnote>
  <w:footnote w:id="2">
    <w:p w14:paraId="4BB7539B" w14:textId="77777777" w:rsidR="004374AE" w:rsidRDefault="00912C80" w:rsidP="004374AE">
      <w:pPr>
        <w:pStyle w:val="Voetnoottekst"/>
      </w:pPr>
      <w:r>
        <w:rPr>
          <w:rStyle w:val="Voetnootmarkering"/>
        </w:rPr>
        <w:footnoteRef/>
      </w:r>
      <w:r>
        <w:t xml:space="preserve"> </w:t>
      </w:r>
      <w:r>
        <w:tab/>
        <w:t>Artikel 15 Waadi</w:t>
      </w:r>
      <w:r>
        <w:t xml:space="preserve"> en artikel 10 Wet AVV. </w:t>
      </w:r>
    </w:p>
  </w:footnote>
  <w:footnote w:id="3">
    <w:p w14:paraId="530F518D" w14:textId="77777777" w:rsidR="004374AE" w:rsidRDefault="00912C80" w:rsidP="004374AE">
      <w:pPr>
        <w:pStyle w:val="Voetnoottekst"/>
      </w:pPr>
      <w:r>
        <w:rPr>
          <w:rStyle w:val="Voetnootmarkering"/>
        </w:rPr>
        <w:footnoteRef/>
      </w:r>
      <w:r>
        <w:t xml:space="preserve"> </w:t>
      </w:r>
      <w:r>
        <w:tab/>
        <w:t>Kamerstukken 2015/16, 34528, nr. 3, paragraaf 2.14 en artikelsgewijze toelichting op voorgesteld artikel XXVII.</w:t>
      </w:r>
    </w:p>
  </w:footnote>
  <w:footnote w:id="4">
    <w:p w14:paraId="0DB86BD0" w14:textId="77777777" w:rsidR="004374AE" w:rsidRDefault="00912C80" w:rsidP="004374AE">
      <w:pPr>
        <w:pStyle w:val="Voetnoottekst"/>
      </w:pPr>
      <w:r>
        <w:rPr>
          <w:rStyle w:val="Voetnootmarkering"/>
        </w:rPr>
        <w:footnoteRef/>
      </w:r>
      <w:r>
        <w:t xml:space="preserve"> </w:t>
      </w:r>
      <w:r>
        <w:tab/>
        <w:t xml:space="preserve">Memorie van toelichting, paragraaf 2.4. </w:t>
      </w:r>
    </w:p>
  </w:footnote>
  <w:footnote w:id="5">
    <w:p w14:paraId="770CB904" w14:textId="77777777" w:rsidR="00A30410" w:rsidRDefault="00912C80" w:rsidP="00A30410">
      <w:pPr>
        <w:pStyle w:val="Voetnoottekst"/>
      </w:pPr>
      <w:r>
        <w:rPr>
          <w:rStyle w:val="Voetnootmarkering"/>
        </w:rPr>
        <w:footnoteRef/>
      </w:r>
      <w:r>
        <w:t xml:space="preserve"> </w:t>
      </w:r>
      <w:r>
        <w:tab/>
        <w:t>Voorgesteld artikel X en artikel XVIII.</w:t>
      </w:r>
    </w:p>
  </w:footnote>
  <w:footnote w:id="6">
    <w:p w14:paraId="3E22BFF8" w14:textId="77777777" w:rsidR="00257429" w:rsidRDefault="00912C80">
      <w:pPr>
        <w:pStyle w:val="Voetnoottekst"/>
      </w:pPr>
      <w:r>
        <w:rPr>
          <w:rStyle w:val="Voetnootmarkering"/>
        </w:rPr>
        <w:footnoteRef/>
      </w:r>
      <w:r>
        <w:t xml:space="preserve"> </w:t>
      </w:r>
      <w:r>
        <w:tab/>
        <w:t>Memorie van toelichting, p</w:t>
      </w:r>
      <w:r>
        <w:t>aragraaf 2.4.</w:t>
      </w:r>
    </w:p>
  </w:footnote>
  <w:footnote w:id="7">
    <w:p w14:paraId="562B6E20" w14:textId="77777777" w:rsidR="00A30410" w:rsidRDefault="00912C80" w:rsidP="00A30410">
      <w:pPr>
        <w:pStyle w:val="Voetnoottekst"/>
      </w:pPr>
      <w:r>
        <w:rPr>
          <w:rStyle w:val="Voetnootmarkering"/>
        </w:rPr>
        <w:footnoteRef/>
      </w:r>
      <w:r>
        <w:t xml:space="preserve"> </w:t>
      </w:r>
      <w:r>
        <w:tab/>
        <w:t>Kamerstukken 1996/97, 25264, nr. 3, p. 22.</w:t>
      </w:r>
    </w:p>
  </w:footnote>
  <w:footnote w:id="8">
    <w:p w14:paraId="5B2CA414" w14:textId="77777777" w:rsidR="004374AE" w:rsidRDefault="00912C80" w:rsidP="004374AE">
      <w:pPr>
        <w:pStyle w:val="Voetnoottekst"/>
      </w:pPr>
      <w:r>
        <w:rPr>
          <w:rStyle w:val="Voetnootmarkering"/>
        </w:rPr>
        <w:footnoteRef/>
      </w:r>
      <w:r>
        <w:t xml:space="preserve"> </w:t>
      </w:r>
      <w:r>
        <w:tab/>
        <w:t>Artikel 6, eerste lid, onder a, AVG.</w:t>
      </w:r>
    </w:p>
  </w:footnote>
  <w:footnote w:id="9">
    <w:p w14:paraId="5A9F8707" w14:textId="77777777" w:rsidR="004374AE" w:rsidRDefault="00912C80" w:rsidP="004374AE">
      <w:pPr>
        <w:pStyle w:val="Voetnoottekst"/>
      </w:pPr>
      <w:r>
        <w:rPr>
          <w:rStyle w:val="Voetnootmarkering"/>
        </w:rPr>
        <w:footnoteRef/>
      </w:r>
      <w:r>
        <w:t xml:space="preserve"> </w:t>
      </w:r>
      <w:r>
        <w:tab/>
        <w:t>De vraag is dan onder meer welke verwerkingsgrondslag van artikel 6 AVG als basis dient.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D235"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561D02CF"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E766"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FB30" w14:textId="77777777" w:rsidR="00912C80" w:rsidRDefault="00912C80">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71E6"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3CE47F23"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25C5D"/>
    <w:multiLevelType w:val="hybridMultilevel"/>
    <w:tmpl w:val="8DEE6C4A"/>
    <w:lvl w:ilvl="0" w:tplc="567AE6BE">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86129F"/>
    <w:multiLevelType w:val="hybridMultilevel"/>
    <w:tmpl w:val="1E70025C"/>
    <w:lvl w:ilvl="0" w:tplc="77128CAC">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12C80"/>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 w:val="00F664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539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A30410"/>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1D2DE5"/>
    <w:rPr>
      <w:sz w:val="16"/>
      <w:szCs w:val="16"/>
    </w:rPr>
  </w:style>
  <w:style w:type="paragraph" w:styleId="Tekstopmerking">
    <w:name w:val="annotation text"/>
    <w:basedOn w:val="Standaard"/>
    <w:link w:val="TekstopmerkingChar"/>
    <w:semiHidden/>
    <w:unhideWhenUsed/>
    <w:rsid w:val="001D2DE5"/>
    <w:rPr>
      <w:sz w:val="20"/>
      <w:szCs w:val="20"/>
    </w:rPr>
  </w:style>
  <w:style w:type="character" w:customStyle="1" w:styleId="TekstopmerkingChar">
    <w:name w:val="Tekst opmerking Char"/>
    <w:basedOn w:val="Standaardalinea-lettertype"/>
    <w:link w:val="Tekstopmerking"/>
    <w:semiHidden/>
    <w:rsid w:val="001D2DE5"/>
    <w:rPr>
      <w:rFonts w:ascii="Univers" w:hAnsi="Univers"/>
    </w:rPr>
  </w:style>
  <w:style w:type="paragraph" w:styleId="Onderwerpvanopmerking">
    <w:name w:val="annotation subject"/>
    <w:basedOn w:val="Tekstopmerking"/>
    <w:next w:val="Tekstopmerking"/>
    <w:link w:val="OnderwerpvanopmerkingChar"/>
    <w:semiHidden/>
    <w:unhideWhenUsed/>
    <w:rsid w:val="001D2DE5"/>
    <w:rPr>
      <w:b/>
      <w:bCs/>
    </w:rPr>
  </w:style>
  <w:style w:type="character" w:customStyle="1" w:styleId="OnderwerpvanopmerkingChar">
    <w:name w:val="Onderwerp van opmerking Char"/>
    <w:basedOn w:val="TekstopmerkingChar"/>
    <w:link w:val="Onderwerpvanopmerking"/>
    <w:semiHidden/>
    <w:rsid w:val="001D2DE5"/>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header" Target="header4.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862</ap:Words>
  <ap:Characters>4968</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2013-05-08T08:42:00.0000000Z</dcterms:created>
  <dcterms:modified xsi:type="dcterms:W3CDTF">2022-10-04T09:50:00.0000000Z</dcterms:modified>
  <dc:description>------------------------</dc:description>
  <dc:subject/>
  <dc:title/>
  <keywords/>
  <version/>
  <category/>
</coreProperties>
</file>