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7315367"/>
        <w:lock w:val="contentLocked"/>
        <w:placeholder>
          <w:docPart w:val="DefaultPlaceholder_1082065158"/>
        </w:placeholder>
        <w:group/>
      </w:sdtPr>
      <w:sdtEndPr/>
      <w:sdtContent>
        <w:p w:rsidR="001410FD" w:rsidP="00AC5AD9" w:rsidRDefault="00977969" w14:paraId="58194076" w14:textId="77777777">
          <w:pPr>
            <w:tabs>
              <w:tab w:val="left" w:pos="3686"/>
            </w:tabs>
          </w:pPr>
          <w:r>
            <w:rPr>
              <w:noProof/>
            </w:rPr>
            <mc:AlternateContent>
              <mc:Choice Requires="wps">
                <w:drawing>
                  <wp:anchor distT="0" distB="0" distL="114300" distR="114300" simplePos="0" relativeHeight="251657728" behindDoc="0" locked="0" layoutInCell="1" allowOverlap="1" wp14:editId="21DE727A" wp14:anchorId="1C5271A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0EFC863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1DE50F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190D179" wp14:anchorId="6DDA7A4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W06.22.0091/III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24 augustus 2022</w:t>
              </w:r>
            </w:sdtContent>
          </w:sdt>
        </w:p>
        <w:p w:rsidR="00636D17" w:rsidP="00636D17" w:rsidRDefault="00636D17" w14:paraId="5BCAC7CE" w14:textId="77777777">
          <w:pPr>
            <w:tabs>
              <w:tab w:val="left" w:pos="3685"/>
            </w:tabs>
          </w:pPr>
        </w:p>
        <w:p w:rsidR="00636D17" w:rsidP="00636D17" w:rsidRDefault="00636D17" w14:paraId="0D601AFB"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8B1648" w:rsidRDefault="00D12FE3" w14:paraId="3AF7CD4D" w14:textId="77777777">
              <w:r>
                <w:t>Bij brief van de Voorzitter van de Tweede Kamer der Staten-Generaal van 8 juni 2022 heeft de Tweede Kamer, bij de Afdeling advisering van de Raad van State ter overweging aanhangig gemaakt het voorstel van wet van de leden Maatoug, Van der Lee en Nijboer h</w:t>
              </w:r>
              <w:r>
                <w:t>oudende wijziging van de Wet inkomstenbelasting 2001 en enige andere fiscale wetten in verband met het doen vervallen van enkele fiscale regelingen en het vervangen van het box 2-tarief door een progressief tarief, met memorie van toelichting.</w:t>
              </w:r>
            </w:p>
          </w:sdtContent>
        </w:sdt>
        <w:p w:rsidR="00CE4655" w:rsidP="003C7608" w:rsidRDefault="00CE4655" w14:paraId="4F8BCCB4" w14:textId="77777777"/>
        <w:sdt>
          <w:sdtPr>
            <w:alias w:val="VrijeTekst1"/>
            <w:tag w:val="VrijeTekst1"/>
            <w:id w:val="-437221631"/>
            <w:lock w:val="sdtLocked"/>
          </w:sdtPr>
          <w:sdtEndPr/>
          <w:sdtContent>
            <w:p w:rsidR="007D6932" w:rsidP="007D6932" w:rsidRDefault="00D12FE3" w14:paraId="4138E50A" w14:textId="77777777">
              <w:r>
                <w:t>Het initi</w:t>
              </w:r>
              <w:r>
                <w:t xml:space="preserve">atiefvoorstel strekt tot invoering van een progressief tarief voor de belastingheffing over inkomen uit aanmerkelijk belang (box 2). Daarnaast wordt een aantal regelingen in en gerelateerd aan box 2 versoberd. </w:t>
              </w:r>
            </w:p>
            <w:p w:rsidRPr="000875FB" w:rsidR="007D6932" w:rsidP="007D6932" w:rsidRDefault="00D12FE3" w14:paraId="3EB78DB2" w14:textId="77777777"/>
            <w:p w:rsidR="002D69EF" w:rsidP="007D6932" w:rsidRDefault="00D12FE3" w14:paraId="22C3B012" w14:textId="77777777">
              <w:pPr>
                <w:pStyle w:val="xmsonormal"/>
                <w:rPr>
                  <w:rFonts w:ascii="Univers" w:hAnsi="Univers"/>
                </w:rPr>
              </w:pPr>
              <w:r w:rsidRPr="000875FB">
                <w:rPr>
                  <w:rFonts w:ascii="Univers" w:hAnsi="Univers"/>
                </w:rPr>
                <w:t>De Afdeling advisering van de Raad van State</w:t>
              </w:r>
              <w:r w:rsidRPr="000875FB">
                <w:rPr>
                  <w:rFonts w:ascii="Univers" w:hAnsi="Univers"/>
                </w:rPr>
                <w:t xml:space="preserve"> </w:t>
              </w:r>
              <w:r>
                <w:rPr>
                  <w:rFonts w:ascii="Univers" w:hAnsi="Univers"/>
                </w:rPr>
                <w:t>begrijpt</w:t>
              </w:r>
              <w:r w:rsidRPr="000875FB">
                <w:rPr>
                  <w:rFonts w:ascii="Univers" w:hAnsi="Univers"/>
                </w:rPr>
                <w:t xml:space="preserve"> de wens van de initiatiefnemers om maatregelen te treffen om het belastingstelsel beter in balans te brengen en belastingarbitrage tegen te gaan. De initiatiefnemers onderkennen dat hiervoor een brede en ingrijpende herziening van het belastingst</w:t>
              </w:r>
              <w:r w:rsidRPr="000875FB">
                <w:rPr>
                  <w:rFonts w:ascii="Univers" w:hAnsi="Univers"/>
                </w:rPr>
                <w:t>elsel noodzakelijk is</w:t>
              </w:r>
              <w:r>
                <w:rPr>
                  <w:rFonts w:ascii="Univers" w:hAnsi="Univers"/>
                </w:rPr>
                <w:t>. O</w:t>
              </w:r>
              <w:r w:rsidRPr="000875FB">
                <w:rPr>
                  <w:rFonts w:ascii="Univers" w:hAnsi="Univers"/>
                </w:rPr>
                <w:t xml:space="preserve">mwille van de gewenste snelheid </w:t>
              </w:r>
              <w:r>
                <w:rPr>
                  <w:rFonts w:ascii="Univers" w:hAnsi="Univers"/>
                </w:rPr>
                <w:t>kiezen zij</w:t>
              </w:r>
              <w:r w:rsidRPr="000875FB">
                <w:rPr>
                  <w:rFonts w:ascii="Univers" w:hAnsi="Univers"/>
                </w:rPr>
                <w:t xml:space="preserve"> </w:t>
              </w:r>
              <w:r>
                <w:rPr>
                  <w:rFonts w:ascii="Univers" w:hAnsi="Univers"/>
                </w:rPr>
                <w:t>er</w:t>
              </w:r>
              <w:r w:rsidRPr="000875FB">
                <w:rPr>
                  <w:rFonts w:ascii="Univers" w:hAnsi="Univers"/>
                </w:rPr>
                <w:t xml:space="preserve">voor om </w:t>
              </w:r>
              <w:r>
                <w:rPr>
                  <w:rFonts w:ascii="Univers" w:hAnsi="Univers"/>
                </w:rPr>
                <w:t xml:space="preserve">nu </w:t>
              </w:r>
              <w:r w:rsidRPr="000875FB">
                <w:rPr>
                  <w:rFonts w:ascii="Univers" w:hAnsi="Univers"/>
                </w:rPr>
                <w:t xml:space="preserve">enkele </w:t>
              </w:r>
              <w:r>
                <w:rPr>
                  <w:rFonts w:ascii="Univers" w:hAnsi="Univers"/>
                </w:rPr>
                <w:t>‘gaten in het Nederlandse belastingstelsel te dichten’</w:t>
              </w:r>
              <w:r w:rsidRPr="000875FB">
                <w:rPr>
                  <w:rFonts w:ascii="Univers" w:hAnsi="Univers"/>
                </w:rPr>
                <w:t xml:space="preserve">. De Afdeling begrijpt deze </w:t>
              </w:r>
              <w:r>
                <w:rPr>
                  <w:rFonts w:ascii="Univers" w:hAnsi="Univers"/>
                </w:rPr>
                <w:t xml:space="preserve">keuze. </w:t>
              </w:r>
              <w:r w:rsidRPr="000875FB">
                <w:rPr>
                  <w:rFonts w:ascii="Univers" w:hAnsi="Univers"/>
                </w:rPr>
                <w:t xml:space="preserve">Verschillende van de voorgestelde maatregelen, zoals de beperkingen van de </w:t>
              </w:r>
              <w:r>
                <w:rPr>
                  <w:rFonts w:ascii="Univers" w:hAnsi="Univers"/>
                </w:rPr>
                <w:t>bedri</w:t>
              </w:r>
              <w:r>
                <w:rPr>
                  <w:rFonts w:ascii="Univers" w:hAnsi="Univers"/>
                </w:rPr>
                <w:t xml:space="preserve">jfsopvolgingsregeling en de </w:t>
              </w:r>
              <w:r w:rsidRPr="000875FB">
                <w:rPr>
                  <w:rFonts w:ascii="Univers" w:hAnsi="Univers"/>
                </w:rPr>
                <w:t xml:space="preserve">doorschuiffaciliteiten, </w:t>
              </w:r>
              <w:r>
                <w:rPr>
                  <w:rFonts w:ascii="Univers" w:hAnsi="Univers"/>
                </w:rPr>
                <w:t>kunn</w:t>
              </w:r>
              <w:r w:rsidRPr="000875FB">
                <w:rPr>
                  <w:rFonts w:ascii="Univers" w:hAnsi="Univers"/>
                </w:rPr>
                <w:t xml:space="preserve">en </w:t>
              </w:r>
              <w:r>
                <w:rPr>
                  <w:rFonts w:ascii="Univers" w:hAnsi="Univers"/>
                </w:rPr>
                <w:t xml:space="preserve">als eerste stap </w:t>
              </w:r>
              <w:r w:rsidRPr="000875FB">
                <w:rPr>
                  <w:rFonts w:ascii="Univers" w:hAnsi="Univers"/>
                </w:rPr>
                <w:t xml:space="preserve">van een bredere aanpak een nuttige bijdrage leveren, </w:t>
              </w:r>
              <w:r>
                <w:rPr>
                  <w:rFonts w:ascii="Univers" w:hAnsi="Univers"/>
                </w:rPr>
                <w:t>en daarbij ook bijdragen aan het verminderen van de druk op menskracht en systemen bij de Belastingdienst.</w:t>
              </w:r>
            </w:p>
            <w:p w:rsidR="002D69EF" w:rsidP="007D6932" w:rsidRDefault="00D12FE3" w14:paraId="4846642D" w14:textId="77777777">
              <w:pPr>
                <w:pStyle w:val="xmsonormal"/>
                <w:rPr>
                  <w:rFonts w:ascii="Univers" w:hAnsi="Univers"/>
                </w:rPr>
              </w:pPr>
            </w:p>
            <w:p w:rsidR="007D6932" w:rsidP="007D6932" w:rsidRDefault="00D12FE3" w14:paraId="4F7DF0AF" w14:textId="77777777">
              <w:pPr>
                <w:pStyle w:val="xmsonormal"/>
                <w:rPr>
                  <w:rFonts w:ascii="Univers" w:hAnsi="Univers"/>
                </w:rPr>
              </w:pPr>
              <w:r>
                <w:rPr>
                  <w:rFonts w:ascii="Univers" w:hAnsi="Univers"/>
                </w:rPr>
                <w:t xml:space="preserve">De </w:t>
              </w:r>
              <w:r>
                <w:rPr>
                  <w:rFonts w:ascii="Univers" w:hAnsi="Univers"/>
                </w:rPr>
                <w:t>voorgestelde maatregelen leiden wel tot enige vragen en aandachtspunten</w:t>
              </w:r>
              <w:r w:rsidRPr="000875FB">
                <w:rPr>
                  <w:rFonts w:ascii="Univers" w:hAnsi="Univers"/>
                </w:rPr>
                <w:t xml:space="preserve">. </w:t>
              </w:r>
              <w:r>
                <w:rPr>
                  <w:rFonts w:ascii="Univers" w:hAnsi="Univers"/>
                </w:rPr>
                <w:t>Zo blijve</w:t>
              </w:r>
              <w:r w:rsidRPr="000875FB">
                <w:rPr>
                  <w:rFonts w:ascii="Univers" w:hAnsi="Univers"/>
                </w:rPr>
                <w:t xml:space="preserve">n </w:t>
              </w:r>
              <w:r>
                <w:rPr>
                  <w:rFonts w:ascii="Univers" w:hAnsi="Univers"/>
                </w:rPr>
                <w:t xml:space="preserve">er </w:t>
              </w:r>
              <w:r w:rsidRPr="000875FB">
                <w:rPr>
                  <w:rFonts w:ascii="Univers" w:hAnsi="Univers"/>
                </w:rPr>
                <w:t xml:space="preserve">voor de betrokken belastingplichtigen mogelijkheden om hun activiteiten zo in te richten dat zij door </w:t>
              </w:r>
              <w:r>
                <w:rPr>
                  <w:rFonts w:ascii="Univers" w:hAnsi="Univers"/>
                </w:rPr>
                <w:t>bepaal</w:t>
              </w:r>
              <w:r w:rsidRPr="000875FB">
                <w:rPr>
                  <w:rFonts w:ascii="Univers" w:hAnsi="Univers"/>
                </w:rPr>
                <w:t xml:space="preserve">de maatregelen niet of slechts beperkt worden geraakt. Belastingarbitrage </w:t>
              </w:r>
              <w:r>
                <w:rPr>
                  <w:rFonts w:ascii="Univers" w:hAnsi="Univers"/>
                </w:rPr>
                <w:t>effectief tegengaan vraagt om</w:t>
              </w:r>
              <w:r w:rsidRPr="000875FB">
                <w:rPr>
                  <w:rFonts w:ascii="Univers" w:hAnsi="Univers"/>
                </w:rPr>
                <w:t xml:space="preserve"> een </w:t>
              </w:r>
              <w:r>
                <w:rPr>
                  <w:rFonts w:ascii="Univers" w:hAnsi="Univers"/>
                </w:rPr>
                <w:t>brede</w:t>
              </w:r>
              <w:r w:rsidRPr="000875FB">
                <w:rPr>
                  <w:rFonts w:ascii="Univers" w:hAnsi="Univers"/>
                </w:rPr>
                <w:t xml:space="preserve"> aanpak</w:t>
              </w:r>
              <w:r>
                <w:rPr>
                  <w:rFonts w:ascii="Univers" w:hAnsi="Univers"/>
                </w:rPr>
                <w:t>.</w:t>
              </w:r>
              <w:r>
                <w:rPr>
                  <w:rStyle w:val="Voetnootmarkering"/>
                  <w:rFonts w:ascii="Univers" w:hAnsi="Univers"/>
                </w:rPr>
                <w:footnoteReference w:id="1"/>
              </w:r>
              <w:r w:rsidRPr="000875FB">
                <w:rPr>
                  <w:rFonts w:ascii="Univers" w:hAnsi="Univers"/>
                </w:rPr>
                <w:t xml:space="preserve"> </w:t>
              </w:r>
            </w:p>
            <w:p w:rsidR="007D6932" w:rsidP="007D6932" w:rsidRDefault="00D12FE3" w14:paraId="2D87375A" w14:textId="77777777">
              <w:pPr>
                <w:pStyle w:val="xmsonormal"/>
                <w:rPr>
                  <w:rFonts w:ascii="Univers" w:hAnsi="Univers"/>
                </w:rPr>
              </w:pPr>
            </w:p>
            <w:p w:rsidR="007D6932" w:rsidP="007D6932" w:rsidRDefault="00D12FE3" w14:paraId="37634001" w14:textId="77777777">
              <w:r>
                <w:t xml:space="preserve">Over de </w:t>
              </w:r>
              <w:r w:rsidRPr="000E18D9">
                <w:t>voorgestelde</w:t>
              </w:r>
              <w:r>
                <w:t xml:space="preserve"> </w:t>
              </w:r>
              <w:r w:rsidRPr="000E18D9">
                <w:t xml:space="preserve">tweeschijventariefstructuur voor heffing over inkomen uit aanmerkelijk belang </w:t>
              </w:r>
              <w:r>
                <w:t>merkt de Afdeling meer in het b</w:t>
              </w:r>
              <w:r>
                <w:t xml:space="preserve">ijzonder op dat zij niet ziet welke bijdrage die maatregel </w:t>
              </w:r>
              <w:r w:rsidRPr="000E18D9">
                <w:t>zou leveren aan het verbeteren van de balans</w:t>
              </w:r>
              <w:r>
                <w:t xml:space="preserve"> in het belastingstelsel</w:t>
              </w:r>
              <w:r w:rsidRPr="000E18D9">
                <w:t>.</w:t>
              </w:r>
              <w:r>
                <w:t xml:space="preserve"> De grootste onevenwichtigheden worden veroorzaakt door de tarieven in de vennootschapsbelasting. Bij gelijkblijvende vennootsch</w:t>
              </w:r>
              <w:r>
                <w:t>apsbelastingtarieven maakt invoering van een tweeschijventariefstructuur in box 2 het voor de groep die het aangaat nog minder aantrekkelijk om dividend uit te keren, zeker nu voor hen alternatieven beschikbaar zijn.</w:t>
              </w:r>
              <w:r w:rsidRPr="000E18D9">
                <w:t xml:space="preserve"> </w:t>
              </w:r>
            </w:p>
            <w:p w:rsidR="007D6932" w:rsidP="007D6932" w:rsidRDefault="00D12FE3" w14:paraId="759B24B3" w14:textId="77777777"/>
            <w:p w:rsidR="007D6932" w:rsidP="007D6932" w:rsidRDefault="00D12FE3" w14:paraId="5BDBEC06" w14:textId="77777777">
              <w:r>
                <w:t>In verband met het voorgaande is aanp</w:t>
              </w:r>
              <w:r>
                <w:t xml:space="preserve">assing </w:t>
              </w:r>
              <w:r>
                <w:t xml:space="preserve">wenselijk </w:t>
              </w:r>
              <w:r>
                <w:t xml:space="preserve">van het </w:t>
              </w:r>
              <w:r>
                <w:t>wets</w:t>
              </w:r>
              <w:r>
                <w:t>voorstel en de toelichting.</w:t>
              </w:r>
            </w:p>
            <w:p w:rsidR="0066663A" w:rsidP="0066663A" w:rsidRDefault="00D12FE3" w14:paraId="1EFA8BE8" w14:textId="77777777"/>
            <w:p w:rsidRPr="000A3D72" w:rsidR="0045193A" w:rsidP="0045193A" w:rsidRDefault="00D12FE3" w14:paraId="0CD60213" w14:textId="77777777">
              <w:pPr>
                <w:rPr>
                  <w:u w:val="single"/>
                </w:rPr>
              </w:pPr>
              <w:r>
                <w:lastRenderedPageBreak/>
                <w:t>1.</w:t>
              </w:r>
              <w:r>
                <w:tab/>
              </w:r>
              <w:r>
                <w:rPr>
                  <w:u w:val="single"/>
                </w:rPr>
                <w:t>Inleiding</w:t>
              </w:r>
            </w:p>
            <w:p w:rsidR="0045193A" w:rsidP="0045193A" w:rsidRDefault="00D12FE3" w14:paraId="091A4EA0" w14:textId="77777777"/>
            <w:p w:rsidR="002D69EF" w:rsidP="007D6932" w:rsidRDefault="00D12FE3" w14:paraId="5146FAAF" w14:textId="77777777">
              <w:r>
                <w:t xml:space="preserve">Het </w:t>
              </w:r>
              <w:r>
                <w:t>wets</w:t>
              </w:r>
              <w:r>
                <w:t>voorstel is ingegeven door de wens te komen tot een betere balans tussen de heffing op arbeid en de heffing op kapitaal. De toelichting wijst erop dat het stelsel in de loop va</w:t>
              </w:r>
              <w:r>
                <w:t>n de jaren na de invoering van de Wet inkomstenbelasting 2001 (Wet IB 2001) uit balans is geraakt, onder andere door opeenvolgende verlagingen van de tarieven in de vennootschapsbelasting en door invoering en uitbreiding van verschillende belastingfacilite</w:t>
              </w:r>
              <w:r>
                <w:t>iten (vennootschapsbelasting, ib-winst,</w:t>
              </w:r>
              <w:r>
                <w:rPr>
                  <w:rStyle w:val="Voetnootmarkering"/>
                </w:rPr>
                <w:footnoteReference w:id="2"/>
              </w:r>
              <w:r>
                <w:t xml:space="preserve"> inkomsten uit arbeid, aanmerkelijkbelangheffing, inkomsten uit vermogen en erfbelasting). </w:t>
              </w:r>
            </w:p>
            <w:p w:rsidR="002D69EF" w:rsidP="007D6932" w:rsidRDefault="00D12FE3" w14:paraId="2B0BEC02" w14:textId="77777777"/>
            <w:p w:rsidR="007D6932" w:rsidP="007D6932" w:rsidRDefault="00D12FE3" w14:paraId="0369D9CE" w14:textId="77777777">
              <w:r>
                <w:t xml:space="preserve">In het bijzonder </w:t>
              </w:r>
              <w:r>
                <w:t>ondernemers en houders van aandelenbelangen van minimaal 5% (aanmerkelijkbelanghouders) hebben, anders da</w:t>
              </w:r>
              <w:r>
                <w:t>n werknemers, binnen de grenzen van de huidige wetgeving verschillende mogelijkheden om dusdanige voorzieningen te treffen dat zo min mogelijk belasting wordt betaald of belastingbetaling voor een lange periode wordt uitgesteld, of zelfs wordt afgesteld. H</w:t>
              </w:r>
              <w:r>
                <w:t>et gevolg is dat grote verschillen in belastingheffing ontstaan, afhankelijk van de gekozen vorm waarin activiteiten worden verricht of vermogen wordt beheerd. Deels kunnen hier goede redenen voor zijn, maar uit recente onderzoeken blijkt dat in de loop de</w:t>
              </w:r>
              <w:r>
                <w:t>r jaren een disbalans is ontstaan.</w:t>
              </w:r>
              <w:r>
                <w:rPr>
                  <w:rStyle w:val="Voetnootmarkering"/>
                </w:rPr>
                <w:footnoteReference w:id="3"/>
              </w:r>
            </w:p>
            <w:p w:rsidR="007D6932" w:rsidP="007D6932" w:rsidRDefault="00D12FE3" w14:paraId="0ED5557B" w14:textId="77777777"/>
            <w:p w:rsidR="007D6932" w:rsidP="007D6932" w:rsidRDefault="00D12FE3" w14:paraId="293D1884" w14:textId="77777777">
              <w:r>
                <w:t xml:space="preserve">De initiatiefnemers willen met het voorstel de belastingheffing van aanmerkelijkbelanghouders weer meer in balans brengen met die van werknemers. In de toelichting wordt onderkend dat vanwege de vele mogelijkheden tot </w:t>
              </w:r>
              <w:r>
                <w:t xml:space="preserve">belastingarbitrage een veelomvattende en ingrijpende belastingherziening nodig is om deze problematiek adequaat aan te kunnen pakken. Omdat een dergelijke belastingherziening een lange adem en voldoende capaciteit bij de Belastingdienst vergt, is blijkens </w:t>
              </w:r>
              <w:r>
                <w:t xml:space="preserve">de toelichting gekozen voor beperktere, eenvoudiger door te voeren maatregelen om zo snel mogelijk de grootste gaten in het Nederlandse belastingstelsel te dichten en zo de lasten eerlijker te verdelen. Daartoe worden </w:t>
              </w:r>
              <w:r>
                <w:t xml:space="preserve">in het bijzonder </w:t>
              </w:r>
              <w:r>
                <w:t>uitzonderingen voor d</w:t>
              </w:r>
              <w:r>
                <w:t>e behandeling van inkomen uit aanmerkelijk belang geschrapt, die volgens de initiatiefnemers geen economisch doel dienen, terwijl ze het belastingstelsel ingewikkelder en oneerlijker maken.</w:t>
              </w:r>
              <w:r>
                <w:rPr>
                  <w:rStyle w:val="Voetnootmarkering"/>
                </w:rPr>
                <w:footnoteReference w:id="4"/>
              </w:r>
              <w:r>
                <w:t xml:space="preserve"> </w:t>
              </w:r>
            </w:p>
            <w:p w:rsidR="007D6932" w:rsidP="007D6932" w:rsidRDefault="00D12FE3" w14:paraId="27E248B6" w14:textId="77777777"/>
            <w:p w:rsidR="008B1648" w:rsidRDefault="00D12FE3" w14:paraId="2F0C2FE8" w14:textId="77777777">
              <w:r>
                <w:t>De Afdeling begrijpt de wens om de grootste knelpunten en onev</w:t>
              </w:r>
              <w:r>
                <w:t>enwichtigheden op korte termijn weg te nemen. Dit kan ook bijdragen aan het verminderen van de druk op menskracht en systemen bij de Belastingdienst. Zij merkt wel op dat, gegeven de mogelijkheden die bepaalde belastingplichtigen hebben om hun activiteiten</w:t>
              </w:r>
              <w:r>
                <w:t xml:space="preserve"> op verschillende wijzen in te richten (belastingarbitrage), de keuze van de maatregelen en de vormgeving ervan bijzondere aandacht vergen. </w:t>
              </w:r>
            </w:p>
            <w:p w:rsidR="007D6932" w:rsidP="007D6932" w:rsidRDefault="00D12FE3" w14:paraId="01969D32" w14:textId="77777777"/>
            <w:p w:rsidR="007D6932" w:rsidP="007D6932" w:rsidRDefault="00D12FE3" w14:paraId="0A192656" w14:textId="77777777">
              <w:r w:rsidRPr="002D6785">
                <w:lastRenderedPageBreak/>
                <w:t xml:space="preserve">De Afdeling </w:t>
              </w:r>
              <w:r>
                <w:t xml:space="preserve">heeft </w:t>
              </w:r>
              <w:r>
                <w:t xml:space="preserve">bij de opstelling van dit advies geen kennis kunnen nemen van </w:t>
              </w:r>
              <w:r w:rsidRPr="002D6785">
                <w:t>de uitvoeringstoets van de Belastingdienst</w:t>
              </w:r>
              <w:r>
                <w:t>, omdat die</w:t>
              </w:r>
              <w:r w:rsidRPr="002D6785">
                <w:t xml:space="preserve"> vertraging heeft opgelopen.</w:t>
              </w:r>
              <w:r>
                <w:t xml:space="preserve"> Gelet op het spoedverzoek brengt de Afdeling nu </w:t>
              </w:r>
              <w:r>
                <w:t xml:space="preserve">toch </w:t>
              </w:r>
              <w:r>
                <w:t>advies uit. Zij heeft die toets wel gemist, bijvoorbeeld wa</w:t>
              </w:r>
              <w:r>
                <w:t>ar het de uitvoerbaarheid van de afschaffing van de doelmatigheidsmarge bij de gebruikelijkloonregeling betreft. Zij adviseert de initiatiefnemers, mede gelet op de uitvoeringsproblematiek bij de Belastingdienst, serieus notie te nemen van de nog te versch</w:t>
              </w:r>
              <w:r>
                <w:t>ijnen uitvoeringstoets en hier op te reageren.</w:t>
              </w:r>
            </w:p>
            <w:p w:rsidR="007D6932" w:rsidP="007D6932" w:rsidRDefault="00D12FE3" w14:paraId="01E07A4D" w14:textId="77777777"/>
            <w:p w:rsidR="008B1648" w:rsidRDefault="00D12FE3" w14:paraId="1BC09EC6" w14:textId="77777777">
              <w:pPr>
                <w:rPr>
                  <w:u w:val="single"/>
                </w:rPr>
              </w:pPr>
              <w:r>
                <w:t>2.</w:t>
              </w:r>
              <w:r>
                <w:tab/>
              </w:r>
              <w:r>
                <w:rPr>
                  <w:u w:val="single"/>
                </w:rPr>
                <w:t>Tariefmaatregel</w:t>
              </w:r>
            </w:p>
            <w:p w:rsidR="007E65A4" w:rsidP="007E65A4" w:rsidRDefault="00D12FE3" w14:paraId="4797D601" w14:textId="77777777"/>
            <w:p w:rsidR="008B1648" w:rsidRDefault="00D12FE3" w14:paraId="26F9C2D0" w14:textId="77777777">
              <w:r>
                <w:t xml:space="preserve">Het </w:t>
              </w:r>
              <w:r>
                <w:t>wets</w:t>
              </w:r>
              <w:r>
                <w:t>voorstel voorziet in de invoering van een progressief tarief in box 2. Dit resulteert ten opzichte van het huidige tarief van 26,9% in een kleine verlaging tot 25,96% bij een belas</w:t>
              </w:r>
              <w:r>
                <w:t>tbaar inkomen uit aanmerkelijk belang tot en met € </w:t>
              </w:r>
              <w:r w:rsidRPr="00BA7456">
                <w:t xml:space="preserve">58.989 </w:t>
              </w:r>
              <w:r>
                <w:t>en daarboven een tarief van 40,59%.</w:t>
              </w:r>
              <w:r>
                <w:t xml:space="preserve"> </w:t>
              </w:r>
              <w:r>
                <w:t xml:space="preserve">De Afdeling merkt </w:t>
              </w:r>
              <w:r>
                <w:t xml:space="preserve">hierover </w:t>
              </w:r>
              <w:r>
                <w:t>het volgende op.</w:t>
              </w:r>
            </w:p>
            <w:p w:rsidR="007D6932" w:rsidP="007D6932" w:rsidRDefault="00D12FE3" w14:paraId="56B36AA5" w14:textId="77777777"/>
            <w:p w:rsidR="007D6932" w:rsidP="007D6932" w:rsidRDefault="00D12FE3" w14:paraId="3C0F27EA" w14:textId="77777777">
              <w:r>
                <w:t>a.</w:t>
              </w:r>
              <w:r>
                <w:tab/>
              </w:r>
              <w:r w:rsidRPr="00E80826">
                <w:rPr>
                  <w:i/>
                  <w:iCs/>
                </w:rPr>
                <w:t>Disbalans</w:t>
              </w:r>
            </w:p>
            <w:p w:rsidR="007D6932" w:rsidP="007D6932" w:rsidRDefault="00D12FE3" w14:paraId="2C7B0C08" w14:textId="77777777">
              <w:r>
                <w:t xml:space="preserve">In de </w:t>
              </w:r>
              <w:r>
                <w:t xml:space="preserve">memorie van </w:t>
              </w:r>
              <w:r>
                <w:t xml:space="preserve">toelichting is geschetst dat het belastingstelsel gaandeweg uit balans is </w:t>
              </w:r>
              <w:r>
                <w:t>geraakt. De tarieven en regelingen die gelden voor de verschillende soorten inkomen in de inkomstenbelasting spelen hierbij een rol, evenals de in de loop der tijd sterk verlaagde vennootschapsbelastingtarieven. Figuur 5 van de toelichting is in dit verban</w:t>
              </w:r>
              <w:r>
                <w:t>d instructief</w:t>
              </w:r>
              <w:r>
                <w:t>.</w:t>
              </w:r>
              <w:r>
                <w:t xml:space="preserve"> </w:t>
              </w:r>
              <w:r>
                <w:t>D</w:t>
              </w:r>
              <w:r>
                <w:t>aaruit blijkt dat de belasting op loon hoger is dan de belasting op winst uit onderneming en ook dan de gecombineerde heffing bij aanmerkelijk belanghouders. Ook wijst de Afdeling op het rapport IBO Vermogensverdeling, waarin wordt geschets</w:t>
              </w:r>
              <w:r>
                <w:t>t dat de verstoring van het evenwicht voor de directeur grootaandeelhouder (dga) het gevolg is van enerzijds opeenvolgende verlagingen van de vennootschapsbelastingtarieven en anderzijds het verhogen van de schijfgrens voor het lage vennootschapsbelastingt</w:t>
              </w:r>
              <w:r>
                <w:t>arief.</w:t>
              </w:r>
              <w:r>
                <w:rPr>
                  <w:rStyle w:val="Voetnootmarkering"/>
                </w:rPr>
                <w:footnoteReference w:id="5"/>
              </w:r>
              <w:r>
                <w:t xml:space="preserve"> </w:t>
              </w:r>
            </w:p>
            <w:p w:rsidR="007D6932" w:rsidP="007D6932" w:rsidRDefault="00D12FE3" w14:paraId="07896873" w14:textId="77777777"/>
            <w:p w:rsidR="00A20DEB" w:rsidP="007D6932" w:rsidRDefault="00D12FE3" w14:paraId="3D78B994" w14:textId="77777777">
              <w:r>
                <w:t xml:space="preserve">De Afdeling ziet tegen deze achtergrond niet in welke bijdrage de voorgestelde, complexiteit verhogende tweeschijventariefstructuur voor heffing over inkomen uit aanmerkelijk belang zou leveren aan het verbeteren van de balans. De belangrijkste </w:t>
              </w:r>
              <w:r>
                <w:t xml:space="preserve">oorzaak, de lage vennootschapsbelastingdruk, wordt immers ongemoeid gelaten. Sinds de invoering van de Wet inkomstenbelasting 2001 zijn de vennootschapstarieven gedaald en is de tariefopstap </w:t>
              </w:r>
              <w:r>
                <w:t xml:space="preserve">steeds </w:t>
              </w:r>
              <w:r>
                <w:t>verlengd</w:t>
              </w:r>
              <w:r>
                <w:t>.</w:t>
              </w:r>
              <w:r>
                <w:t xml:space="preserve"> </w:t>
              </w:r>
              <w:r>
                <w:t>D</w:t>
              </w:r>
              <w:r>
                <w:t xml:space="preserve">aardoor </w:t>
              </w:r>
              <w:r>
                <w:t xml:space="preserve">is </w:t>
              </w:r>
              <w:r>
                <w:t>een disbalans ontstaan. In 2001 bedr</w:t>
              </w:r>
              <w:r>
                <w:t xml:space="preserve">oeg het vennootschapsbelastingtarief 30% voor de eerste 50.000 gulden (nog geen € 23.000) en 35% voor het meerdere. In 2022 bedraagt het tarief 15% voor de eerste € 395.000 en 25,8% voor het meerdere. </w:t>
              </w:r>
            </w:p>
            <w:p w:rsidR="00A20DEB" w:rsidP="007D6932" w:rsidRDefault="00D12FE3" w14:paraId="5B742646" w14:textId="77777777"/>
            <w:p w:rsidR="007D6932" w:rsidP="007D6932" w:rsidRDefault="00D12FE3" w14:paraId="11ED3E86" w14:textId="0807F9BC">
              <w:r>
                <w:t>Door het in stand laten van het verlaagde vennootscha</w:t>
              </w:r>
              <w:r>
                <w:t>psbelastingtarief, blijft het aantrekkelijk om winsten niet uit te keren, maar op te potten in de vennootschap. Bij het voorgestelde lage tarief over een belastbaar inkomen uit aanmerkelijk belang tot en met € 58.989 wijzigt de gecombineerde heffing niet w</w:t>
              </w:r>
              <w:r>
                <w:t xml:space="preserve">ezenlijk ten </w:t>
              </w:r>
              <w:r>
                <w:lastRenderedPageBreak/>
                <w:t xml:space="preserve">opzichte van de huidige situatie. Het voorgestelde hoge tarief leidt echter tot nieuwe onevenwichtigheden, waarbij het nog minder aantrekkelijk wordt dan nu het geval is om grotere dividenduitkeringen te doen. De heffing is bij een combinatie </w:t>
              </w:r>
              <w:r>
                <w:t>van het hoge vennootschapsbelastingtarief en het hoge box 2 tarief dusdanig hoog (55,92%) in vergelijking tot alternatieven, dat die alternatieve wegen zullen worden bewandeld. Heffing tegen het hoge tarief zal zich in de praktijk dan ook nauwelijks voordo</w:t>
              </w:r>
              <w:r>
                <w:t>en (zie ook hierna onder b).</w:t>
              </w:r>
            </w:p>
            <w:p w:rsidR="007D6932" w:rsidP="007D6932" w:rsidRDefault="00D12FE3" w14:paraId="55844E28" w14:textId="77777777"/>
            <w:p w:rsidR="007D6932" w:rsidP="007D6932" w:rsidRDefault="00D12FE3" w14:paraId="4FB72634" w14:textId="77777777">
              <w:r>
                <w:t xml:space="preserve">b. </w:t>
              </w:r>
              <w:r>
                <w:tab/>
              </w:r>
              <w:r w:rsidRPr="00E80826">
                <w:rPr>
                  <w:i/>
                  <w:iCs/>
                </w:rPr>
                <w:t>Nieuwe impulsen voor belastingarbitrage</w:t>
              </w:r>
            </w:p>
            <w:p w:rsidR="007D6932" w:rsidP="007D6932" w:rsidRDefault="00D12FE3" w14:paraId="40417248" w14:textId="77777777">
              <w:r>
                <w:t>De Afdeling merkt op dat van de voorgestelde tariefstructuur nieuwe impulsen voor belastingarbitrage uit zullen gaan</w:t>
              </w:r>
              <w:r>
                <w:t>.</w:t>
              </w:r>
              <w:r>
                <w:t xml:space="preserve"> </w:t>
              </w:r>
              <w:r>
                <w:t xml:space="preserve">Dit </w:t>
              </w:r>
              <w:r>
                <w:t>omdat aanmerkelijk belanghouders, anders dan werknemers, i</w:t>
              </w:r>
              <w:r>
                <w:t>n grote mate zelf kunnen bepalen hoe ze gelden willen ontvangen, bijvoorbeeld in de vorm van een lening, dividend of loon. Het voorgestelde tweeschijventarief geeft, zeker gezien het forse tariefverschil, in combinatie met het lage vennootschapsbelastingta</w:t>
              </w:r>
              <w:r>
                <w:t>rief een nog sterkere prikkel om maximaal te lenen,</w:t>
              </w:r>
              <w:r>
                <w:rPr>
                  <w:rStyle w:val="Voetnootmarkering"/>
                </w:rPr>
                <w:footnoteReference w:id="6"/>
              </w:r>
              <w:r>
                <w:t xml:space="preserve"> zoveel mogelijk winsten op te potten in de vennootschap en in ieder geval tot niet meer dan de eerste tariefschijf winstuitkeringen te doen. </w:t>
              </w:r>
            </w:p>
            <w:p w:rsidR="007D6932" w:rsidP="007D6932" w:rsidRDefault="00D12FE3" w14:paraId="29CA0262" w14:textId="77777777"/>
            <w:p w:rsidR="007D6932" w:rsidP="007D6932" w:rsidRDefault="00D12FE3" w14:paraId="45CA355B" w14:textId="77777777">
              <w:r>
                <w:t xml:space="preserve">Hierbij is </w:t>
              </w:r>
              <w:r>
                <w:t xml:space="preserve">ook </w:t>
              </w:r>
              <w:r>
                <w:t>van belang dat inkomen uit aanmerkelijk bela</w:t>
              </w:r>
              <w:r>
                <w:t>ng, anders dan bijvoorbeeld loon, voor de heffing van inkomstenbelasting een zogeheten gemeenschappelijk inkomensbestanddeel is.</w:t>
              </w:r>
              <w:r>
                <w:rPr>
                  <w:rStyle w:val="Voetnootmarkering"/>
                </w:rPr>
                <w:footnoteReference w:id="7"/>
              </w:r>
              <w:r>
                <w:t xml:space="preserve"> Dit betekent dat als een aanmerkelijkbelanghouder een fiscaal partner heeft, het inkomen uit aanmerkelijk belang deels aan di</w:t>
              </w:r>
              <w:r>
                <w:t>e partner kan worden toegerekend, zonder dat deze partner daadwerkelijk aandelen heeft of inkomen uit aanmerkelijk belang ontvangt. Anders dan bij winst uit onderneming of loon in box 1, kan een aanmerkelijkbelanghouder met een partner door toerekening fei</w:t>
              </w:r>
              <w:r>
                <w:t>telijk tweemaal van het lage box 2 tarief gebruik maken, waardoor de eerste schijf in die gevallen de facto niet € 58.989 zou zijn, maar € 117.978. Het is de Afdeling niet duidelijk of dit verschil tussen box 1 en box 2 door de initiatiefnemers is onderken</w:t>
              </w:r>
              <w:r>
                <w:t>d.</w:t>
              </w:r>
            </w:p>
            <w:p w:rsidR="007D6932" w:rsidP="007D6932" w:rsidRDefault="00D12FE3" w14:paraId="796DB008" w14:textId="77777777"/>
            <w:p w:rsidR="007D6932" w:rsidP="007D6932" w:rsidRDefault="00D12FE3" w14:paraId="00072A28" w14:textId="77777777">
              <w:r>
                <w:t xml:space="preserve">Daarnaast </w:t>
              </w:r>
              <w:r>
                <w:t>merkt de Afdeling op dat het belastinguitstel in het initiatief</w:t>
              </w:r>
              <w:r>
                <w:t>wets</w:t>
              </w:r>
              <w:r>
                <w:t>voorstel weliswaar in de tijd wordt beperkt door afschaffing van de doorschuifregelingen, maar dat de eindafrekening bij overlijden op een ver moment in de toekomst kan liggen</w:t>
              </w:r>
              <w:r>
                <w:t>. Het risico bestaat derhalve dat het Laffercurve-effect zich zal voordoen: een hoger aanmerkelijkbelangtarief in de tweede schijf dat als gevolg van gedragseffecten tot lagere belastingopbrengsten leidt. De toelichting besteedt geen aandacht aan dit mogel</w:t>
              </w:r>
              <w:r>
                <w:t xml:space="preserve">ijke gedragseffect. </w:t>
              </w:r>
            </w:p>
            <w:p w:rsidR="007D6932" w:rsidP="007D6932" w:rsidRDefault="00D12FE3" w14:paraId="2DE8EEC3" w14:textId="77777777"/>
            <w:p w:rsidRPr="00E80826" w:rsidR="007D6932" w:rsidP="007D6932" w:rsidRDefault="00D12FE3" w14:paraId="5C1C8B74" w14:textId="77777777">
              <w:pPr>
                <w:rPr>
                  <w:i/>
                  <w:iCs/>
                </w:rPr>
              </w:pPr>
              <w:r>
                <w:t>c.</w:t>
              </w:r>
              <w:r>
                <w:tab/>
              </w:r>
              <w:r w:rsidRPr="00E80826">
                <w:rPr>
                  <w:i/>
                  <w:iCs/>
                </w:rPr>
                <w:t>Ver</w:t>
              </w:r>
              <w:r>
                <w:rPr>
                  <w:i/>
                  <w:iCs/>
                </w:rPr>
                <w:t>houding tot box 3</w:t>
              </w:r>
            </w:p>
            <w:p w:rsidR="007D6932" w:rsidP="007D6932" w:rsidRDefault="00D12FE3" w14:paraId="4E1EB5BC" w14:textId="77777777">
              <w:r>
                <w:t xml:space="preserve">De toelichting veronderstelt dat het hogere tarief in box 2 de prikkel weg zal nemen om vermogen van box 3 naar box 2 te verschuiven. De toelichting </w:t>
              </w:r>
              <w:r>
                <w:t>motiveer</w:t>
              </w:r>
              <w:r>
                <w:t>t dit niet, terwijl met het lage vennootschapsbelastingtarief het oppotten in box 2 onverminderd aa</w:t>
              </w:r>
              <w:r>
                <w:t xml:space="preserve">ntrekkelijk blijft. Dit wordt versterkt als in box 3 een </w:t>
              </w:r>
              <w:r>
                <w:lastRenderedPageBreak/>
                <w:t>vermogensaanwasbelasting wordt geïntroduceerd (directe belastingheffing bij waardestijging), terwijl voor box 2 een vermogenswinstbelasting blijft bestaan (uitstel van belastingheffing tot realisatie</w:t>
              </w:r>
              <w:r>
                <w:t>): dit zal eerder een aanzuigend effect van box 3 naar box 2 hebben. De Afdeling begrijpt zonder nadere toelichting dan ook niet de verwachting van de initiatiefnemers dat de tariefmaatregel zal leiden tot minder schulden bij de eigen vennootschap.</w:t>
              </w:r>
              <w:r>
                <w:rPr>
                  <w:rStyle w:val="Voetnootmarkering"/>
                </w:rPr>
                <w:footnoteReference w:id="8"/>
              </w:r>
              <w:r>
                <w:t xml:space="preserve"> </w:t>
              </w:r>
            </w:p>
            <w:p w:rsidR="007D6932" w:rsidP="007D6932" w:rsidRDefault="00D12FE3" w14:paraId="0B2EC9E9" w14:textId="77777777"/>
            <w:p w:rsidR="007D6932" w:rsidP="007D6932" w:rsidRDefault="00D12FE3" w14:paraId="1D04B69B" w14:textId="77777777">
              <w:r>
                <w:t>d.</w:t>
              </w:r>
              <w:r>
                <w:tab/>
              </w:r>
              <w:r w:rsidRPr="00E80826">
                <w:rPr>
                  <w:i/>
                  <w:iCs/>
                </w:rPr>
                <w:t>Conclusie</w:t>
              </w:r>
            </w:p>
            <w:p w:rsidR="007D6932" w:rsidP="007D6932" w:rsidRDefault="00D12FE3" w14:paraId="58DE0C4F" w14:textId="77777777">
              <w:r>
                <w:t>De Afdeling begrijpt de wens om de tariefstructuur in het belastingstelsel voor de verschillende soorten inkomen beter in balans te brengen. De Afdeling ziet echter niet zonder meer in welke bijdrage de voorgestelde, complexiteit verhogende twees</w:t>
              </w:r>
              <w:r>
                <w:t>chijventariefstructuur voor heffing over inkomen uit aanmerkelijk belang zou leveren aan het verbeteren van die balans. De oorzaak, die is gelegen in de vennootschapsbelastingtarieven, wordt immers ongemoeid gelaten. Om arbitrage-effecten te beperken, lijk</w:t>
              </w:r>
              <w:r>
                <w:t xml:space="preserve">t een meeromvattende benadering raadzaam en lijkt een tweeschijventarief niet het meest effectieve beleidsinstrument. </w:t>
              </w:r>
            </w:p>
            <w:p w:rsidR="007D6932" w:rsidP="007D6932" w:rsidRDefault="00D12FE3" w14:paraId="598B0EC9" w14:textId="77777777"/>
            <w:p w:rsidR="007D6932" w:rsidP="007D6932" w:rsidRDefault="00D12FE3" w14:paraId="46C317ED" w14:textId="77777777">
              <w:r>
                <w:t>Gelet op het vo</w:t>
              </w:r>
              <w:r>
                <w:t>o</w:t>
              </w:r>
              <w:r>
                <w:t>r</w:t>
              </w:r>
              <w:r>
                <w:t>g</w:t>
              </w:r>
              <w:r>
                <w:t xml:space="preserve">aande adviseert de Afdeling het </w:t>
              </w:r>
              <w:r>
                <w:t>wets</w:t>
              </w:r>
              <w:r>
                <w:t xml:space="preserve">voorstel op het punt van de tariefmaatregel te heroverwegen. </w:t>
              </w:r>
            </w:p>
            <w:p w:rsidR="007D6932" w:rsidP="007E65A4" w:rsidRDefault="00D12FE3" w14:paraId="4579AFF2" w14:textId="77777777"/>
            <w:p w:rsidR="002A7E83" w:rsidP="002A7E83" w:rsidRDefault="00D12FE3" w14:paraId="685FB060" w14:textId="77777777">
              <w:r>
                <w:t>3.</w:t>
              </w:r>
              <w:r>
                <w:tab/>
              </w:r>
              <w:r w:rsidRPr="00721D57">
                <w:rPr>
                  <w:u w:val="single"/>
                </w:rPr>
                <w:t>BOR en d</w:t>
              </w:r>
              <w:r w:rsidRPr="00B96AE0">
                <w:rPr>
                  <w:u w:val="single"/>
                </w:rPr>
                <w:t>oorschui</w:t>
              </w:r>
              <w:r w:rsidRPr="00B96AE0">
                <w:rPr>
                  <w:u w:val="single"/>
                </w:rPr>
                <w:t>ffaciliteiten</w:t>
              </w:r>
              <w:r>
                <w:rPr>
                  <w:u w:val="single"/>
                </w:rPr>
                <w:t xml:space="preserve"> aanmerkelijk belang</w:t>
              </w:r>
            </w:p>
            <w:p w:rsidR="002A7E83" w:rsidP="002A7E83" w:rsidRDefault="00D12FE3" w14:paraId="39FE4E6F" w14:textId="77777777"/>
            <w:p w:rsidR="00BC4F29" w:rsidP="007D6932" w:rsidRDefault="00D12FE3" w14:paraId="6C13BFF4" w14:textId="77777777">
              <w:r>
                <w:t xml:space="preserve">De bedrijfsopvolgingsregeling (BOR) biedt </w:t>
              </w:r>
              <w:r>
                <w:t>–</w:t>
              </w:r>
              <w:r>
                <w:t xml:space="preserve"> onder voorwaarden </w:t>
              </w:r>
              <w:r>
                <w:t>–</w:t>
              </w:r>
              <w:r>
                <w:t xml:space="preserve"> een vrijstelling van ondernemingsvermogen voor de schenk- en erfbelasting. De doorschuiffaciliteiten maken het mogelijk om bij de overdracht van </w:t>
              </w:r>
              <w:r>
                <w:t>aanmerkelijk belangaandelen die zien op een vennootschap waarin een onderneming wordt gedreven, de inkomstenbelastingclaim van de overdrager door te schuiven naar de opvolger</w:t>
              </w:r>
              <w:r>
                <w:t>.</w:t>
              </w:r>
              <w:r>
                <w:t xml:space="preserve"> </w:t>
              </w:r>
              <w:r>
                <w:t>H</w:t>
              </w:r>
              <w:r>
                <w:t xml:space="preserve">et gevolg </w:t>
              </w:r>
              <w:r>
                <w:t xml:space="preserve">hiervan is </w:t>
              </w:r>
              <w:r>
                <w:t xml:space="preserve">(in potentie oneindig) uitstel van belastingheffing. </w:t>
              </w:r>
            </w:p>
            <w:p w:rsidR="00BC4F29" w:rsidP="007D6932" w:rsidRDefault="00D12FE3" w14:paraId="4CB7E65B" w14:textId="77777777"/>
            <w:p w:rsidR="007D6932" w:rsidP="007D6932" w:rsidRDefault="00D12FE3" w14:paraId="460D0E7E" w14:textId="77777777">
              <w:r>
                <w:t>Het</w:t>
              </w:r>
              <w:r>
                <w:t xml:space="preserve"> doel van deze regelingen is te voorkomen dat verschuldigde erf-, schenk- en inkomstenbelasting bij overdracht de continuïteit van bedrijven in gevaar brengt. Het Centraal Planbureau (CPB) heeft deze regelingen geëvalueerd en is in april 2022 tot de conclu</w:t>
              </w:r>
              <w:r>
                <w:t>sie gekomen dat de BOR doeltreffend is, maar niet doelmatig doordat bij circa driekwart van de overdrachten bij de erflaters, schenkers of verkrijgers voldoende vrije financiële middelen aanwezig zijn om de erf- of schenkbelasting direct te betalen.</w:t>
              </w:r>
              <w:r>
                <w:rPr>
                  <w:rStyle w:val="Voetnootmarkering"/>
                </w:rPr>
                <w:footnoteReference w:id="9"/>
              </w:r>
              <w:r>
                <w:t xml:space="preserve"> </w:t>
              </w:r>
            </w:p>
            <w:p w:rsidR="007D6932" w:rsidP="007D6932" w:rsidRDefault="00D12FE3" w14:paraId="7DF1E504" w14:textId="77777777"/>
            <w:p w:rsidR="007D6932" w:rsidP="007D6932" w:rsidRDefault="00D12FE3" w14:paraId="43EBC436" w14:textId="77777777">
              <w:r>
                <w:t>Ge</w:t>
              </w:r>
              <w:r>
                <w:t xml:space="preserve">let hierop begrijpt de Afdeling de door de initiatiefnemers voorgestelde maatregelen tot aanpassing van de BOR en de doorschuifregelingen. </w:t>
              </w:r>
              <w:r>
                <w:t xml:space="preserve">Zij </w:t>
              </w:r>
              <w:r>
                <w:t>constateert dat deze maatregelen tevens kunnen bijdragen aan het verminderen van de druk op menskracht en systeme</w:t>
              </w:r>
              <w:r>
                <w:t>n bij de Belastingdienst. De Afdeling heeft bij de maatregelen wel enige vragen en aandachtspunten.</w:t>
              </w:r>
            </w:p>
            <w:p w:rsidR="007D6932" w:rsidP="007D6932" w:rsidRDefault="00D12FE3" w14:paraId="46D32BE6" w14:textId="77777777"/>
            <w:p w:rsidRPr="003D26D0" w:rsidR="007D6932" w:rsidP="007D6932" w:rsidRDefault="00D12FE3" w14:paraId="2E48000E" w14:textId="77777777">
              <w:pPr>
                <w:rPr>
                  <w:i/>
                  <w:iCs/>
                </w:rPr>
              </w:pPr>
              <w:r>
                <w:t>a.</w:t>
              </w:r>
              <w:r>
                <w:tab/>
              </w:r>
              <w:r w:rsidRPr="003D26D0">
                <w:rPr>
                  <w:i/>
                  <w:iCs/>
                </w:rPr>
                <w:t xml:space="preserve">Verhuurd vastgoed standaard aanmerken als beleggingsvermogen voor de </w:t>
              </w:r>
              <w:r>
                <w:rPr>
                  <w:i/>
                  <w:iCs/>
                </w:rPr>
                <w:tab/>
              </w:r>
              <w:r w:rsidRPr="003D26D0">
                <w:rPr>
                  <w:i/>
                  <w:iCs/>
                </w:rPr>
                <w:t>BOR</w:t>
              </w:r>
            </w:p>
            <w:p w:rsidR="00BC4F29" w:rsidP="007D6932" w:rsidRDefault="00D12FE3" w14:paraId="1B36E956" w14:textId="77777777">
              <w:r>
                <w:t xml:space="preserve">De initiatiefnemers leggen in het voorgestelde artikel 35c, vijfde lid, van </w:t>
              </w:r>
              <w:r>
                <w:t>de Successiewet 1956 wettelijk vast dat verhuurd vastgoed altijd beleggingsvermogen is en niet ondernemingsvermogen, bedoeld in artikel 35c, eerste lid, van die wet</w:t>
              </w:r>
              <w:r>
                <w:t>.</w:t>
              </w:r>
              <w:r>
                <w:t xml:space="preserve"> </w:t>
              </w:r>
              <w:r>
                <w:t>D</w:t>
              </w:r>
              <w:r>
                <w:t xml:space="preserve">aardoor </w:t>
              </w:r>
              <w:r>
                <w:t xml:space="preserve">is </w:t>
              </w:r>
              <w:r>
                <w:t xml:space="preserve">de BOR daarop niet van toepassing. </w:t>
              </w:r>
            </w:p>
            <w:p w:rsidR="00BC4F29" w:rsidP="007D6932" w:rsidRDefault="00D12FE3" w14:paraId="24A25053" w14:textId="77777777"/>
            <w:p w:rsidR="007D6932" w:rsidP="007D6932" w:rsidRDefault="00D12FE3" w14:paraId="01F04FF5" w14:textId="77777777">
              <w:r>
                <w:t xml:space="preserve">De Afdeling adviseert toe te lichten hoe </w:t>
              </w:r>
              <w:r>
                <w:t>deze bepaling zich verhoudt tot de doelmatigheidsmarge van artikel 35c, eerste lid, onderdeel c, onder 2, van de Successiewet 1956 waardoor beleggingsvermogen tot maximaal 5% van de aan de onderneming toegerekende waarde als ondernemingsvermogen wordt aang</w:t>
              </w:r>
              <w:r>
                <w:t xml:space="preserve">emerkt. </w:t>
              </w:r>
            </w:p>
            <w:p w:rsidR="007D6932" w:rsidP="007D6932" w:rsidRDefault="00D12FE3" w14:paraId="7B380846" w14:textId="77777777"/>
            <w:p w:rsidR="007D6932" w:rsidP="007D6932" w:rsidRDefault="00D12FE3" w14:paraId="2FA24DF5" w14:textId="77777777">
              <w:r>
                <w:rPr>
                  <w:i/>
                  <w:iCs/>
                </w:rPr>
                <w:t>b.</w:t>
              </w:r>
              <w:r>
                <w:rPr>
                  <w:i/>
                  <w:iCs/>
                </w:rPr>
                <w:tab/>
              </w:r>
              <w:r w:rsidRPr="00B022A3">
                <w:rPr>
                  <w:i/>
                  <w:iCs/>
                </w:rPr>
                <w:t>Kleine ab-pakketten uitzonderen van de BOR</w:t>
              </w:r>
            </w:p>
            <w:p w:rsidR="00BC4F29" w:rsidP="007D6932" w:rsidRDefault="00D12FE3" w14:paraId="00958966" w14:textId="77777777">
              <w:r>
                <w:t>De initiatiefnemers stellen voor ‘kleine ab-pakketten’ uit te zonderen van toepassing van de BOR. Daardoor kan de BOR alleen worden toegepast als de (vervreemdende) aanmerkelijkbelanghouder recht heef</w:t>
              </w:r>
              <w:r>
                <w:t xml:space="preserve">t op – kort gezegd – minimaal 25% van de winst van de vennootschap. De toelichting geeft niet aan hoe tot dit bezitsvereiste van 25% is gekomen. </w:t>
              </w:r>
            </w:p>
            <w:p w:rsidR="00BC4F29" w:rsidP="007D6932" w:rsidRDefault="00D12FE3" w14:paraId="03C4B5EC" w14:textId="77777777">
              <w:r>
                <w:t>Tevens is het niet duidelijk wat de reden is om deze verhoging alleen voor de BOR voor te stellen en niet voor</w:t>
              </w:r>
              <w:r>
                <w:t xml:space="preserve"> de hele aanmerkelijkbelangregeling, dit ook met het oog op complexiteitsreductie.</w:t>
              </w:r>
            </w:p>
            <w:p w:rsidR="008B1648" w:rsidRDefault="008B1648" w14:paraId="2C83C420" w14:textId="77777777"/>
            <w:p w:rsidR="007D6932" w:rsidP="007D6932" w:rsidRDefault="00D12FE3" w14:paraId="5607D719" w14:textId="77777777">
              <w:r>
                <w:rPr>
                  <w:i/>
                  <w:iCs/>
                </w:rPr>
                <w:t xml:space="preserve">c. </w:t>
              </w:r>
              <w:r>
                <w:rPr>
                  <w:i/>
                  <w:iCs/>
                </w:rPr>
                <w:tab/>
              </w:r>
              <w:r w:rsidRPr="00B022A3">
                <w:rPr>
                  <w:i/>
                  <w:iCs/>
                </w:rPr>
                <w:t>Verlagen vrijstelling BOR</w:t>
              </w:r>
            </w:p>
            <w:p w:rsidR="007D6932" w:rsidP="007D6932" w:rsidRDefault="00D12FE3" w14:paraId="05D3C1F9" w14:textId="77777777">
              <w:r>
                <w:t xml:space="preserve">In de toelichting wordt de keuze om de hoogte van het percentage van de vrijstelling van de BOR te zetten op 25% en om de totale vrijstelling </w:t>
              </w:r>
              <w:r>
                <w:t xml:space="preserve">te maximeren op € 1 miljoen niet nader </w:t>
              </w:r>
              <w:r>
                <w:t>gemotiveer</w:t>
              </w:r>
              <w:r>
                <w:t xml:space="preserve">d. Voorts wordt uit de toelichting niet duidelijk of een belastingplichtige meerdere malen in zijn leven van deze vrijstelling gebruik kan maken. </w:t>
              </w:r>
            </w:p>
            <w:p w:rsidR="007D6932" w:rsidP="007D6932" w:rsidRDefault="00D12FE3" w14:paraId="27C52E32" w14:textId="77777777"/>
            <w:p w:rsidRPr="00E80826" w:rsidR="007D6932" w:rsidP="007D6932" w:rsidRDefault="00D12FE3" w14:paraId="528A0B9B" w14:textId="77777777">
              <w:pPr>
                <w:rPr>
                  <w:i/>
                  <w:iCs/>
                </w:rPr>
              </w:pPr>
              <w:r>
                <w:rPr>
                  <w:i/>
                  <w:iCs/>
                </w:rPr>
                <w:t xml:space="preserve">d. </w:t>
              </w:r>
              <w:r>
                <w:rPr>
                  <w:i/>
                  <w:iCs/>
                </w:rPr>
                <w:tab/>
                <w:t xml:space="preserve">Arbitragemogelijkheden die geruisloze doorschuiving of </w:t>
              </w:r>
              <w:r>
                <w:rPr>
                  <w:i/>
                  <w:iCs/>
                </w:rPr>
                <w:t xml:space="preserve">ruimere toepassing van de BOR ook onder het voorstel mogelijk maken </w:t>
              </w:r>
            </w:p>
            <w:p w:rsidRPr="002F5DE7" w:rsidR="007D6932" w:rsidP="007D6932" w:rsidRDefault="00D12FE3" w14:paraId="14EC122D" w14:textId="77777777">
              <w:pPr>
                <w:rPr>
                  <w:i/>
                  <w:iCs/>
                </w:rPr>
              </w:pPr>
              <w:r>
                <w:t>Een arbitragemogelijkheid die door dit wetsvoorstel wordt gecreëerd is dat door geruisloos vanuit de BV de onderneming in een inkomstenbelastingonderneming om te zetten, gebruik kan worde</w:t>
              </w:r>
              <w:r>
                <w:t>n gemaakt van de doorschuifmaatregelen voor winst uit onderneming die wel blijven bestaan. Na verloop van tijd kan de onderneming vervolgens weer geruisloos in een BV worden ingebracht en kan dus het gewenste resultaat, geruisloze doorschuiving naar de opv</w:t>
              </w:r>
              <w:r>
                <w:t xml:space="preserve">olger, alsnog worden bereikt zonder dat dit door dit wetsvoorstel wordt geraakt. </w:t>
              </w:r>
              <w:r w:rsidRPr="000E57B7">
                <w:t>Dit geldt eveneens voor het nog eenvoudigere in stukjes overdragen van de</w:t>
              </w:r>
              <w:r>
                <w:t xml:space="preserve"> onderneming, waardoor in stapjes gebruik kan worden gemaakt van de BOR.</w:t>
              </w:r>
            </w:p>
            <w:p w:rsidR="007D6932" w:rsidP="007D6932" w:rsidRDefault="00D12FE3" w14:paraId="3F820C28" w14:textId="77777777"/>
            <w:p w:rsidR="007D6932" w:rsidP="007D6932" w:rsidRDefault="00D12FE3" w14:paraId="7B194321" w14:textId="77777777">
              <w:pPr>
                <w:rPr>
                  <w:i/>
                  <w:iCs/>
                </w:rPr>
              </w:pPr>
              <w:r>
                <w:rPr>
                  <w:i/>
                  <w:iCs/>
                </w:rPr>
                <w:t xml:space="preserve">e. </w:t>
              </w:r>
              <w:r>
                <w:rPr>
                  <w:i/>
                  <w:iCs/>
                </w:rPr>
                <w:tab/>
                <w:t>Conclusie</w:t>
              </w:r>
            </w:p>
            <w:p w:rsidR="007D6932" w:rsidP="002A7E83" w:rsidRDefault="00D12FE3" w14:paraId="133138B6" w14:textId="77777777">
              <w:r>
                <w:t>De Afdeling ad</w:t>
              </w:r>
              <w:r>
                <w:t>viseert om de toelichting op de voorstellen over de BOR en de doorschuifregeling in het licht van het vo</w:t>
              </w:r>
              <w:r>
                <w:t>o</w:t>
              </w:r>
              <w:r>
                <w:t>r</w:t>
              </w:r>
              <w:r>
                <w:t>g</w:t>
              </w:r>
              <w:r>
                <w:t>aande aan te vullen.</w:t>
              </w:r>
            </w:p>
          </w:sdtContent>
        </w:sdt>
        <w:p w:rsidR="00B119D3" w:rsidP="00CE4655" w:rsidRDefault="00B119D3" w14:paraId="62594AFF" w14:textId="77777777"/>
        <w:sdt>
          <w:sdtPr>
            <w:alias w:val="VrijeTekst2"/>
            <w:tag w:val="VrijeTekst2"/>
            <w:id w:val="-1010833392"/>
            <w:lock w:val="sdtLocked"/>
            <w:placeholder>
              <w:docPart w:val="DefaultPlaceholder_1082065158"/>
            </w:placeholder>
          </w:sdtPr>
          <w:sdtEndPr/>
          <w:sdtContent>
            <w:p w:rsidR="0017277E" w:rsidRDefault="00D12FE3" w14:paraId="169F1146" w14:textId="77777777">
              <w:r>
                <w:t>4</w:t>
              </w:r>
              <w:r>
                <w:t>.</w:t>
              </w:r>
              <w:r>
                <w:tab/>
              </w:r>
              <w:r w:rsidRPr="005F7A2B">
                <w:t>De Afdeling verwijst naar de bij dit advies behorende redactionele bijlage.</w:t>
              </w:r>
            </w:p>
          </w:sdtContent>
        </w:sdt>
        <w:p w:rsidR="003C7608" w:rsidRDefault="003C7608" w14:paraId="6F666ED6" w14:textId="77777777"/>
        <w:p w:rsidR="00AA4E0B" w:rsidRDefault="00AA4E0B" w14:paraId="47B701BA" w14:textId="77777777"/>
        <w:sdt>
          <w:sdtPr>
            <w:alias w:val="Dictum"/>
            <w:tag w:val="Dictum"/>
            <w:id w:val="-351264612"/>
            <w:lock w:val="contentLocked"/>
            <w:placeholder>
              <w:docPart w:val="B648E450D8914FF898002DCE57357B3E"/>
            </w:placeholder>
            <w:text w:multiLine="1"/>
          </w:sdtPr>
          <w:sdtEndPr/>
          <w:sdtContent>
            <w:p w:rsidR="008B1648" w:rsidRDefault="00D12FE3" w14:paraId="52CA0B52" w14:textId="77777777">
              <w:pPr>
                <w:sectPr w:rsidR="008B1648"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r>
                <w:t>De Afdeling advisering van de Raad van State heeft een aantal opmerkingen bij het initiatiefvoorstel en adviseert om daarmee rekening te houden.</w:t>
              </w:r>
              <w:r>
                <w:br/>
              </w:r>
              <w:r>
                <w:br/>
                <w:t>De vice-president van de Raad van St</w:t>
              </w:r>
              <w:r>
                <w:t>ate,</w:t>
              </w:r>
            </w:p>
          </w:sdtContent>
        </w:sdt>
        <w:p w:rsidR="00B119D3" w:rsidP="00B119D3" w:rsidRDefault="00B119D3" w14:paraId="2C211EF5"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W06.22.0091</w:t>
              </w:r>
            </w:sdtContent>
          </w:sdt>
          <w:r>
            <w:t>/</w:t>
          </w:r>
          <w:sdt>
            <w:sdtPr>
              <w:alias w:val="Sectie"/>
              <w:tag w:val="Sectie"/>
              <w:id w:val="743463611"/>
              <w:lock w:val="sdtContentLocked"/>
              <w:placeholder>
                <w:docPart w:val="E3E3BDC335BE4430933C2D791FB1861D"/>
              </w:placeholder>
              <w:text/>
            </w:sdtPr>
            <w:sdtEndPr/>
            <w:sdtContent>
              <w:r>
                <w:t>III</w:t>
              </w:r>
            </w:sdtContent>
          </w:sdt>
        </w:p>
        <w:p w:rsidR="001410FD" w:rsidRDefault="001410FD" w14:paraId="0DAD7280" w14:textId="77777777"/>
        <w:sdt>
          <w:sdtPr>
            <w:alias w:val="VrijeTekst3"/>
            <w:tag w:val="VrijeTekst3"/>
            <w:id w:val="2141764690"/>
            <w:lock w:val="sdtLocked"/>
          </w:sdtPr>
          <w:sdtEndPr/>
          <w:sdtContent>
            <w:sdt>
              <w:sdtPr>
                <w:alias w:val="VrijeTekst3"/>
                <w:tag w:val="VrijeTekst3"/>
                <w:id w:val="1696352721"/>
              </w:sdtPr>
              <w:sdtEndPr/>
              <w:sdtContent>
                <w:p w:rsidR="002A7E83" w:rsidP="002A7E83" w:rsidRDefault="00D12FE3" w14:paraId="520E55A4" w14:textId="77777777">
                  <w:pPr>
                    <w:pStyle w:val="Lijstalinea"/>
                    <w:numPr>
                      <w:ilvl w:val="0"/>
                      <w:numId w:val="1"/>
                    </w:numPr>
                  </w:pPr>
                  <w:r>
                    <w:t>In het in artikel III, onderdeel A, vijfde lid, voorgestelde artikel 35c, zesde lid, van de Successiewet 1956 “artikel 35d, ee</w:t>
                  </w:r>
                  <w:r>
                    <w:t>rste lid, onderdeel c” vervangen door “artikel 35d, eerste lid, aanhef en onderdeel c.</w:t>
                  </w:r>
                </w:p>
                <w:p w:rsidR="002A7E83" w:rsidP="002A7E83" w:rsidRDefault="00D12FE3" w14:paraId="0AF856D0" w14:textId="77777777">
                  <w:pPr>
                    <w:pStyle w:val="Lijstalinea"/>
                    <w:numPr>
                      <w:ilvl w:val="0"/>
                      <w:numId w:val="1"/>
                    </w:numPr>
                  </w:pPr>
                  <w:r>
                    <w:t>In onderdeel 5 van de toelichting over de verhouding tot de Grondwet niet volstaan met de verwijzing naar het toetsingsverbod, maar ook nader uiteenzetten waarom de form</w:t>
                  </w:r>
                  <w:r>
                    <w:t xml:space="preserve">ele wetgever van oordeel is dat geen sprake is van strijd met de Grondwet. </w:t>
                  </w:r>
                </w:p>
                <w:p w:rsidR="002A7E83" w:rsidP="00633A11" w:rsidRDefault="00D12FE3" w14:paraId="7427220E" w14:textId="77777777">
                  <w:pPr>
                    <w:pStyle w:val="Lijstalinea"/>
                    <w:numPr>
                      <w:ilvl w:val="0"/>
                      <w:numId w:val="1"/>
                    </w:numPr>
                    <w:suppressLineNumbers/>
                  </w:pPr>
                  <w:r>
                    <w:t>In onderdeel 5 van de toelichting niet volstaan met de opmerking dat de Europese Unie geen bevoegdheden heeft op het gebied van directe belastingen. Dit gelet op de omstandigheid dat ook directe belastingen niet in strijd mogen zijn met de Europese verdrag</w:t>
                  </w:r>
                  <w:r>
                    <w:t xml:space="preserve">en, in het bijzonder het verdrag inzake de werking van de Europese Unie en specifiek de daarin opgenomen verkeersvrijheden en het verbod op staatssteun. </w:t>
                  </w:r>
                </w:p>
              </w:sdtContent>
            </w:sdt>
          </w:sdtContent>
        </w:sdt>
      </w:sdtContent>
    </w:sdt>
    <w:sectPr w:rsidR="002A7E83"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CAFC" w14:textId="77777777" w:rsidR="00F20637" w:rsidRDefault="00D12FE3" w:rsidP="005B3E03">
      <w:r>
        <w:separator/>
      </w:r>
    </w:p>
  </w:endnote>
  <w:endnote w:type="continuationSeparator" w:id="0">
    <w:p w14:paraId="0F07657C" w14:textId="77777777" w:rsidR="00F20637" w:rsidRDefault="00D12FE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altName w:val="Goudy Old Style"/>
    <w:panose1 w:val="02020502050201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7BC1" w14:textId="77777777" w:rsidR="00AE0F7E" w:rsidRDefault="00AE0F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3B8B" w14:textId="77777777" w:rsidR="00AE0F7E" w:rsidRDefault="00AE0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FBD7" w14:textId="77777777"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639A9BED" wp14:editId="3D5CAC43">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D9285" w14:textId="77777777" w:rsidR="00253207" w:rsidRPr="00F209D8" w:rsidRDefault="00D12FE3"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r w:rsidR="0017018C">
                                <w:rPr>
                                  <w:rStyle w:val="LogoKoninginnepapier"/>
                                  <w:sz w:val="24"/>
                                </w:rPr>
                                <w:t>AAN DE VOORZITTER VAN DE TWEEDE KAMER DER STATEN-GENERAAL</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594D572">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AE0F7E" w:rsidRDefault="0017018C">
                    <w:pPr>
                      <w:shd w:val="solid" w:color="FFFFFF" w:fill="FFFFFF"/>
                      <w:jc w:val="center"/>
                      <w:rPr>
                        <w:rFonts w:ascii="Bembo" w:hAnsi="Bembo"/>
                        <w:sz w:val="24"/>
                      </w:rPr>
                    </w:pPr>
                    <w:sdt>
                      <w:sdtPr>
                        <w:alias w:val="Voettekst"/>
                        <w:tag w:val="Voettekst"/>
                        <w:id w:val="2107968085"/>
                        <w:lock w:val="contentLocked"/>
                        <w:placeholder>
                          <w:docPart w:val="3A556CDC202743748FEC913FC23CF919"/>
                        </w:placeholder>
                        <w:text/>
                      </w:sdtPr>
                      <w:sdtContent>
                        <w:r>
                          <w:rPr>
                            <w:rStyle w:val="LogoKoninginnepapier"/>
                            <w:sz w:val="24"/>
                          </w:rPr>
                          <w:t>AAN DE VOORZITTER VAN DE TWEEDE KAMER DER STATEN-GENERAAL</w:t>
                        </w:r>
                      </w:sdtContent>
                    </w:sdt>
                    <w:bookmarkStart w:name="_GoBack" w:id="1"/>
                    <w:bookmarkEnd w:id="1"/>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0245" w14:textId="77777777" w:rsidR="00F20637" w:rsidRDefault="00D12FE3" w:rsidP="005B3E03">
      <w:r>
        <w:separator/>
      </w:r>
    </w:p>
  </w:footnote>
  <w:footnote w:type="continuationSeparator" w:id="0">
    <w:p w14:paraId="6DE573BD" w14:textId="77777777" w:rsidR="00F20637" w:rsidRDefault="00D12FE3" w:rsidP="005B3E03">
      <w:r>
        <w:continuationSeparator/>
      </w:r>
    </w:p>
  </w:footnote>
  <w:footnote w:id="1">
    <w:p w14:paraId="27496606" w14:textId="77777777" w:rsidR="007D6932" w:rsidRDefault="00D12FE3" w:rsidP="007D6932">
      <w:pPr>
        <w:pStyle w:val="Voetnoottekst"/>
      </w:pPr>
      <w:r>
        <w:rPr>
          <w:rStyle w:val="Voetnootmarkering"/>
        </w:rPr>
        <w:footnoteRef/>
      </w:r>
      <w:r>
        <w:t xml:space="preserve"> </w:t>
      </w:r>
      <w:r>
        <w:tab/>
        <w:t xml:space="preserve">De Afdeling verwijst in dit kader ook naar het in juli 2022 </w:t>
      </w:r>
      <w:r>
        <w:t>verschenen rapport IBO Vermogensverdeling: Licht uit, spot aan: de vermogensverdeling (Bijlage bij Kamerstukken II 2021/22, 35925-IX, nr. 38).</w:t>
      </w:r>
    </w:p>
  </w:footnote>
  <w:footnote w:id="2">
    <w:p w14:paraId="45DBCC4C" w14:textId="77777777" w:rsidR="00D4349F" w:rsidRDefault="00D12FE3">
      <w:pPr>
        <w:pStyle w:val="Voetnoottekst"/>
      </w:pPr>
      <w:r>
        <w:rPr>
          <w:rStyle w:val="Voetnootmarkering"/>
        </w:rPr>
        <w:footnoteRef/>
      </w:r>
      <w:r>
        <w:t xml:space="preserve"> </w:t>
      </w:r>
      <w:r>
        <w:tab/>
        <w:t xml:space="preserve">Onder meer </w:t>
      </w:r>
      <w:r w:rsidRPr="00224105">
        <w:t>de ondernemersaftrek van artikel 3.74 en de MKB-winstvrijstelling van artikel 3.79a Wet IB 2001.</w:t>
      </w:r>
    </w:p>
  </w:footnote>
  <w:footnote w:id="3">
    <w:p w14:paraId="1C394A77" w14:textId="77777777" w:rsidR="007D6932" w:rsidRDefault="00D12FE3" w:rsidP="007D6932">
      <w:pPr>
        <w:pStyle w:val="Voetnoottekst"/>
      </w:pPr>
      <w:r>
        <w:rPr>
          <w:rStyle w:val="Voetnootmarkering"/>
        </w:rPr>
        <w:footnoteRef/>
      </w:r>
      <w:r>
        <w:t xml:space="preserve"> </w:t>
      </w:r>
      <w:r>
        <w:tab/>
        <w:t>Zie hierover uitgebreid Bijlage bij Kamerstukken II 2021/22, 35925-IX, nr. 38. Licht uit, spot aan: de vermogensverdeling.</w:t>
      </w:r>
    </w:p>
  </w:footnote>
  <w:footnote w:id="4">
    <w:p w14:paraId="5CEA7C50" w14:textId="77777777" w:rsidR="007D6932" w:rsidRDefault="00D12FE3" w:rsidP="007D6932">
      <w:pPr>
        <w:pStyle w:val="Voetnoottekst"/>
      </w:pPr>
      <w:r>
        <w:rPr>
          <w:rStyle w:val="Voetnootmarkering"/>
        </w:rPr>
        <w:footnoteRef/>
      </w:r>
      <w:r>
        <w:t xml:space="preserve"> </w:t>
      </w:r>
      <w:r>
        <w:tab/>
        <w:t>Toelichting, p. 1.</w:t>
      </w:r>
    </w:p>
  </w:footnote>
  <w:footnote w:id="5">
    <w:p w14:paraId="2AAFF509" w14:textId="77777777" w:rsidR="007D6932" w:rsidRDefault="00D12FE3" w:rsidP="007D6932">
      <w:pPr>
        <w:pStyle w:val="Voetnoottekst"/>
      </w:pPr>
      <w:r>
        <w:rPr>
          <w:rStyle w:val="Voetnootmarkering"/>
        </w:rPr>
        <w:footnoteRef/>
      </w:r>
      <w:r>
        <w:t xml:space="preserve"> </w:t>
      </w:r>
      <w:r>
        <w:tab/>
        <w:t xml:space="preserve">Bijlage bij Kamerstukken II 2021/22, 35925-IX, nr. 38. Licht uit, spot aan: de vermogensverdeling, p. 98. </w:t>
      </w:r>
    </w:p>
  </w:footnote>
  <w:footnote w:id="6">
    <w:p w14:paraId="3B582A4B" w14:textId="77777777" w:rsidR="007D6932" w:rsidRDefault="00D12FE3" w:rsidP="007D6932">
      <w:pPr>
        <w:pStyle w:val="Voetnoottekst"/>
      </w:pPr>
      <w:r>
        <w:rPr>
          <w:rStyle w:val="Voetnootmarkering"/>
        </w:rPr>
        <w:footnoteRef/>
      </w:r>
      <w:r>
        <w:tab/>
        <w:t xml:space="preserve">Onder het wetsvoorstel excessief lenen bij de eigen vennootschap kan dat zonder fiscale nadelen tot maximaal € 700.000 </w:t>
      </w:r>
      <w:r>
        <w:t xml:space="preserve">worden </w:t>
      </w:r>
      <w:r>
        <w:t xml:space="preserve">verhoogd met een lening voor de eigen woning </w:t>
      </w:r>
      <w:r w:rsidRPr="002A4331">
        <w:t>(kamerstukken 35496)</w:t>
      </w:r>
      <w:r>
        <w:t>.</w:t>
      </w:r>
    </w:p>
  </w:footnote>
  <w:footnote w:id="7">
    <w:p w14:paraId="405B58C9" w14:textId="77777777" w:rsidR="007D6932" w:rsidRDefault="00D12FE3" w:rsidP="007D6932">
      <w:pPr>
        <w:pStyle w:val="Voetnoottekst"/>
      </w:pPr>
      <w:r>
        <w:rPr>
          <w:rStyle w:val="Voetnootmarkering"/>
        </w:rPr>
        <w:footnoteRef/>
      </w:r>
      <w:r>
        <w:tab/>
        <w:t xml:space="preserve">Zie artikel 2.17, vijfde lid, Wet IB 2001. </w:t>
      </w:r>
    </w:p>
  </w:footnote>
  <w:footnote w:id="8">
    <w:p w14:paraId="0B69F32F" w14:textId="77777777" w:rsidR="007D6932" w:rsidRDefault="00D12FE3" w:rsidP="007D6932">
      <w:pPr>
        <w:pStyle w:val="Voetnoottekst"/>
      </w:pPr>
      <w:r>
        <w:rPr>
          <w:rStyle w:val="Voetnootmarkering"/>
        </w:rPr>
        <w:footnoteRef/>
      </w:r>
      <w:r>
        <w:t xml:space="preserve"> </w:t>
      </w:r>
      <w:r>
        <w:tab/>
        <w:t xml:space="preserve">De Afdeling </w:t>
      </w:r>
      <w:r>
        <w:t>begrijpt in dit kader overigens ook niet de opmerking in paragraaf 4 van de toelichting dat de voorstellen voorzien in het belasten van aan privépersonen verstrekte leningen, nu het belasten van leningen geen onderdeel uitmaakt van het voorstel.</w:t>
      </w:r>
    </w:p>
  </w:footnote>
  <w:footnote w:id="9">
    <w:p w14:paraId="7AA31595" w14:textId="77777777" w:rsidR="007D6932" w:rsidRDefault="00D12FE3" w:rsidP="007D6932">
      <w:pPr>
        <w:pStyle w:val="Voetnoottekst"/>
      </w:pPr>
      <w:r w:rsidRPr="00040810">
        <w:rPr>
          <w:rStyle w:val="Voetnootmarkering"/>
        </w:rPr>
        <w:footnoteRef/>
      </w:r>
      <w:r w:rsidRPr="00040810">
        <w:t xml:space="preserve"> </w:t>
      </w:r>
      <w:r>
        <w:tab/>
      </w:r>
      <w:r w:rsidRPr="00040810">
        <w:t>CPB, Ev</w:t>
      </w:r>
      <w:r w:rsidRPr="00040810">
        <w:t>aluatie</w:t>
      </w:r>
      <w:r>
        <w:t xml:space="preserve"> fiscale regelingen gericht op bedrijfsoverdracht, april 2022, bijlage bij Kamerstukken II 2021/22, 35925 IX,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0447"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BDAA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E2A2"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AEBE" w14:textId="77777777" w:rsidR="00AE0F7E" w:rsidRDefault="00AE0F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4602"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0F7E">
      <w:rPr>
        <w:rStyle w:val="Paginanummer"/>
        <w:noProof/>
      </w:rPr>
      <w:t>I</w:t>
    </w:r>
    <w:r>
      <w:rPr>
        <w:rStyle w:val="Paginanummer"/>
      </w:rPr>
      <w:fldChar w:fldCharType="end"/>
    </w:r>
  </w:p>
  <w:p w14:paraId="54E9ACC4"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3FE"/>
    <w:multiLevelType w:val="hybridMultilevel"/>
    <w:tmpl w:val="6B9A7DDA"/>
    <w:lvl w:ilvl="0" w:tplc="AA24AC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F83A15"/>
    <w:multiLevelType w:val="hybridMultilevel"/>
    <w:tmpl w:val="870C764A"/>
    <w:lvl w:ilvl="0" w:tplc="53F443A6">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EC2C5C"/>
    <w:multiLevelType w:val="hybridMultilevel"/>
    <w:tmpl w:val="A0124CA2"/>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7018C"/>
    <w:rsid w:val="001E27B0"/>
    <w:rsid w:val="002276F4"/>
    <w:rsid w:val="00253207"/>
    <w:rsid w:val="0031280A"/>
    <w:rsid w:val="00365EF8"/>
    <w:rsid w:val="003706AD"/>
    <w:rsid w:val="003C7608"/>
    <w:rsid w:val="00411DBC"/>
    <w:rsid w:val="0053106D"/>
    <w:rsid w:val="00554D49"/>
    <w:rsid w:val="005E41CC"/>
    <w:rsid w:val="00636D17"/>
    <w:rsid w:val="007009C5"/>
    <w:rsid w:val="00732253"/>
    <w:rsid w:val="00743072"/>
    <w:rsid w:val="007857DB"/>
    <w:rsid w:val="00796479"/>
    <w:rsid w:val="008773EC"/>
    <w:rsid w:val="008B1648"/>
    <w:rsid w:val="008C5A9E"/>
    <w:rsid w:val="00977969"/>
    <w:rsid w:val="009E72D2"/>
    <w:rsid w:val="00A31DA9"/>
    <w:rsid w:val="00AA4E0B"/>
    <w:rsid w:val="00AC5AD9"/>
    <w:rsid w:val="00AE0F7E"/>
    <w:rsid w:val="00B119D3"/>
    <w:rsid w:val="00B15811"/>
    <w:rsid w:val="00B459B0"/>
    <w:rsid w:val="00B71D83"/>
    <w:rsid w:val="00B97BA6"/>
    <w:rsid w:val="00C5066A"/>
    <w:rsid w:val="00C50D4F"/>
    <w:rsid w:val="00C56897"/>
    <w:rsid w:val="00C94D31"/>
    <w:rsid w:val="00CA109A"/>
    <w:rsid w:val="00CE4655"/>
    <w:rsid w:val="00CE4DB1"/>
    <w:rsid w:val="00CE5E42"/>
    <w:rsid w:val="00D12FE3"/>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8FB043"/>
  <w15:docId w15:val="{51101A10-64CD-4EE4-B292-96249A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CD4FB9"/>
    <w:rPr>
      <w:vertAlign w:val="superscript"/>
    </w:rPr>
  </w:style>
  <w:style w:type="character" w:styleId="Verwijzingopmerking">
    <w:name w:val="annotation reference"/>
    <w:basedOn w:val="Standaardalinea-lettertype"/>
    <w:uiPriority w:val="99"/>
    <w:semiHidden/>
    <w:unhideWhenUsed/>
    <w:rsid w:val="00CD4FB9"/>
    <w:rPr>
      <w:sz w:val="16"/>
      <w:szCs w:val="16"/>
    </w:rPr>
  </w:style>
  <w:style w:type="paragraph" w:styleId="Tekstopmerking">
    <w:name w:val="annotation text"/>
    <w:basedOn w:val="Standaard"/>
    <w:link w:val="TekstopmerkingChar"/>
    <w:uiPriority w:val="99"/>
    <w:semiHidden/>
    <w:unhideWhenUsed/>
    <w:rsid w:val="00CD4FB9"/>
    <w:rPr>
      <w:sz w:val="20"/>
      <w:szCs w:val="20"/>
    </w:rPr>
  </w:style>
  <w:style w:type="character" w:customStyle="1" w:styleId="TekstopmerkingChar">
    <w:name w:val="Tekst opmerking Char"/>
    <w:basedOn w:val="Standaardalinea-lettertype"/>
    <w:link w:val="Tekstopmerking"/>
    <w:uiPriority w:val="99"/>
    <w:semiHidden/>
    <w:rsid w:val="00CD4FB9"/>
    <w:rPr>
      <w:rFonts w:ascii="Univers" w:hAnsi="Univers"/>
    </w:rPr>
  </w:style>
  <w:style w:type="paragraph" w:customStyle="1" w:styleId="xmsonormal">
    <w:name w:val="x_msonormal"/>
    <w:basedOn w:val="Standaard"/>
    <w:rsid w:val="00CD4FB9"/>
    <w:rPr>
      <w:rFonts w:ascii="Calibri" w:eastAsiaTheme="minorHAnsi" w:hAnsi="Calibri" w:cs="Calibri"/>
      <w:szCs w:val="22"/>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E3E3BDC335BE4430933C2D791FB1861D"/>
        <w:category>
          <w:name w:val="Algemeen"/>
          <w:gallery w:val="placeholder"/>
        </w:category>
        <w:types>
          <w:type w:val="bbPlcHdr"/>
        </w:types>
        <w:behaviors>
          <w:behavior w:val="content"/>
        </w:behaviors>
        <w:guid w:val="{B18569D8-CD7C-432D-8A46-0CF65B2E6C4A}"/>
      </w:docPartPr>
      <w:docPartBody>
        <w:p w:rsidR="002366EF" w:rsidRDefault="001F5332" w:rsidP="001F5332">
          <w:pPr>
            <w:pStyle w:val="E3E3BDC335BE4430933C2D791FB1861D"/>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
      <w:docPartPr>
        <w:name w:val="3A556CDC202743748FEC913FC23CF919"/>
        <w:category>
          <w:name w:val="Algemeen"/>
          <w:gallery w:val="placeholder"/>
        </w:category>
        <w:types>
          <w:type w:val="bbPlcHdr"/>
        </w:types>
        <w:behaviors>
          <w:behavior w:val="content"/>
        </w:behaviors>
        <w:guid w:val="{A1B66257-2D1D-4A74-B659-C0C4D9A664D1}"/>
      </w:docPartPr>
      <w:docPartBody>
        <w:p w:rsidR="00C602B2" w:rsidRDefault="00E76382" w:rsidP="00E76382">
          <w:pPr>
            <w:pStyle w:val="3A556CDC202743748FEC913FC23CF919"/>
          </w:pPr>
          <w:r>
            <w:rPr>
              <w:rStyle w:val="logokoninginnepapier"/>
              <w:szCs w:val="32"/>
            </w:rPr>
            <w:t>AAN DE VOORZITTER VAN DE 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altName w:val="Goudy Old Style"/>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C26960"/>
    <w:rsid w:val="00C602B2"/>
    <w:rsid w:val="00CE7358"/>
    <w:rsid w:val="00D14296"/>
    <w:rsid w:val="00DF5AAB"/>
    <w:rsid w:val="00E374E7"/>
    <w:rsid w:val="00E76382"/>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 w:type="character" w:customStyle="1" w:styleId="logokoninginnepapier">
    <w:name w:val="logokoninginnepapier"/>
    <w:basedOn w:val="Standaardalinea-lettertype"/>
    <w:rsid w:val="00E76382"/>
  </w:style>
  <w:style w:type="paragraph" w:customStyle="1" w:styleId="3A556CDC202743748FEC913FC23CF919">
    <w:name w:val="3A556CDC202743748FEC913FC23CF919"/>
    <w:rsid w:val="00E763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2510</ap:Words>
  <ap:Characters>14912</ap:Characters>
  <ap:DocSecurity>0</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2013-04-10T09:26:00.0000000Z</dcterms:created>
  <dcterms:modified xsi:type="dcterms:W3CDTF">2022-08-25T06:19:00.0000000Z</dcterms:modified>
  <dc:description>------------------------</dc:description>
  <dc:subject/>
  <dc:title/>
  <keywords/>
  <version/>
  <category/>
</coreProperties>
</file>