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4DD626F5" w14:textId="77777777">
          <w:pPr>
            <w:tabs>
              <w:tab w:val="left" w:pos="3686"/>
            </w:tabs>
          </w:pPr>
          <w:r>
            <w:rPr>
              <w:noProof/>
            </w:rPr>
            <mc:AlternateContent>
              <mc:Choice Requires="wps">
                <w:drawing>
                  <wp:anchor distT="0" distB="0" distL="114300" distR="114300" simplePos="0" relativeHeight="251657728" behindDoc="0" locked="0" layoutInCell="1" allowOverlap="1" wp14:editId="78637547" wp14:anchorId="60715F57">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60EEB714"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715F57">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60EEB714"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2060CBC" wp14:anchorId="1A971B7B">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W04.22.0036/I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18 mei 2022</w:t>
              </w:r>
            </w:sdtContent>
          </w:sdt>
        </w:p>
        <w:p w:rsidR="00503044" w:rsidP="00503044" w:rsidRDefault="00503044" w14:paraId="2BA16B95" w14:textId="77777777">
          <w:pPr>
            <w:tabs>
              <w:tab w:val="left" w:pos="3685"/>
            </w:tabs>
          </w:pPr>
        </w:p>
        <w:p w:rsidR="00503044" w:rsidP="00503044" w:rsidRDefault="00503044" w14:paraId="6AA90027"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E62108" w:rsidRDefault="005A1EE6" w14:paraId="7077CDE1" w14:textId="77777777">
              <w:r>
                <w:t>Bij Kabinetsmissive van 3 maart 2022, no.2022000516, heeft Uwe Majesteit, op voordracht van de Staatssecretaris van Binnenlandse Zaken en Koninkrijksrelaties, bij de Afdeling advisering van de Raad van State ter overweging aanhangig gemaakt het voorstel van wet,  houdende instelling van een adviescollege voor de algehele verbetering en beheersing van ICT-projecten en informatiesystemen bij de centrale overheid, de politie en de Raad voor de rechtspraak (Wet Adviescollege ICT-toetsing), met memorie van toelichting.</w:t>
              </w:r>
            </w:p>
          </w:sdtContent>
        </w:sdt>
        <w:p w:rsidR="0071031E" w:rsidRDefault="0071031E" w14:paraId="3F22184A" w14:textId="77777777"/>
        <w:sdt>
          <w:sdtPr>
            <w:alias w:val="VrijeTekst1"/>
            <w:tag w:val="VrijeTekst1"/>
            <w:id w:val="-437221631"/>
            <w:lock w:val="sdtLocked"/>
          </w:sdtPr>
          <w:sdtEndPr/>
          <w:sdtContent>
            <w:sdt>
              <w:sdtPr>
                <w:alias w:val="VrijeTekst1"/>
                <w:tag w:val="VrijeTekst1"/>
                <w:id w:val="1583260170"/>
              </w:sdtPr>
              <w:sdtEndPr/>
              <w:sdtContent>
                <w:sdt>
                  <w:sdtPr>
                    <w:alias w:val="VrijeTekst1"/>
                    <w:tag w:val="VrijeTekst1"/>
                    <w:id w:val="920533075"/>
                  </w:sdtPr>
                  <w:sdtEndPr/>
                  <w:sdtContent>
                    <w:sdt>
                      <w:sdtPr>
                        <w:alias w:val="VrijeTekst1"/>
                        <w:tag w:val="VrijeTekst1"/>
                        <w:id w:val="678393790"/>
                      </w:sdtPr>
                      <w:sdtEndPr/>
                      <w:sdtContent>
                        <w:p w:rsidRPr="00B5124A" w:rsidR="00777F2D" w:rsidP="00777F2D" w:rsidRDefault="005A1EE6" w14:paraId="1A0AA9EC" w14:textId="77777777">
                          <w:r w:rsidRPr="00B5124A">
                            <w:t xml:space="preserve">Het voorstel regelt de permanente instelling van het Adviescollege ICT-toetsing. Het Adviescollege is de opvolger van het Bureau ICT-toetsing (hierna: BIT), dat per 1 januari 2021 tijdelijk is ingesteld bij ministerieel besluit als Adviescollege. Het BIT werd in 2015 opgericht om beter te toetsen of bij de start van een ICT-project door de ministeries werd voldaan aan een aantal cruciale eisen. Het Adviescollege krijgt in het voorstel twee taken: enerzijds </w:t>
                          </w:r>
                          <w:r>
                            <w:t>adviseert</w:t>
                          </w:r>
                          <w:r w:rsidRPr="00B5124A">
                            <w:t xml:space="preserve"> het Adviescollege over ICT-projecten en informatiesystemen, anderzijds </w:t>
                          </w:r>
                          <w:r>
                            <w:t xml:space="preserve">voorziet </w:t>
                          </w:r>
                          <w:r w:rsidRPr="00B5124A">
                            <w:t>het Adviescollege in kennisoverdracht en kennisbevordering.</w:t>
                          </w:r>
                        </w:p>
                        <w:p w:rsidRPr="00B5124A" w:rsidR="00777F2D" w:rsidP="00777F2D" w:rsidRDefault="001B5F50" w14:paraId="262590D0" w14:textId="77777777"/>
                        <w:p w:rsidRPr="00B5124A" w:rsidR="00777F2D" w:rsidP="00777F2D" w:rsidRDefault="005A1EE6" w14:paraId="0A313962" w14:textId="77777777">
                          <w:r w:rsidRPr="001B5F50">
                            <w:t>De Afdeling advisering van de Raad van State maakt een opmerking over de onafhankelijke positionering van het Adviescollege. Zij acht positionering binnen het ministerie van BZK in de rede liggen, in tegenstelling tot positionering als onafhankelijk adviescollege. De Afdeling wijst erop dat voor de doelen die de regering beoogt te bereiken, geen wet nodig is. Indien er desondanks voor gekozen wordt om het wetsvoorstel in procedure te brengen, maakt de Afdeling een opmerking uit oogpunt van wetgevingskwaliteit over de mate van juridisering, respectievelijk overregulering. In verband daarmee dient het wetsvoorstel nader te worden overwogen.</w:t>
                          </w:r>
                        </w:p>
                        <w:p w:rsidRPr="00B5124A" w:rsidR="00777F2D" w:rsidP="00777F2D" w:rsidRDefault="001B5F50" w14:paraId="1D731276" w14:textId="77777777"/>
                        <w:p w:rsidRPr="00B5124A" w:rsidR="00777F2D" w:rsidP="00777F2D" w:rsidRDefault="005A1EE6" w14:paraId="6297F2A3" w14:textId="77777777">
                          <w:r w:rsidRPr="00B5124A">
                            <w:t>1.</w:t>
                          </w:r>
                          <w:r w:rsidRPr="00B5124A">
                            <w:tab/>
                          </w:r>
                          <w:r w:rsidRPr="00B5124A">
                            <w:rPr>
                              <w:u w:val="single"/>
                            </w:rPr>
                            <w:t>Inhoud en achtergrond van het voorstel</w:t>
                          </w:r>
                        </w:p>
                        <w:p w:rsidRPr="00B5124A" w:rsidR="00777F2D" w:rsidP="00777F2D" w:rsidRDefault="001B5F50" w14:paraId="7A4432C6" w14:textId="77777777"/>
                        <w:p w:rsidRPr="00B5124A" w:rsidR="00777F2D" w:rsidP="00777F2D" w:rsidRDefault="005A1EE6" w14:paraId="255CD4C9" w14:textId="77777777">
                          <w:pPr>
                            <w:rPr>
                              <w:i/>
                              <w:iCs/>
                            </w:rPr>
                          </w:pPr>
                          <w:r w:rsidRPr="00B5124A">
                            <w:t>a.</w:t>
                          </w:r>
                          <w:r w:rsidRPr="00B5124A">
                            <w:tab/>
                          </w:r>
                          <w:r w:rsidRPr="00B5124A">
                            <w:rPr>
                              <w:i/>
                              <w:iCs/>
                            </w:rPr>
                            <w:t>Achtergrond</w:t>
                          </w:r>
                        </w:p>
                        <w:p w:rsidR="00E42B46" w:rsidP="00777F2D" w:rsidRDefault="005A1EE6" w14:paraId="755BEA6C" w14:textId="77777777">
                          <w:r w:rsidRPr="00B5124A">
                            <w:t>Het voorstel regelt de instelling van het Adviescollege ICT-toetsing. Het Adviescollege ICT-toetsing is per 1 januari 2021 tijdelijk ingesteld bij ministerieel besluit als de opvolger van het Bureau ICT-toetsing (hierna: BIT).</w:t>
                          </w:r>
                          <w:r w:rsidRPr="00B5124A">
                            <w:rPr>
                              <w:vertAlign w:val="superscript"/>
                            </w:rPr>
                            <w:footnoteReference w:id="1"/>
                          </w:r>
                          <w:r w:rsidRPr="00B5124A">
                            <w:t xml:space="preserve"> Het BIT was voor 1 januari 2021 een ambtelijk bureau met een onafhankelijke toezichtraad. Het BIT werd in 2015, naar aanleiding van het rapport van de Commissie-Elias over ICT-projecten bij de overheid,</w:t>
                          </w:r>
                          <w:r w:rsidRPr="00B5124A">
                            <w:rPr>
                              <w:vertAlign w:val="superscript"/>
                            </w:rPr>
                            <w:footnoteReference w:id="2"/>
                          </w:r>
                          <w:r w:rsidRPr="00B5124A">
                            <w:t xml:space="preserve"> opgericht om beter te toetsen of bij de start van een ICT-project door de ministeries werd voldaan aan een aantal cruciale eisen. In 2018 werd de advisering van het BIT uitgebreid naar ICT-projecten bij de politie en de Raad voor de Rechtspraak. </w:t>
                          </w:r>
                        </w:p>
                        <w:p w:rsidR="00E42B46" w:rsidP="00777F2D" w:rsidRDefault="001B5F50" w14:paraId="623D3568" w14:textId="77777777"/>
                        <w:p w:rsidRPr="00B5124A" w:rsidR="00777F2D" w:rsidP="00777F2D" w:rsidRDefault="005A1EE6" w14:paraId="6136C081" w14:textId="77777777">
                          <w:r w:rsidRPr="00B5124A">
                            <w:t>Hoewel de gedachte was dat het BIT na 5 jaar zou kunnen worden opgeheven, bleef de behoefte aan toetsing door het BIT ook na deze periode bestaan. Naar aanleiding van diverse evaluaties werd daarom besloten om het BIT een permanente status te geven en het om te vormen tot een onafhankelijk adviescollege.</w:t>
                          </w:r>
                          <w:r w:rsidRPr="00B5124A">
                            <w:rPr>
                              <w:vertAlign w:val="superscript"/>
                            </w:rPr>
                            <w:footnoteReference w:id="3"/>
                          </w:r>
                          <w:r w:rsidRPr="00B5124A">
                            <w:t xml:space="preserve"> Het BIT verkreeg deze status in 2020 met het Instellingsbesluit Adviescollege ICT-toetsing.</w:t>
                          </w:r>
                          <w:r w:rsidRPr="00B5124A">
                            <w:rPr>
                              <w:vertAlign w:val="superscript"/>
                            </w:rPr>
                            <w:footnoteReference w:id="4"/>
                          </w:r>
                          <w:r w:rsidRPr="00B5124A">
                            <w:t xml:space="preserve"> Het Instellingsbesluit overbrugt de periode tot de inwerkingtreding van voorliggend wetsvoorstel, en vervalt per 1 januari 2023.</w:t>
                          </w:r>
                        </w:p>
                        <w:p w:rsidR="007B0CFF" w:rsidRDefault="001B5F50" w14:paraId="0C83FA05" w14:textId="77777777"/>
                        <w:p w:rsidRPr="00B5124A" w:rsidR="00777F2D" w:rsidP="00777F2D" w:rsidRDefault="005A1EE6" w14:paraId="3E1B4D89" w14:textId="77777777">
                          <w:pPr>
                            <w:rPr>
                              <w:u w:val="single"/>
                            </w:rPr>
                          </w:pPr>
                          <w:r w:rsidRPr="00B5124A">
                            <w:t xml:space="preserve">b. </w:t>
                          </w:r>
                          <w:r w:rsidRPr="00B5124A">
                            <w:tab/>
                          </w:r>
                          <w:r w:rsidRPr="00B5124A">
                            <w:rPr>
                              <w:i/>
                              <w:iCs/>
                            </w:rPr>
                            <w:t>Taken van het college</w:t>
                          </w:r>
                        </w:p>
                        <w:p w:rsidRPr="00B5124A" w:rsidR="00777F2D" w:rsidP="00777F2D" w:rsidRDefault="005A1EE6" w14:paraId="387A51B1" w14:textId="77777777">
                          <w:r w:rsidRPr="00B5124A">
                            <w:t>Het Adviescollege krijgt</w:t>
                          </w:r>
                          <w:r>
                            <w:t xml:space="preserve"> met het voorstel</w:t>
                          </w:r>
                          <w:r w:rsidRPr="00B5124A">
                            <w:t xml:space="preserve"> verschillende taken opgedragen. Het Adviescollege kan op verzoek of uit eigen beweging advies uitbrengen over ICT-projecten en informatiesystemen.</w:t>
                          </w:r>
                          <w:r w:rsidRPr="00B5124A">
                            <w:rPr>
                              <w:vertAlign w:val="superscript"/>
                            </w:rPr>
                            <w:footnoteReference w:id="5"/>
                          </w:r>
                          <w:r w:rsidRPr="00B5124A">
                            <w:t xml:space="preserve"> Naast deze advisering heeft het Adviescollege tot taak te voorzien in kennisoverdracht en kennisbevordering binnen het CIO-stelsel van de centrale overheid.</w:t>
                          </w:r>
                          <w:r w:rsidRPr="00B5124A">
                            <w:rPr>
                              <w:vertAlign w:val="superscript"/>
                            </w:rPr>
                            <w:footnoteReference w:id="6"/>
                          </w:r>
                          <w:r w:rsidRPr="00B5124A">
                            <w:t xml:space="preserve"> </w:t>
                          </w:r>
                        </w:p>
                        <w:p w:rsidRPr="00B5124A" w:rsidR="00777F2D" w:rsidP="00777F2D" w:rsidRDefault="001B5F50" w14:paraId="479CD3BC" w14:textId="77777777"/>
                        <w:p w:rsidRPr="00B5124A" w:rsidR="00777F2D" w:rsidP="00777F2D" w:rsidRDefault="005A1EE6" w14:paraId="6673A45E" w14:textId="77777777">
                          <w:r w:rsidRPr="00B5124A">
                            <w:t>Het Adviescollege kan verschillende typen adviezen uitbrengen. Een advies kan zien op:</w:t>
                          </w:r>
                        </w:p>
                        <w:p w:rsidRPr="00B5124A" w:rsidR="00777F2D" w:rsidRDefault="005A1EE6" w14:paraId="7D759884" w14:textId="77777777">
                          <w:pPr>
                            <w:numPr>
                              <w:ilvl w:val="0"/>
                              <w:numId w:val="1"/>
                            </w:numPr>
                            <w:ind w:left="426" w:hanging="426"/>
                          </w:pPr>
                          <w:r w:rsidRPr="00B5124A">
                            <w:t>een doeltreffende en doelmatige inrichting en toepassing van een informatiesysteem ter uitvoering van beleid of regelgeving;</w:t>
                          </w:r>
                        </w:p>
                        <w:p w:rsidRPr="00B5124A" w:rsidR="00777F2D" w:rsidRDefault="005A1EE6" w14:paraId="2368EF26" w14:textId="77777777">
                          <w:pPr>
                            <w:numPr>
                              <w:ilvl w:val="0"/>
                              <w:numId w:val="1"/>
                            </w:numPr>
                            <w:ind w:left="426" w:hanging="426"/>
                          </w:pPr>
                          <w:r w:rsidRPr="00B5124A">
                            <w:t>de risico’s en slaagkans van een voorgenomen ICT-project en daarbij een oordeel geven over de mate van beheersbaarheid; en</w:t>
                          </w:r>
                        </w:p>
                        <w:p w:rsidRPr="00B5124A" w:rsidR="00777F2D" w:rsidRDefault="005A1EE6" w14:paraId="0BAB4D90" w14:textId="77777777">
                          <w:pPr>
                            <w:numPr>
                              <w:ilvl w:val="0"/>
                              <w:numId w:val="1"/>
                            </w:numPr>
                            <w:ind w:left="426" w:hanging="426"/>
                          </w:pPr>
                          <w:r w:rsidRPr="00B5124A">
                            <w:t>de doeltreffendheid en doelmatigheid van onderhoud- en beheeractiviteiten van een informatiesysteem.</w:t>
                          </w:r>
                          <w:r w:rsidRPr="00B5124A">
                            <w:rPr>
                              <w:vertAlign w:val="superscript"/>
                            </w:rPr>
                            <w:footnoteReference w:id="7"/>
                          </w:r>
                        </w:p>
                        <w:p w:rsidRPr="00B5124A" w:rsidR="00777F2D" w:rsidP="00777F2D" w:rsidRDefault="001B5F50" w14:paraId="45CB4F19" w14:textId="77777777"/>
                        <w:p w:rsidRPr="00B5124A" w:rsidR="00777F2D" w:rsidP="00777F2D" w:rsidRDefault="005A1EE6" w14:paraId="23A65E5B" w14:textId="482581C0">
                          <w:r w:rsidRPr="00B5124A">
                            <w:t>Het Adviescollege kan advies uitbrengen op verzoek van verschillende instanties. De Eerste of Tweede Kamer en de verantwoordelijke minister kunnen verzoeken om alle typen adviezen. De minister en z</w:t>
                          </w:r>
                          <w:r>
                            <w:t xml:space="preserve">elfstandige </w:t>
                          </w:r>
                          <w:r w:rsidRPr="00B5124A">
                            <w:t>b</w:t>
                          </w:r>
                          <w:r>
                            <w:t>estuursorganen (zbo’s)</w:t>
                          </w:r>
                          <w:r w:rsidRPr="00B5124A">
                            <w:t xml:space="preserve"> zijn daarnaast verplicht een type 2-advies te vragen voor aanvang van ICT-projecten. Anders dan nu het geval is, kunnen zbo’s, de politie en de Raad voor de rechtspraak bovendien rechtstreeks aan het Adviescollege verzoeken om type 2- en type 3-adviezen. Zowel de minister die verantwoordelijk is voor de ICT-</w:t>
                          </w:r>
                          <w:r w:rsidRPr="00B5124A">
                            <w:lastRenderedPageBreak/>
                            <w:t xml:space="preserve">voorziening, als een </w:t>
                          </w:r>
                          <w:proofErr w:type="spellStart"/>
                          <w:r w:rsidRPr="00B5124A">
                            <w:t>zbo</w:t>
                          </w:r>
                          <w:proofErr w:type="spellEnd"/>
                          <w:r w:rsidRPr="00B5124A">
                            <w:t>, kan het Adviescollege ook verzoeken om nader advies over de risico’s en slaagkans van een ICT-project dat is gestart.</w:t>
                          </w:r>
                          <w:r w:rsidR="007F41B2">
                            <w:rPr>
                              <w:rStyle w:val="Voetnootmarkering"/>
                            </w:rPr>
                            <w:footnoteReference w:id="8"/>
                          </w:r>
                          <w:r w:rsidRPr="00B5124A">
                            <w:t xml:space="preserve"> Daarnaast kan het Adviescollege uit eigen beweging een type 2- en type 3-advies uitbrengen, maar niet over een ICT-project of informatiesysteem van de politie of de Raad voor de rechtspraak.</w:t>
                          </w:r>
                        </w:p>
                        <w:p w:rsidRPr="00B5124A" w:rsidR="00777F2D" w:rsidP="00777F2D" w:rsidRDefault="001B5F50" w14:paraId="407E8E98" w14:textId="77777777"/>
                        <w:p w:rsidR="007B0CFF" w:rsidRDefault="005A1EE6" w14:paraId="52312646" w14:textId="77777777">
                          <w:r w:rsidRPr="00B5124A">
                            <w:t>Het Adviescollege bepaalt zelf welke verzoeken om advies in behandeling worden genomen, na overleg met de partij die de adviesaanvraag heeft gedaan en de betrokken minister.</w:t>
                          </w:r>
                          <w:r w:rsidRPr="00B5124A">
                            <w:rPr>
                              <w:vertAlign w:val="superscript"/>
                            </w:rPr>
                            <w:footnoteReference w:id="9"/>
                          </w:r>
                          <w:r w:rsidRPr="00B5124A">
                            <w:t xml:space="preserve"> Voordat het Adviescollege een advies vaststelt, wordt de minister of een </w:t>
                          </w:r>
                          <w:proofErr w:type="spellStart"/>
                          <w:r w:rsidRPr="00B5124A">
                            <w:t>zbo</w:t>
                          </w:r>
                          <w:proofErr w:type="spellEnd"/>
                          <w:r w:rsidRPr="00B5124A">
                            <w:t>, de politie of de Raad voor de rechtspraak in staat gesteld om binnen twee weken te reageren op een concept.</w:t>
                          </w:r>
                          <w:r w:rsidRPr="00B5124A">
                            <w:rPr>
                              <w:vertAlign w:val="superscript"/>
                            </w:rPr>
                            <w:footnoteReference w:id="10"/>
                          </w:r>
                          <w:r w:rsidRPr="00B5124A">
                            <w:t xml:space="preserve"> Als een advies niet wordt opgevolgd, wordt dat met redenen omkleed meegedeeld aan het parlement.</w:t>
                          </w:r>
                          <w:r w:rsidRPr="00B5124A">
                            <w:rPr>
                              <w:vertAlign w:val="superscript"/>
                            </w:rPr>
                            <w:footnoteReference w:id="11"/>
                          </w:r>
                          <w:r w:rsidRPr="00B5124A">
                            <w:t xml:space="preserve"> Het Adviescollege kan een naschrift uitbrengen over de maatregelen die zijn voorgesteld ter opvolging van een advies.</w:t>
                          </w:r>
                          <w:r w:rsidRPr="00B5124A">
                            <w:rPr>
                              <w:vertAlign w:val="superscript"/>
                            </w:rPr>
                            <w:footnoteReference w:id="12"/>
                          </w:r>
                        </w:p>
                        <w:p w:rsidRPr="00B5124A" w:rsidR="00777F2D" w:rsidP="00777F2D" w:rsidRDefault="001B5F50" w14:paraId="42962917" w14:textId="77777777"/>
                        <w:p w:rsidR="007B0CFF" w:rsidRDefault="005A1EE6" w14:paraId="15B33325" w14:textId="77777777">
                          <w:r w:rsidRPr="00B5124A">
                            <w:t xml:space="preserve">2. </w:t>
                          </w:r>
                          <w:r w:rsidRPr="00B5124A">
                            <w:tab/>
                          </w:r>
                          <w:r w:rsidRPr="00B5124A">
                            <w:rPr>
                              <w:u w:val="single"/>
                            </w:rPr>
                            <w:t>Onafhankelijke positionering</w:t>
                          </w:r>
                        </w:p>
                        <w:p w:rsidRPr="00B5124A" w:rsidR="00777F2D" w:rsidP="00777F2D" w:rsidRDefault="001B5F50" w14:paraId="16BDD97A" w14:textId="77777777"/>
                        <w:p w:rsidRPr="001B5F50" w:rsidR="00777F2D" w:rsidP="00777F2D" w:rsidRDefault="005A1EE6" w14:paraId="0C4CD84B" w14:textId="77777777">
                          <w:r>
                            <w:t>Met het</w:t>
                          </w:r>
                          <w:r w:rsidRPr="00B5124A">
                            <w:t xml:space="preserve"> </w:t>
                          </w:r>
                          <w:r w:rsidRPr="001B5F50">
                            <w:t>wetsvoorstel krijgt het Adviescollege een permanente status en wordt het op afstand van de minister geplaatst.</w:t>
                          </w:r>
                          <w:r w:rsidRPr="001B5F50">
                            <w:rPr>
                              <w:vertAlign w:val="superscript"/>
                            </w:rPr>
                            <w:footnoteReference w:id="13"/>
                          </w:r>
                          <w:r w:rsidRPr="001B5F50">
                            <w:t xml:space="preserve"> Reden daartoe is, blijkens een Kamerbrief uit 2019, dat de positionering van het BIT als dienstonderdeel van BZK in theorie een risico op belangenconflicten in zich kan meedragen. Volgens de toelichting wordt met het verder op afstand plaatsen als onafhankelijk adviescollege deze theoretische belangenverstrengeling voorkomen en kan het Adviescollege zijn kritische rol zonder last en </w:t>
                          </w:r>
                          <w:proofErr w:type="spellStart"/>
                          <w:r w:rsidRPr="001B5F50">
                            <w:t>ruggespraak</w:t>
                          </w:r>
                          <w:proofErr w:type="spellEnd"/>
                          <w:r w:rsidRPr="001B5F50">
                            <w:t xml:space="preserve"> vervullen.</w:t>
                          </w:r>
                          <w:r w:rsidRPr="001B5F50">
                            <w:rPr>
                              <w:vertAlign w:val="superscript"/>
                            </w:rPr>
                            <w:footnoteReference w:id="14"/>
                          </w:r>
                          <w:r w:rsidRPr="001B5F50">
                            <w:t xml:space="preserve"> De Minister van BZK draagt zo niet de verantwoordelijkheid over de inhoud van de adviezen, maar wel over de wetgeving die nodig is voor de instelling en taakopdracht van het Adviescollege – de minister is, zo meldt de toelichting, stelselverantwoordelijk.</w:t>
                          </w:r>
                          <w:r w:rsidRPr="001B5F50">
                            <w:rPr>
                              <w:vertAlign w:val="superscript"/>
                            </w:rPr>
                            <w:footnoteReference w:id="15"/>
                          </w:r>
                        </w:p>
                        <w:p w:rsidRPr="001B5F50" w:rsidR="00777F2D" w:rsidP="00777F2D" w:rsidRDefault="001B5F50" w14:paraId="7B1266D8" w14:textId="77777777"/>
                        <w:p w:rsidR="00E42B46" w:rsidP="00777F2D" w:rsidRDefault="005A1EE6" w14:paraId="0C00761E" w14:textId="77777777">
                          <w:r w:rsidRPr="001B5F50">
                            <w:t>De Afdeling merkt op dat met het oog op de ministeriële verantwoordelijkheid het uitgangspunt van de regering is terughoudend te zijn bij de wettelijke instelling van nieuwe onafhankelijke instanties.</w:t>
                          </w:r>
                          <w:r w:rsidRPr="001B5F50">
                            <w:rPr>
                              <w:vertAlign w:val="superscript"/>
                            </w:rPr>
                            <w:footnoteReference w:id="16"/>
                          </w:r>
                          <w:r w:rsidRPr="001B5F50">
                            <w:t xml:space="preserve"> In</w:t>
                          </w:r>
                          <w:r w:rsidRPr="00B5124A">
                            <w:t xml:space="preserve"> dat licht wijst de Afdeling op </w:t>
                          </w:r>
                          <w:r w:rsidRPr="00B5124A">
                            <w:lastRenderedPageBreak/>
                            <w:t>onderzoeken in 2018 en 2019 naar het BIT, waarbij ook de positionering van het BIT is betrokken.</w:t>
                          </w:r>
                          <w:r w:rsidRPr="00B5124A">
                            <w:rPr>
                              <w:vertAlign w:val="superscript"/>
                            </w:rPr>
                            <w:footnoteReference w:id="17"/>
                          </w:r>
                          <w:r w:rsidRPr="00B5124A">
                            <w:t xml:space="preserve"> Het rapport over de </w:t>
                          </w:r>
                          <w:proofErr w:type="spellStart"/>
                          <w:r w:rsidRPr="00B5124A">
                            <w:t>governance</w:t>
                          </w:r>
                          <w:proofErr w:type="spellEnd"/>
                          <w:r w:rsidRPr="00B5124A">
                            <w:t xml:space="preserve"> van informatievoorziening binnen het Rijk concludeerde dat positionering binnen BZK en positionering bij de Auditdienst Rijk mogelijk zijn; oprichting van een onafhankelijk adviescollege zou leiden tot onnodige versnippering van toetsing en toezicht.</w:t>
                          </w:r>
                          <w:r w:rsidRPr="00B5124A">
                            <w:rPr>
                              <w:vertAlign w:val="superscript"/>
                            </w:rPr>
                            <w:footnoteReference w:id="18"/>
                          </w:r>
                          <w:r w:rsidRPr="00B5124A">
                            <w:t xml:space="preserve"> </w:t>
                          </w:r>
                        </w:p>
                        <w:p w:rsidR="00E42B46" w:rsidP="00777F2D" w:rsidRDefault="001B5F50" w14:paraId="08C003F1" w14:textId="77777777"/>
                        <w:p w:rsidRPr="001B5F50" w:rsidR="007B0CFF" w:rsidRDefault="005A1EE6" w14:paraId="4963DA04" w14:textId="77777777">
                          <w:r w:rsidRPr="00B5124A">
                            <w:t>Het evaluatierapport concludeerde dat er geen alternatief is dat evident beter is dan de bestaande positionering binnen BZK.</w:t>
                          </w:r>
                          <w:r w:rsidRPr="00B5124A">
                            <w:rPr>
                              <w:vertAlign w:val="superscript"/>
                            </w:rPr>
                            <w:footnoteReference w:id="19"/>
                          </w:r>
                          <w:r w:rsidRPr="00B5124A">
                            <w:t xml:space="preserve"> Bovendien bleek uit de evaluatie dat in </w:t>
                          </w:r>
                          <w:r w:rsidRPr="001B5F50">
                            <w:t>theorie positionering binnen BZK de onafhankelijkheid van het BIT zou kunnen beperken, maar dat in de praktijk het BIT sterk onafhankelijk opereerde.</w:t>
                          </w:r>
                          <w:r w:rsidRPr="001B5F50">
                            <w:rPr>
                              <w:vertAlign w:val="superscript"/>
                            </w:rPr>
                            <w:footnoteReference w:id="20"/>
                          </w:r>
                          <w:r w:rsidRPr="001B5F50">
                            <w:t xml:space="preserve"> In dit licht benadrukt de Afdeling dat, zoals bij het BIT het geval was, onafhankelijke advisering goed mogelijk is in een positie waarbij de ministeriële verantwoordelijkheid wel ten volle geldt.</w:t>
                          </w:r>
                          <w:r w:rsidRPr="001B5F50">
                            <w:rPr>
                              <w:rStyle w:val="Voetnootmarkering"/>
                            </w:rPr>
                            <w:footnoteReference w:id="21"/>
                          </w:r>
                          <w:r w:rsidRPr="001B5F50">
                            <w:t xml:space="preserve"> </w:t>
                          </w:r>
                        </w:p>
                        <w:p w:rsidRPr="001B5F50" w:rsidR="00607D65" w:rsidP="00777F2D" w:rsidRDefault="001B5F50" w14:paraId="16AF9E67" w14:textId="77777777"/>
                        <w:p w:rsidR="00E42B46" w:rsidP="00777F2D" w:rsidRDefault="005A1EE6" w14:paraId="6A5C8BD0" w14:textId="77777777">
                          <w:r w:rsidRPr="001B5F50">
                            <w:t>Tijdens een parlementair debat over de toekomst en functie van het BIT heeft de Tweede Kamer benadrukt dat het belang hecht aan onafhankelijke advisering.</w:t>
                          </w:r>
                          <w:r w:rsidRPr="001B5F50">
                            <w:rPr>
                              <w:vertAlign w:val="superscript"/>
                            </w:rPr>
                            <w:footnoteReference w:id="22"/>
                          </w:r>
                          <w:r w:rsidRPr="001B5F50">
                            <w:t xml:space="preserve"> Naar aanleiding hiervan en de verrichte onderzoeken heeft de minister ervoor gekozen om het BIT op afstand te plaatsen, zodat (theoretische) belangenverstrengeling wordt voorkomen en het parlement rechtstreeks toegang heeft tot het Adviescollege.</w:t>
                          </w:r>
                          <w:r w:rsidRPr="001B5F50">
                            <w:rPr>
                              <w:vertAlign w:val="superscript"/>
                            </w:rPr>
                            <w:footnoteReference w:id="23"/>
                          </w:r>
                          <w:r w:rsidRPr="00B5124A">
                            <w:t xml:space="preserve"> </w:t>
                          </w:r>
                        </w:p>
                        <w:p w:rsidR="00E42B46" w:rsidP="00777F2D" w:rsidRDefault="001B5F50" w14:paraId="7B6CA5D1" w14:textId="77777777"/>
                        <w:p w:rsidRPr="001B5F50" w:rsidR="007B0CFF" w:rsidRDefault="005A1EE6" w14:paraId="12223B6A" w14:textId="77777777">
                          <w:r w:rsidRPr="00B5124A">
                            <w:t>De Afdeling is zich bewust van de geuite zorgen over onafhankelijkheid, maar wijst erop dat het BIT in de praktijk – binnen het ministerie – onafhankelijk functioneerde en adviseerde.</w:t>
                          </w:r>
                          <w:r w:rsidRPr="00B5124A">
                            <w:rPr>
                              <w:vertAlign w:val="superscript"/>
                            </w:rPr>
                            <w:footnoteReference w:id="24"/>
                          </w:r>
                          <w:r w:rsidRPr="00B5124A">
                            <w:t xml:space="preserve"> </w:t>
                          </w:r>
                          <w:r>
                            <w:t>Onafhankelijke en onpartijdige advisering is onderdeel van het ambtelijk vakmanschap en vereist niet per definitie dat een organisatie op afstand wordt geplaatst.</w:t>
                          </w:r>
                          <w:r w:rsidRPr="00B5124A">
                            <w:rPr>
                              <w:vertAlign w:val="superscript"/>
                            </w:rPr>
                            <w:footnoteReference w:id="25"/>
                          </w:r>
                          <w:r w:rsidRPr="00B5124A">
                            <w:t xml:space="preserve"> </w:t>
                          </w:r>
                          <w:r>
                            <w:t xml:space="preserve">Wel is nodig dat het organisatorisch </w:t>
                          </w:r>
                          <w:r>
                            <w:lastRenderedPageBreak/>
                            <w:t xml:space="preserve">goed wordt verankerd – binnen het ministerie – </w:t>
                          </w:r>
                          <w:r w:rsidRPr="001B5F50">
                            <w:t>en dat zorg wordt gedragen voor een open organisatiecultuur en veilig werkklimaat.</w:t>
                          </w:r>
                          <w:r w:rsidRPr="001B5F50">
                            <w:rPr>
                              <w:rStyle w:val="Voetnootmarkering"/>
                            </w:rPr>
                            <w:footnoteReference w:id="26"/>
                          </w:r>
                          <w:r w:rsidRPr="001B5F50">
                            <w:t xml:space="preserve"> Deze positionering laat onverlet dat vastgelegd kan worden dat het parlement toegang kan krijgen tot het Adviescollege en tot de gegeven adviezen en rapportages. </w:t>
                          </w:r>
                        </w:p>
                        <w:p w:rsidRPr="001B5F50" w:rsidR="007B0CFF" w:rsidRDefault="001B5F50" w14:paraId="464E07FB" w14:textId="77777777"/>
                        <w:p w:rsidRPr="001B5F50" w:rsidR="00E42B46" w:rsidP="00777F2D" w:rsidRDefault="005A1EE6" w14:paraId="3A95040C" w14:textId="77777777">
                          <w:r w:rsidRPr="001B5F50">
                            <w:t>De taken van het Adviescollege sluiten bovendien nauw aan bij de verantwoordelijkheden van de minister.</w:t>
                          </w:r>
                          <w:r w:rsidRPr="001B5F50">
                            <w:rPr>
                              <w:rStyle w:val="Voetnootmarkering"/>
                            </w:rPr>
                            <w:footnoteReference w:id="27"/>
                          </w:r>
                          <w:r w:rsidRPr="001B5F50">
                            <w:t xml:space="preserve"> Dit betreft enerzijds de taak tot toetsing en advisering. Dit ziet niet alleen op het ‘klassieke’ BIT-advies over de risico’s en slaagkans van een voorgenomen ICT-project (type 2), maar ook op de advisering over informatiesystemen in een vroegtijdig stadium van beleidsontwikkeling (type 1), en over andere aspecten van de levenscyclus van bestaande informatiesystemen (type 3).</w:t>
                          </w:r>
                          <w:r w:rsidRPr="001B5F50">
                            <w:rPr>
                              <w:vertAlign w:val="superscript"/>
                            </w:rPr>
                            <w:footnoteReference w:id="28"/>
                          </w:r>
                          <w:r w:rsidRPr="001B5F50">
                            <w:t xml:space="preserve"> Anderzijds betreft het de taak te voorzien in kennisoverdracht en kennisbevordering: dit is essentieel voor het stimuleren van het lerend vermogen binnen het CIO-stelsel.</w:t>
                          </w:r>
                          <w:r w:rsidRPr="001B5F50">
                            <w:rPr>
                              <w:vertAlign w:val="superscript"/>
                            </w:rPr>
                            <w:footnoteReference w:id="29"/>
                          </w:r>
                          <w:r w:rsidRPr="001B5F50">
                            <w:t xml:space="preserve"> Beide taken dragen zo bij aan het goed en betrouwbaar functioneren van de overheid, en zijn sterk verweven met het CIO-stelsel.</w:t>
                          </w:r>
                          <w:r w:rsidRPr="001B5F50">
                            <w:rPr>
                              <w:vertAlign w:val="superscript"/>
                            </w:rPr>
                            <w:footnoteReference w:id="30"/>
                          </w:r>
                          <w:r w:rsidRPr="001B5F50">
                            <w:t xml:space="preserve"> </w:t>
                          </w:r>
                        </w:p>
                        <w:p w:rsidRPr="001B5F50" w:rsidR="00E42B46" w:rsidP="00777F2D" w:rsidRDefault="001B5F50" w14:paraId="01C90E5D" w14:textId="77777777"/>
                        <w:p w:rsidRPr="001B5F50" w:rsidR="00777F2D" w:rsidP="00777F2D" w:rsidRDefault="005A1EE6" w14:paraId="1938BCA3" w14:textId="4880009D">
                          <w:r w:rsidRPr="001B5F50">
                            <w:t>Gelet op de sterke koppeling tussen deze taken van het Adviescollege, het CIO-stelsel en de brede verantwoordelijkheden van de minister van BZK acht de Afdeling het aangewezen dat de taken van het Adviescollege onder de volle ministeriële verantwoordelijkheid vallen, en dit binnen het ministerie van BZK te positioneren.</w:t>
                          </w:r>
                          <w:r w:rsidRPr="001B5F50" w:rsidR="007F41B2">
                            <w:rPr>
                              <w:rStyle w:val="Voetnootmarkering"/>
                            </w:rPr>
                            <w:footnoteReference w:id="31"/>
                          </w:r>
                          <w:r w:rsidRPr="001B5F50">
                            <w:t xml:space="preserve"> </w:t>
                          </w:r>
                        </w:p>
                        <w:p w:rsidRPr="001B5F50" w:rsidR="007B0CFF" w:rsidRDefault="001B5F50" w14:paraId="30A96B32" w14:textId="77777777"/>
                        <w:p w:rsidRPr="00B5124A" w:rsidR="00777F2D" w:rsidP="00777F2D" w:rsidRDefault="005A1EE6" w14:paraId="6E822D8F" w14:textId="77777777">
                          <w:r w:rsidRPr="001B5F50">
                            <w:t>De Afdeling merkt op dat voor de doelen die de regering beoogt</w:t>
                          </w:r>
                          <w:r w:rsidRPr="00E54F93">
                            <w:t xml:space="preserve"> te bereiken</w:t>
                          </w:r>
                          <w:r>
                            <w:t xml:space="preserve">, geen wet nodig is. </w:t>
                          </w:r>
                          <w:r w:rsidRPr="00B5124A">
                            <w:t>De Afdeling adviseert</w:t>
                          </w:r>
                          <w:r>
                            <w:t xml:space="preserve"> daarom</w:t>
                          </w:r>
                          <w:r w:rsidRPr="00B5124A">
                            <w:t xml:space="preserve"> het </w:t>
                          </w:r>
                          <w:r>
                            <w:t>wets</w:t>
                          </w:r>
                          <w:r w:rsidRPr="00B5124A">
                            <w:t>voorstel te heroverwegen.</w:t>
                          </w:r>
                        </w:p>
                        <w:p w:rsidRPr="00B5124A" w:rsidR="00777F2D" w:rsidP="00777F2D" w:rsidRDefault="001B5F50" w14:paraId="131AC355" w14:textId="77777777"/>
                        <w:p w:rsidRPr="00B5124A" w:rsidR="00777F2D" w:rsidP="00777F2D" w:rsidRDefault="005A1EE6" w14:paraId="04C45B70" w14:textId="77777777">
                          <w:r w:rsidRPr="00B5124A">
                            <w:t>Onverminderd het voorgaande merkt de Afdeling het volgende op.</w:t>
                          </w:r>
                        </w:p>
                        <w:p w:rsidRPr="00B5124A" w:rsidR="00777F2D" w:rsidP="00777F2D" w:rsidRDefault="001B5F50" w14:paraId="7BF49D11" w14:textId="77777777"/>
                        <w:p w:rsidRPr="00B5124A" w:rsidR="00777F2D" w:rsidP="00777F2D" w:rsidRDefault="005A1EE6" w14:paraId="4DA6AECB" w14:textId="77777777">
                          <w:r w:rsidRPr="00B5124A">
                            <w:t>3.</w:t>
                          </w:r>
                          <w:r w:rsidRPr="00B5124A">
                            <w:tab/>
                          </w:r>
                          <w:r w:rsidRPr="00B5124A">
                            <w:rPr>
                              <w:u w:val="single"/>
                            </w:rPr>
                            <w:t>Wetgevingskwaliteit en mate van juridisering en regulering</w:t>
                          </w:r>
                        </w:p>
                        <w:p w:rsidRPr="00B5124A" w:rsidR="00777F2D" w:rsidP="00777F2D" w:rsidRDefault="001B5F50" w14:paraId="0E8C83D5" w14:textId="77777777"/>
                        <w:p w:rsidRPr="00B5124A" w:rsidR="00777F2D" w:rsidP="00777F2D" w:rsidRDefault="005A1EE6" w14:paraId="3FAA2CF0" w14:textId="77777777">
                          <w:pPr>
                            <w:rPr>
                              <w:i/>
                              <w:iCs/>
                            </w:rPr>
                          </w:pPr>
                          <w:r w:rsidRPr="00B5124A">
                            <w:rPr>
                              <w:i/>
                              <w:iCs/>
                            </w:rPr>
                            <w:t>a.</w:t>
                          </w:r>
                          <w:r w:rsidRPr="00B5124A">
                            <w:rPr>
                              <w:i/>
                              <w:iCs/>
                            </w:rPr>
                            <w:tab/>
                            <w:t>Voorkomen van het onnodig juridiseren van verhoudingen</w:t>
                          </w:r>
                        </w:p>
                        <w:p w:rsidRPr="001B5F50" w:rsidR="00777F2D" w:rsidP="00777F2D" w:rsidRDefault="005A1EE6" w14:paraId="7E8AD39E" w14:textId="77777777">
                          <w:r w:rsidRPr="00B5124A">
                            <w:t xml:space="preserve">Ten aanzien van twee onderwerpen rijst de vraag of hiervoor een wettelijke regeling </w:t>
                          </w:r>
                          <w:r w:rsidRPr="001B5F50">
                            <w:t>noodzakelijk is. Het betreft ten eerste bepalingen die zien op verhoudingen die, in de regel, geen juridisering vereisen. In de wet is gekozen aangelegenheden zoals overlegplichten,</w:t>
                          </w:r>
                          <w:r w:rsidRPr="001B5F50">
                            <w:rPr>
                              <w:vertAlign w:val="superscript"/>
                            </w:rPr>
                            <w:footnoteReference w:id="32"/>
                          </w:r>
                          <w:r w:rsidRPr="001B5F50">
                            <w:t xml:space="preserve"> het overleggen van afschriften van adviezen,</w:t>
                          </w:r>
                          <w:r w:rsidRPr="001B5F50">
                            <w:rPr>
                              <w:vertAlign w:val="superscript"/>
                            </w:rPr>
                            <w:footnoteReference w:id="33"/>
                          </w:r>
                          <w:r w:rsidRPr="001B5F50">
                            <w:t xml:space="preserve"> en de mogelijkheid tot reactie op bevindingen en conceptadviezen</w:t>
                          </w:r>
                          <w:r w:rsidRPr="001B5F50">
                            <w:rPr>
                              <w:vertAlign w:val="superscript"/>
                            </w:rPr>
                            <w:footnoteReference w:id="34"/>
                          </w:r>
                          <w:r w:rsidRPr="001B5F50">
                            <w:t xml:space="preserve"> te verheffen tot juridische plichten. </w:t>
                          </w:r>
                        </w:p>
                        <w:p w:rsidRPr="001B5F50" w:rsidR="00777F2D" w:rsidP="00777F2D" w:rsidRDefault="001B5F50" w14:paraId="2EE54BD6" w14:textId="77777777"/>
                        <w:p w:rsidRPr="001B5F50" w:rsidR="00777F2D" w:rsidP="00777F2D" w:rsidRDefault="005A1EE6" w14:paraId="2D9B18E6" w14:textId="77777777">
                          <w:r w:rsidRPr="001B5F50">
                            <w:t>De Afdeling merkt hierover het volgende op. Zij wijst er allereerst op dat de bepalingen de bewegingsruimte van het Adviescollege kunnen beperken. Hier zit ook spanning tussen enerzijds het nagestreefde doel van onafhankelijkheid van positionering en anderzijds het opnemen van al deze bepalingen, waarmee het Adviescollege alsnog onder de invloedssfeer van de minister wordt geplaatst. Bovendien rijst de vraag of dit niet leidt tot een cultuur waarin verhoudingen verworden tot juridische plichten, waarbij onduidelijk is in welke noodzaak de juridisering van deze verhoudingen voorziet en waarbij de regelingen inboeten aan duidelijkheid en eenvoud.</w:t>
                          </w:r>
                          <w:r w:rsidRPr="001B5F50">
                            <w:rPr>
                              <w:vertAlign w:val="superscript"/>
                            </w:rPr>
                            <w:footnoteReference w:id="35"/>
                          </w:r>
                          <w:r w:rsidRPr="001B5F50">
                            <w:t xml:space="preserve"> Daarnaast wijst de Afdeling erop dat deze bepalingen materieel beperkte betekenis hebben, omdat uit deze bepalingen geen afdwingbare rechten of verplichtingen voortvloeien.</w:t>
                          </w:r>
                        </w:p>
                        <w:p w:rsidRPr="001B5F50" w:rsidR="00777F2D" w:rsidP="00777F2D" w:rsidRDefault="001B5F50" w14:paraId="32170653" w14:textId="77777777"/>
                        <w:p w:rsidRPr="001B5F50" w:rsidR="00777F2D" w:rsidP="00777F2D" w:rsidRDefault="005A1EE6" w14:paraId="385A5EAB" w14:textId="77777777">
                          <w:r w:rsidRPr="001B5F50">
                            <w:t xml:space="preserve">De Afdeling adviseert daarom te heroverwegen of het in het kader van deze wet noodzakelijk is de verhoudingen te juridiseren, en zo nodig het voorstel aan te passen. </w:t>
                          </w:r>
                        </w:p>
                        <w:p w:rsidRPr="001B5F50" w:rsidR="00777F2D" w:rsidP="00777F2D" w:rsidRDefault="001B5F50" w14:paraId="7DEE88A7" w14:textId="77777777"/>
                        <w:p w:rsidRPr="001B5F50" w:rsidR="00777F2D" w:rsidP="00777F2D" w:rsidRDefault="005A1EE6" w14:paraId="42FD7A42" w14:textId="77777777">
                          <w:pPr>
                            <w:rPr>
                              <w:i/>
                              <w:iCs/>
                            </w:rPr>
                          </w:pPr>
                          <w:r w:rsidRPr="001B5F50">
                            <w:rPr>
                              <w:i/>
                              <w:iCs/>
                            </w:rPr>
                            <w:t>b</w:t>
                          </w:r>
                          <w:r w:rsidRPr="001B5F50">
                            <w:t xml:space="preserve">. </w:t>
                          </w:r>
                          <w:r w:rsidRPr="001B5F50">
                            <w:tab/>
                          </w:r>
                          <w:r w:rsidRPr="001B5F50">
                            <w:rPr>
                              <w:i/>
                              <w:iCs/>
                            </w:rPr>
                            <w:t>Verhouding tussen het voorstel en de Kaderwet adviescolleges</w:t>
                          </w:r>
                        </w:p>
                        <w:p w:rsidRPr="00B5124A" w:rsidR="00777F2D" w:rsidP="00777F2D" w:rsidRDefault="005A1EE6" w14:paraId="11481F1B" w14:textId="77777777">
                          <w:r w:rsidRPr="001B5F50">
                            <w:t>Het wetsvoorstel bevat ook een tweede groep bepalingen waarvan de opname heroverwogen dient te worden. Dit ziet op onderwerpen die reeds in de Kaderwet adviescolleges zijn geregeld. De toelichting bij het voorstel geeft aan zo veel mogelijk te willen aansluiten bij de algemene regels van de Kaderwet adviescolleges. Het doel van de Kaderwet adviescolleges is uniformeren, omdat een ‘wildgroei van regelingen zonder een heldere en deugdelijke motivering, afbreuk doet aan de normatieve waarde van de regelgeving’, aldus de toelichting bij de Kaderwet.</w:t>
                          </w:r>
                          <w:r w:rsidRPr="001B5F50">
                            <w:rPr>
                              <w:vertAlign w:val="superscript"/>
                            </w:rPr>
                            <w:footnoteReference w:id="36"/>
                          </w:r>
                          <w:r w:rsidRPr="001B5F50">
                            <w:t xml:space="preserve"> De Afdeling onderschrijft de waarde</w:t>
                          </w:r>
                          <w:r w:rsidRPr="00B5124A">
                            <w:t xml:space="preserve"> van een uniform kader.</w:t>
                          </w:r>
                        </w:p>
                        <w:p w:rsidRPr="00B5124A" w:rsidR="00777F2D" w:rsidP="00777F2D" w:rsidRDefault="001B5F50" w14:paraId="16DDFC38" w14:textId="77777777"/>
                        <w:p w:rsidRPr="001B5F50" w:rsidR="00777F2D" w:rsidP="00777F2D" w:rsidRDefault="005A1EE6" w14:paraId="5D21A6AA" w14:textId="77777777">
                          <w:r w:rsidRPr="00B5124A">
                            <w:t xml:space="preserve">De Afdeling merkt echter op dat onduidelijk is waarom ervoor gekozen is een aantal bepalingen die reeds staan vermeld in de Kaderwet letterlijk over te nemen in het wetsvoorstel in plaats van te volstaan met een verwijzing naar deze </w:t>
                          </w:r>
                          <w:r w:rsidRPr="00B5124A">
                            <w:lastRenderedPageBreak/>
                            <w:t>artikelen in de Kaderwet adviescolleges.</w:t>
                          </w:r>
                          <w:r w:rsidRPr="00B5124A">
                            <w:rPr>
                              <w:vertAlign w:val="superscript"/>
                            </w:rPr>
                            <w:footnoteReference w:id="37"/>
                          </w:r>
                          <w:r w:rsidRPr="00B5124A">
                            <w:t xml:space="preserve"> Die vraag dringt zich in het bijzonder op, omdat in de voorgestelde artikelen 10 en 12 wel is gekozen met de laatstgenoemde optie te volstaan. De verwijzing naar artikelen in de Kaderwet geniet de voorkeur in </w:t>
                          </w:r>
                          <w:r w:rsidRPr="001B5F50">
                            <w:t>het licht van de benodigde uniformiteit, en heeft bovendien als voordeel dat bij een wijziging in de Kaderwet adviescolleges de voorliggende bepalingen ook automatisch wijzigen, wat de uniformiteit bevordert.</w:t>
                          </w:r>
                        </w:p>
                        <w:p w:rsidRPr="001B5F50" w:rsidR="00777F2D" w:rsidP="00777F2D" w:rsidRDefault="001B5F50" w14:paraId="6F03BC0B" w14:textId="77777777"/>
                        <w:p w:rsidRPr="001B5F50" w:rsidR="00777F2D" w:rsidP="00777F2D" w:rsidRDefault="005A1EE6" w14:paraId="7D51EE99" w14:textId="77777777">
                          <w:r w:rsidRPr="001B5F50">
                            <w:t>Daarnaast merkt de Afdeling op dat onduidelijk is waarom in bepaalde gevallen is gekozen af te wijken van de regeling in de Kaderwet terwijl het streven is om zoveel mogelijk aan te sluiten bij de Kaderwet.</w:t>
                          </w:r>
                          <w:r w:rsidRPr="001B5F50">
                            <w:rPr>
                              <w:vertAlign w:val="superscript"/>
                            </w:rPr>
                            <w:footnoteReference w:id="38"/>
                          </w:r>
                          <w:r w:rsidRPr="001B5F50">
                            <w:t xml:space="preserve"> Op deze afwijkingen wordt in de toelichting bij de wet niet of onvoldoende ingegaan. De Afdeling acht het wenselijk dat afwijkingen van de ‘hoofdregels’ uit de Kaderwet uitlegbaar en deugdelijk gemotiveerd zijn. Ook acht de Afdeling het wenselijk dat als bepalingen (gedeeltelijk) afwijken van de Kaderwet wordt verwezen naar de betreffende bepaling in de Kaderwet en expliciet wordt aangegeven voor welk deel hiervan wordt afgeweken.</w:t>
                          </w:r>
                          <w:r w:rsidRPr="001B5F50">
                            <w:rPr>
                              <w:vertAlign w:val="superscript"/>
                            </w:rPr>
                            <w:footnoteReference w:id="39"/>
                          </w:r>
                        </w:p>
                        <w:p w:rsidRPr="001B5F50" w:rsidR="00777F2D" w:rsidP="00777F2D" w:rsidRDefault="001B5F50" w14:paraId="4B3B667B" w14:textId="77777777"/>
                        <w:p w:rsidR="007B0CFF" w:rsidRDefault="005A1EE6" w14:paraId="40D7631C" w14:textId="77777777">
                          <w:r w:rsidRPr="001B5F50">
                            <w:t>De Afdeling adviseert het voorstel en de toelichting op deze punten te wijzigen.</w:t>
                          </w:r>
                        </w:p>
                        <w:p w:rsidR="00614A1A" w:rsidP="00777F2D" w:rsidRDefault="001B5F50" w14:paraId="22020EA0" w14:textId="77777777"/>
                        <w:p w:rsidR="007B0CFF" w:rsidRDefault="005A1EE6" w14:paraId="43F7E7B7" w14:textId="77777777">
                          <w:r>
                            <w:t xml:space="preserve">Alles overwegend komt de Afdeling tot de conclusie dat </w:t>
                          </w:r>
                          <w:r w:rsidRPr="00E54F93">
                            <w:t>voor de doelen die de regering beoogt te bereiken</w:t>
                          </w:r>
                          <w:r>
                            <w:t>, geen wet nodig is. Indien er desondanks voor gekozen wordt om het wetsvoorstel in procedure te brengen, dient het</w:t>
                          </w:r>
                          <w:r w:rsidRPr="00B5124A">
                            <w:t xml:space="preserve"> uit </w:t>
                          </w:r>
                          <w:r>
                            <w:t xml:space="preserve">een </w:t>
                          </w:r>
                          <w:r w:rsidRPr="00B5124A">
                            <w:t xml:space="preserve">oogpunt van wetgevingskwaliteit </w:t>
                          </w:r>
                          <w:r>
                            <w:t>te worden aangepast</w:t>
                          </w:r>
                          <w:r w:rsidRPr="00B5124A">
                            <w:t xml:space="preserve">. </w:t>
                          </w:r>
                        </w:p>
                      </w:sdtContent>
                    </w:sdt>
                  </w:sdtContent>
                </w:sdt>
              </w:sdtContent>
            </w:sdt>
          </w:sdtContent>
        </w:sdt>
        <w:p w:rsidR="003A1FC7" w:rsidRDefault="003A1FC7" w14:paraId="18813E49" w14:textId="77777777"/>
        <w:sdt>
          <w:sdtPr>
            <w:alias w:val="Dictum"/>
            <w:tag w:val="Dictum"/>
            <w:id w:val="1621489950"/>
            <w:lock w:val="sdtContentLocked"/>
            <w:placeholder>
              <w:docPart w:val="DefaultPlaceholder_1082065158"/>
            </w:placeholder>
            <w:text w:multiLine="1"/>
          </w:sdtPr>
          <w:sdtEndPr/>
          <w:sdtContent>
            <w:p w:rsidR="00E62108" w:rsidRDefault="005A1EE6" w14:paraId="313F3217" w14:textId="7777777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E62108"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62ACA" w14:textId="77777777" w:rsidR="005A1EE6" w:rsidRDefault="005A1EE6" w:rsidP="005B3E03">
      <w:r>
        <w:separator/>
      </w:r>
    </w:p>
    <w:p w14:paraId="0C547C80" w14:textId="77777777" w:rsidR="005A1EE6" w:rsidRDefault="005A1EE6"/>
  </w:endnote>
  <w:endnote w:type="continuationSeparator" w:id="0">
    <w:p w14:paraId="428467B3" w14:textId="77777777" w:rsidR="005A1EE6" w:rsidRDefault="005A1EE6" w:rsidP="005B3E03">
      <w:r>
        <w:continuationSeparator/>
      </w:r>
    </w:p>
    <w:p w14:paraId="6C8B1D69" w14:textId="77777777" w:rsidR="005A1EE6" w:rsidRDefault="005A1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AF8C"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22D7EFBF" wp14:editId="5115269C">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EA8888"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7EFBF"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14:paraId="4DEA8888"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BD65A" w14:textId="77777777" w:rsidR="005A1EE6" w:rsidRDefault="005A1EE6" w:rsidP="005B3E03">
      <w:r>
        <w:separator/>
      </w:r>
    </w:p>
    <w:p w14:paraId="503AF178" w14:textId="77777777" w:rsidR="005A1EE6" w:rsidRDefault="005A1EE6"/>
  </w:footnote>
  <w:footnote w:type="continuationSeparator" w:id="0">
    <w:p w14:paraId="58DE3C9C" w14:textId="77777777" w:rsidR="005A1EE6" w:rsidRDefault="005A1EE6" w:rsidP="005B3E03">
      <w:r>
        <w:continuationSeparator/>
      </w:r>
    </w:p>
    <w:p w14:paraId="60C80B62" w14:textId="77777777" w:rsidR="005A1EE6" w:rsidRDefault="005A1EE6"/>
  </w:footnote>
  <w:footnote w:id="1">
    <w:p w14:paraId="33771FAA" w14:textId="77777777" w:rsidR="00777F2D" w:rsidRDefault="005A1EE6" w:rsidP="00777F2D">
      <w:pPr>
        <w:pStyle w:val="Voetnoottekst"/>
      </w:pPr>
      <w:r>
        <w:rPr>
          <w:rStyle w:val="Voetnootmarkering"/>
        </w:rPr>
        <w:footnoteRef/>
      </w:r>
      <w:r>
        <w:t xml:space="preserve"> </w:t>
      </w:r>
      <w:r>
        <w:tab/>
      </w:r>
      <w:r w:rsidRPr="00807F5B">
        <w:t>Besluit van de Staatssecretaris van Binnenlandse Zaken en Koninkrijksrelaties van 30 november 2020, nr. 2020-0000688882, houdende instelling van het Adviescollege ICT-toetsing</w:t>
      </w:r>
      <w:r>
        <w:t xml:space="preserve"> </w:t>
      </w:r>
      <w:r w:rsidRPr="00807F5B">
        <w:t>(Instellingsbesluit Adviescollege ICT-toetsing)</w:t>
      </w:r>
      <w:r>
        <w:t>.</w:t>
      </w:r>
    </w:p>
  </w:footnote>
  <w:footnote w:id="2">
    <w:p w14:paraId="7C06934C" w14:textId="77777777" w:rsidR="00777F2D" w:rsidRDefault="005A1EE6" w:rsidP="00777F2D">
      <w:pPr>
        <w:pStyle w:val="Voetnoottekst"/>
      </w:pPr>
      <w:r>
        <w:rPr>
          <w:rStyle w:val="Voetnootmarkering"/>
        </w:rPr>
        <w:footnoteRef/>
      </w:r>
      <w:r>
        <w:t xml:space="preserve"> </w:t>
      </w:r>
      <w:r>
        <w:tab/>
        <w:t>Kamerstukken II 2014/15, 33326, nr. 5.</w:t>
      </w:r>
    </w:p>
  </w:footnote>
  <w:footnote w:id="3">
    <w:p w14:paraId="234DC2F2" w14:textId="77777777" w:rsidR="00777F2D" w:rsidRDefault="005A1EE6" w:rsidP="00777F2D">
      <w:pPr>
        <w:pStyle w:val="Voetnoottekst"/>
      </w:pPr>
      <w:r>
        <w:rPr>
          <w:rStyle w:val="Voetnootmarkering"/>
        </w:rPr>
        <w:footnoteRef/>
      </w:r>
      <w:r>
        <w:t xml:space="preserve"> </w:t>
      </w:r>
      <w:r>
        <w:tab/>
        <w:t>Kamerstukken II 2018/19, 26643, nr. 656.</w:t>
      </w:r>
    </w:p>
  </w:footnote>
  <w:footnote w:id="4">
    <w:p w14:paraId="793C8CF6" w14:textId="77777777" w:rsidR="00777F2D" w:rsidRDefault="005A1EE6" w:rsidP="00777F2D">
      <w:pPr>
        <w:pStyle w:val="Voetnoottekst"/>
      </w:pPr>
      <w:r>
        <w:rPr>
          <w:rStyle w:val="Voetnootmarkering"/>
        </w:rPr>
        <w:footnoteRef/>
      </w:r>
      <w:r>
        <w:t xml:space="preserve"> </w:t>
      </w:r>
      <w:r>
        <w:tab/>
      </w:r>
      <w:proofErr w:type="spellStart"/>
      <w:r w:rsidRPr="00F9160C">
        <w:t>Stcrt</w:t>
      </w:r>
      <w:proofErr w:type="spellEnd"/>
      <w:r w:rsidRPr="00F9160C">
        <w:t>. 2020, 61747</w:t>
      </w:r>
      <w:r>
        <w:t>.</w:t>
      </w:r>
    </w:p>
  </w:footnote>
  <w:footnote w:id="5">
    <w:p w14:paraId="22F8AB69" w14:textId="77777777" w:rsidR="00777F2D" w:rsidRDefault="005A1EE6" w:rsidP="00777F2D">
      <w:pPr>
        <w:pStyle w:val="Voetnoottekst"/>
      </w:pPr>
      <w:r>
        <w:rPr>
          <w:rStyle w:val="Voetnootmarkering"/>
        </w:rPr>
        <w:footnoteRef/>
      </w:r>
      <w:r>
        <w:t xml:space="preserve"> </w:t>
      </w:r>
      <w:r>
        <w:tab/>
        <w:t xml:space="preserve">Voorgesteld artikel 7, eerste lid, sub a. </w:t>
      </w:r>
      <w:r w:rsidRPr="00B5124A">
        <w:t>Een ICT-project is een project of programma, of projecten of programma’s met onderlinge samenhang, waarvan de kosten over de gehele looptijd ten minste €5 miljoen bedragen. Een informatiesysteem is een samenhangend geheel van gegevensverzamelingen, procedures, processen en programmatuur, als ook de voor het informatiesysteem getroffen voorzieningen voor opslag, verwerking en communicatie</w:t>
      </w:r>
      <w:r>
        <w:t>.</w:t>
      </w:r>
    </w:p>
  </w:footnote>
  <w:footnote w:id="6">
    <w:p w14:paraId="38D4A04E" w14:textId="77777777" w:rsidR="00777F2D" w:rsidRDefault="005A1EE6" w:rsidP="00777F2D">
      <w:pPr>
        <w:pStyle w:val="Voetnoottekst"/>
      </w:pPr>
      <w:r>
        <w:rPr>
          <w:rStyle w:val="Voetnootmarkering"/>
        </w:rPr>
        <w:footnoteRef/>
      </w:r>
      <w:r>
        <w:t xml:space="preserve"> </w:t>
      </w:r>
      <w:r>
        <w:tab/>
        <w:t>Voorgesteld artikel 7, eerste lid, sub b. De centrale overheid wordt in het voorstel gedefinieerd als ‘</w:t>
      </w:r>
      <w:r w:rsidRPr="00D34E50">
        <w:t>de ministeries, de krachtens publiekrecht ingestelde zelfstandige bestuursorganen als bedoeld in artikel 4 van de Kaderwet zelfstandige bestuursorganen, de politie en de Raad voor de rechtspraak</w:t>
      </w:r>
      <w:r>
        <w:t>’ (voorgesteld artikel 1). In het Instellingsbesluit werd de taak tot kennisoverdracht en -bevordering al geëxpliciteerd.</w:t>
      </w:r>
    </w:p>
  </w:footnote>
  <w:footnote w:id="7">
    <w:p w14:paraId="50169CE9" w14:textId="77777777" w:rsidR="00777F2D" w:rsidRDefault="005A1EE6" w:rsidP="00777F2D">
      <w:pPr>
        <w:pStyle w:val="Voetnoottekst"/>
      </w:pPr>
      <w:r>
        <w:rPr>
          <w:rStyle w:val="Voetnootmarkering"/>
        </w:rPr>
        <w:footnoteRef/>
      </w:r>
      <w:r>
        <w:t xml:space="preserve"> </w:t>
      </w:r>
      <w:r>
        <w:tab/>
        <w:t>Voorgesteld artikel 7, eerste lid, sub a, onder 1, 2 en 3. Het BIT bracht alleen type 2-adviezen uit. Het Adviescollege heeft sinds 1 januari 2021 ook de taak gekregen te adviseren over type 3 (artikel 2, tweede lid, sub a, onder 2 Instellingsbesluit Adviescollege ICT-toetsing). Het type 1-advies is een nieuwe taak.</w:t>
      </w:r>
    </w:p>
  </w:footnote>
  <w:footnote w:id="8">
    <w:p w14:paraId="61EF6DE7" w14:textId="0018A668" w:rsidR="007F41B2" w:rsidRDefault="007F41B2">
      <w:pPr>
        <w:pStyle w:val="Voetnoottekst"/>
      </w:pPr>
      <w:r>
        <w:rPr>
          <w:rStyle w:val="Voetnootmarkering"/>
        </w:rPr>
        <w:footnoteRef/>
      </w:r>
      <w:r>
        <w:t xml:space="preserve"> </w:t>
      </w:r>
      <w:r>
        <w:tab/>
        <w:t>Voorgesteld artikel 11, vijfde lid.</w:t>
      </w:r>
    </w:p>
  </w:footnote>
  <w:footnote w:id="9">
    <w:p w14:paraId="0D272C90" w14:textId="77777777" w:rsidR="00777F2D" w:rsidRDefault="005A1EE6" w:rsidP="00777F2D">
      <w:pPr>
        <w:pStyle w:val="Voetnoottekst"/>
      </w:pPr>
      <w:r>
        <w:rPr>
          <w:rStyle w:val="Voetnootmarkering"/>
        </w:rPr>
        <w:footnoteRef/>
      </w:r>
      <w:r>
        <w:t xml:space="preserve"> </w:t>
      </w:r>
      <w:r>
        <w:tab/>
        <w:t>Voorgesteld artikel 8, eerst lid.</w:t>
      </w:r>
    </w:p>
  </w:footnote>
  <w:footnote w:id="10">
    <w:p w14:paraId="32E54297" w14:textId="77777777" w:rsidR="00777F2D" w:rsidRDefault="005A1EE6" w:rsidP="00777F2D">
      <w:pPr>
        <w:pStyle w:val="Voetnoottekst"/>
      </w:pPr>
      <w:r>
        <w:rPr>
          <w:rStyle w:val="Voetnootmarkering"/>
        </w:rPr>
        <w:footnoteRef/>
      </w:r>
      <w:r>
        <w:t xml:space="preserve"> </w:t>
      </w:r>
      <w:r>
        <w:tab/>
        <w:t>Voorgesteld artikel 8, tweede lid.</w:t>
      </w:r>
    </w:p>
  </w:footnote>
  <w:footnote w:id="11">
    <w:p w14:paraId="20387020" w14:textId="77777777" w:rsidR="00777F2D" w:rsidRDefault="005A1EE6" w:rsidP="00777F2D">
      <w:pPr>
        <w:pStyle w:val="Voetnoottekst"/>
      </w:pPr>
      <w:r>
        <w:rPr>
          <w:rStyle w:val="Voetnootmarkering"/>
        </w:rPr>
        <w:footnoteRef/>
      </w:r>
      <w:r>
        <w:t xml:space="preserve"> </w:t>
      </w:r>
      <w:r>
        <w:tab/>
        <w:t>Voorgesteld artikel 11, vierde lid. Dit is niet van toepassing op een ICT-project of een informatiesysteem van de Raad voor de rechtspraak.</w:t>
      </w:r>
    </w:p>
  </w:footnote>
  <w:footnote w:id="12">
    <w:p w14:paraId="30324A3A" w14:textId="77777777" w:rsidR="00777F2D" w:rsidRDefault="005A1EE6" w:rsidP="00777F2D">
      <w:pPr>
        <w:pStyle w:val="Voetnoottekst"/>
      </w:pPr>
      <w:r>
        <w:rPr>
          <w:rStyle w:val="Voetnootmarkering"/>
        </w:rPr>
        <w:footnoteRef/>
      </w:r>
      <w:r>
        <w:t xml:space="preserve"> </w:t>
      </w:r>
      <w:r>
        <w:tab/>
        <w:t>Voorgesteld artikel 8, zesde lid.</w:t>
      </w:r>
    </w:p>
  </w:footnote>
  <w:footnote w:id="13">
    <w:p w14:paraId="14565B4E" w14:textId="77777777" w:rsidR="00777F2D" w:rsidRDefault="005A1EE6" w:rsidP="00777F2D">
      <w:pPr>
        <w:pStyle w:val="Voetnoottekst"/>
      </w:pPr>
      <w:r>
        <w:rPr>
          <w:rStyle w:val="Voetnootmarkering"/>
        </w:rPr>
        <w:footnoteRef/>
      </w:r>
      <w:r>
        <w:t xml:space="preserve"> </w:t>
      </w:r>
      <w:r>
        <w:tab/>
        <w:t xml:space="preserve">Het Adviescollege ICT-toetsing valt niet onder de Kaderwet adviescolleges, </w:t>
      </w:r>
      <w:r w:rsidRPr="00094CAA">
        <w:t>omdat de wet ziet op adviescolleges die adviseren over algemeen verbindende voorschriften of te voeren beleid van het Rijk. Wel wordt zoveel mogelijk aangesloten bij de Kaderwet (memorie van toelichting, paragraaf 3).</w:t>
      </w:r>
    </w:p>
  </w:footnote>
  <w:footnote w:id="14">
    <w:p w14:paraId="4FF976B5" w14:textId="77777777" w:rsidR="00777F2D" w:rsidRDefault="005A1EE6" w:rsidP="00777F2D">
      <w:pPr>
        <w:pStyle w:val="Voetnoottekst"/>
      </w:pPr>
      <w:r>
        <w:rPr>
          <w:rStyle w:val="Voetnootmarkering"/>
        </w:rPr>
        <w:footnoteRef/>
      </w:r>
      <w:r>
        <w:t xml:space="preserve"> </w:t>
      </w:r>
      <w:r>
        <w:tab/>
        <w:t>Memorie van toelichting, paragraaf 3.</w:t>
      </w:r>
    </w:p>
  </w:footnote>
  <w:footnote w:id="15">
    <w:p w14:paraId="304BE083" w14:textId="77777777" w:rsidR="00777F2D" w:rsidRDefault="005A1EE6" w:rsidP="00777F2D">
      <w:pPr>
        <w:pStyle w:val="Voetnoottekst"/>
      </w:pPr>
      <w:r>
        <w:rPr>
          <w:rStyle w:val="Voetnootmarkering"/>
        </w:rPr>
        <w:footnoteRef/>
      </w:r>
      <w:r>
        <w:t xml:space="preserve"> </w:t>
      </w:r>
      <w:r>
        <w:tab/>
        <w:t>Memorie van toelichting, paragraaf 5.</w:t>
      </w:r>
    </w:p>
  </w:footnote>
  <w:footnote w:id="16">
    <w:p w14:paraId="69F0C480" w14:textId="77777777" w:rsidR="00777F2D" w:rsidRDefault="005A1EE6" w:rsidP="00777F2D">
      <w:pPr>
        <w:pStyle w:val="Voetnoottekst"/>
      </w:pPr>
      <w:r>
        <w:rPr>
          <w:rStyle w:val="Voetnootmarkering"/>
        </w:rPr>
        <w:footnoteRef/>
      </w:r>
      <w:r>
        <w:t xml:space="preserve"> </w:t>
      </w:r>
      <w:r>
        <w:tab/>
      </w:r>
      <w:r w:rsidRPr="004945EF">
        <w:t>Kamerstukken II 2014/15, 25268, nr. 83</w:t>
      </w:r>
      <w:r>
        <w:t xml:space="preserve">. </w:t>
      </w:r>
      <w:r w:rsidRPr="00853430">
        <w:t xml:space="preserve">Zie </w:t>
      </w:r>
      <w:r>
        <w:t>ook het a</w:t>
      </w:r>
      <w:r w:rsidRPr="00853430">
        <w:t>dvies van de Afdeling Advisering van de Raad van State van 15 juni 2020 over de ministeriële verantwoordelijkheid (W04.20.0135/I), Kamerstukken II 2019/20, 35300, nr. 78 (bijlage), punt 4.3</w:t>
      </w:r>
      <w:r>
        <w:t xml:space="preserve">; en het advies van de Afdeling advisering van </w:t>
      </w:r>
      <w:r w:rsidRPr="001B38B7">
        <w:t>4 mei 2022</w:t>
      </w:r>
      <w:r>
        <w:t xml:space="preserve"> over de Wet bestuursrechtelijke aanpak online </w:t>
      </w:r>
      <w:proofErr w:type="spellStart"/>
      <w:r>
        <w:t>kinderpornografisch</w:t>
      </w:r>
      <w:proofErr w:type="spellEnd"/>
      <w:r>
        <w:t xml:space="preserve"> materiaal (W.16.21.0337).</w:t>
      </w:r>
    </w:p>
  </w:footnote>
  <w:footnote w:id="17">
    <w:p w14:paraId="54AF4435" w14:textId="77777777" w:rsidR="00777F2D" w:rsidRDefault="005A1EE6" w:rsidP="00777F2D">
      <w:pPr>
        <w:pStyle w:val="Voetnoottekst"/>
      </w:pPr>
      <w:r>
        <w:rPr>
          <w:rStyle w:val="Voetnootmarkering"/>
        </w:rPr>
        <w:footnoteRef/>
      </w:r>
      <w:r>
        <w:t xml:space="preserve"> </w:t>
      </w:r>
      <w:r>
        <w:tab/>
        <w:t>AEF</w:t>
      </w:r>
      <w:r w:rsidRPr="00D34E50">
        <w:t>, Evaluatie Bureau ICT-Toetsing (Eindrapport), 2018</w:t>
      </w:r>
      <w:r>
        <w:t xml:space="preserve">, en </w:t>
      </w:r>
      <w:proofErr w:type="spellStart"/>
      <w:r w:rsidRPr="00D34E50">
        <w:t>ABDTopConsult</w:t>
      </w:r>
      <w:proofErr w:type="spellEnd"/>
      <w:r w:rsidRPr="00D34E50">
        <w:t>, IV en overheid: de pubertijd voorbij? Op weg naar volwassenheid, 2019</w:t>
      </w:r>
      <w:r>
        <w:t xml:space="preserve"> (bijlagen bij Kamerstukken II 2019/20, 26643, nr. 656). Zie ook het rapport van </w:t>
      </w:r>
      <w:proofErr w:type="spellStart"/>
      <w:r w:rsidRPr="004810F8">
        <w:t>TwynstraGudde</w:t>
      </w:r>
      <w:proofErr w:type="spellEnd"/>
      <w:r w:rsidRPr="004810F8">
        <w:t>, BIT-beleidsdoorlichting, 20</w:t>
      </w:r>
      <w:r>
        <w:t>19, dat echter niet inhoudelijk ingaat op de positionering.</w:t>
      </w:r>
    </w:p>
  </w:footnote>
  <w:footnote w:id="18">
    <w:p w14:paraId="62D879B2" w14:textId="77777777" w:rsidR="00777F2D" w:rsidRDefault="005A1EE6" w:rsidP="00777F2D">
      <w:pPr>
        <w:pStyle w:val="Voetnoottekst"/>
      </w:pPr>
      <w:r>
        <w:rPr>
          <w:rStyle w:val="Voetnootmarkering"/>
        </w:rPr>
        <w:footnoteRef/>
      </w:r>
      <w:r>
        <w:t xml:space="preserve"> </w:t>
      </w:r>
      <w:r>
        <w:tab/>
      </w:r>
      <w:proofErr w:type="spellStart"/>
      <w:r>
        <w:t>ABDTopConsult</w:t>
      </w:r>
      <w:proofErr w:type="spellEnd"/>
      <w:r>
        <w:t>, IV en overheid: de pubertijd voorbij? Op weg naar volwassenheid, 2019, p. 26.</w:t>
      </w:r>
    </w:p>
  </w:footnote>
  <w:footnote w:id="19">
    <w:p w14:paraId="25C196B4" w14:textId="77777777" w:rsidR="00777F2D" w:rsidRDefault="005A1EE6" w:rsidP="00777F2D">
      <w:pPr>
        <w:pStyle w:val="Voetnoottekst"/>
      </w:pPr>
      <w:r>
        <w:rPr>
          <w:rStyle w:val="Voetnootmarkering"/>
        </w:rPr>
        <w:footnoteRef/>
      </w:r>
      <w:r>
        <w:t xml:space="preserve"> </w:t>
      </w:r>
      <w:r>
        <w:tab/>
      </w:r>
      <w:r w:rsidRPr="008B64BF">
        <w:t>AEF, Evaluatie Bureau ICT-Toetsing (Eindrapport), 2018</w:t>
      </w:r>
      <w:r>
        <w:t>, hoofdstuk 5.2.</w:t>
      </w:r>
    </w:p>
  </w:footnote>
  <w:footnote w:id="20">
    <w:p w14:paraId="0EBF4698" w14:textId="77777777" w:rsidR="00777F2D" w:rsidRDefault="005A1EE6" w:rsidP="00777F2D">
      <w:pPr>
        <w:pStyle w:val="Voetnoottekst"/>
      </w:pPr>
      <w:r>
        <w:rPr>
          <w:rStyle w:val="Voetnootmarkering"/>
        </w:rPr>
        <w:footnoteRef/>
      </w:r>
      <w:r>
        <w:t xml:space="preserve"> </w:t>
      </w:r>
      <w:r>
        <w:tab/>
        <w:t xml:space="preserve">AEF, </w:t>
      </w:r>
      <w:r w:rsidRPr="004810F8">
        <w:t>Evaluatie Bureau ICT-Toetsing (Eindrapport), 2018, hoofdstuk</w:t>
      </w:r>
      <w:r>
        <w:t xml:space="preserve"> 5.2.1. </w:t>
      </w:r>
    </w:p>
  </w:footnote>
  <w:footnote w:id="21">
    <w:p w14:paraId="5B03E878" w14:textId="77777777" w:rsidR="00BD53A6" w:rsidRDefault="005A1EE6">
      <w:pPr>
        <w:pStyle w:val="Voetnoottekst"/>
      </w:pPr>
      <w:r>
        <w:rPr>
          <w:rStyle w:val="Voetnootmarkering"/>
        </w:rPr>
        <w:footnoteRef/>
      </w:r>
      <w:r>
        <w:t xml:space="preserve"> </w:t>
      </w:r>
      <w:r>
        <w:tab/>
      </w:r>
      <w:r w:rsidRPr="00BD53A6">
        <w:t xml:space="preserve">AEF, Evaluatie Bureau ICT-Toetsing (Eindrapport), 2018, hoofdstuk 5.1, en </w:t>
      </w:r>
      <w:proofErr w:type="spellStart"/>
      <w:r w:rsidRPr="00BD53A6">
        <w:t>ABDTopConsult</w:t>
      </w:r>
      <w:proofErr w:type="spellEnd"/>
      <w:r w:rsidRPr="00BD53A6">
        <w:t>, IV en overheid: de pubertijd voorbij? Op weg naar volwassenheid, 2019, p. 24.</w:t>
      </w:r>
    </w:p>
  </w:footnote>
  <w:footnote w:id="22">
    <w:p w14:paraId="3FFA26B9" w14:textId="77777777" w:rsidR="00777F2D" w:rsidRDefault="005A1EE6" w:rsidP="00777F2D">
      <w:pPr>
        <w:pStyle w:val="Voetnoottekst"/>
      </w:pPr>
      <w:r>
        <w:rPr>
          <w:rStyle w:val="Voetnootmarkering"/>
        </w:rPr>
        <w:footnoteRef/>
      </w:r>
      <w:r>
        <w:t xml:space="preserve"> </w:t>
      </w:r>
      <w:r>
        <w:tab/>
        <w:t xml:space="preserve">Zie in het bijzonder Kamerstukken II 2018/19, 26643, nr. 619 (verslag van een algemeen overleg). </w:t>
      </w:r>
    </w:p>
  </w:footnote>
  <w:footnote w:id="23">
    <w:p w14:paraId="7AAC6CF5" w14:textId="77777777" w:rsidR="00777F2D" w:rsidRDefault="005A1EE6" w:rsidP="00777F2D">
      <w:pPr>
        <w:pStyle w:val="Voetnoottekst"/>
      </w:pPr>
      <w:r>
        <w:rPr>
          <w:rStyle w:val="Voetnootmarkering"/>
        </w:rPr>
        <w:footnoteRef/>
      </w:r>
      <w:r>
        <w:t xml:space="preserve"> </w:t>
      </w:r>
      <w:r>
        <w:tab/>
      </w:r>
      <w:r w:rsidRPr="00DF63D8">
        <w:t>Kamerstukken II 2019/20, 26643, nr. 656, p. 6-7.</w:t>
      </w:r>
      <w:r>
        <w:t xml:space="preserve"> </w:t>
      </w:r>
      <w:r w:rsidRPr="007F6A75">
        <w:t>De criteria die de minister heeft gehanteerd zijn blijkens de Kamerbrief van 20 september 2019 (i) onafhankelijkheid van het BIT, (ii) samenhang met andere i-sturingsmaatregelen, (iii) aansturing van het BIT, (iv) toegang BIT-Tweede Kamer, (v) juridische grondslag, en (vi) doelmatigheid (Kamerstukken II 2019/20, 26643, nr. 635).</w:t>
      </w:r>
      <w:r>
        <w:t xml:space="preserve"> Zie ook Kamerstukken II 2020/21, 26643, nr. 716.</w:t>
      </w:r>
    </w:p>
  </w:footnote>
  <w:footnote w:id="24">
    <w:p w14:paraId="43DCE678" w14:textId="77777777" w:rsidR="00777F2D" w:rsidRDefault="005A1EE6" w:rsidP="00777F2D">
      <w:pPr>
        <w:pStyle w:val="Voetnoottekst"/>
      </w:pPr>
      <w:r>
        <w:rPr>
          <w:rStyle w:val="Voetnootmarkering"/>
        </w:rPr>
        <w:footnoteRef/>
      </w:r>
      <w:r>
        <w:t xml:space="preserve"> </w:t>
      </w:r>
      <w:r>
        <w:tab/>
      </w:r>
      <w:r w:rsidRPr="00DF63D8">
        <w:t>AEF, Evaluatie Bureau ICT-Toetsing (Eindrapport), 2018</w:t>
      </w:r>
      <w:r>
        <w:t>;</w:t>
      </w:r>
      <w:r w:rsidRPr="00DF63D8">
        <w:t xml:space="preserve"> </w:t>
      </w:r>
      <w:proofErr w:type="spellStart"/>
      <w:r w:rsidRPr="00DF63D8">
        <w:t>ABDTopConsult</w:t>
      </w:r>
      <w:proofErr w:type="spellEnd"/>
      <w:r w:rsidRPr="00DF63D8">
        <w:t>, IV en overheid: de pubertijd voorbij? Op weg naar volwassenheid, 2019</w:t>
      </w:r>
      <w:r>
        <w:t xml:space="preserve">; </w:t>
      </w:r>
      <w:proofErr w:type="spellStart"/>
      <w:r>
        <w:t>TwynstraGudde</w:t>
      </w:r>
      <w:proofErr w:type="spellEnd"/>
      <w:r>
        <w:t>, BIT-beleidsdoorlichting, 2019</w:t>
      </w:r>
      <w:r w:rsidRPr="00DF63D8">
        <w:t xml:space="preserve"> (bijlagen bij Kamerstukken II 2019/20, 26643, nr. 656).</w:t>
      </w:r>
    </w:p>
  </w:footnote>
  <w:footnote w:id="25">
    <w:p w14:paraId="0C825FFD" w14:textId="77777777" w:rsidR="00777F2D" w:rsidRDefault="005A1EE6" w:rsidP="00777F2D">
      <w:pPr>
        <w:pStyle w:val="Voetnoottekst"/>
      </w:pPr>
      <w:r>
        <w:rPr>
          <w:rStyle w:val="Voetnootmarkering"/>
        </w:rPr>
        <w:footnoteRef/>
      </w:r>
      <w:r>
        <w:t xml:space="preserve"> </w:t>
      </w:r>
      <w:r>
        <w:tab/>
      </w:r>
      <w:r w:rsidRPr="007F6A75">
        <w:t>De Afdeling heeft eerder gepleit voor herijking van deze ambtelijke waarden (zie advies van de Afdeling Advisering van de Raad van State van 15 juni 2020 over de ministeriële verantwoordelijkheid (W04.20.0135/I), Kamerstukken II 2019/20, 35300, nr. 78 (bijlage), punt 4.6)</w:t>
      </w:r>
      <w:r>
        <w:t>.</w:t>
      </w:r>
    </w:p>
  </w:footnote>
  <w:footnote w:id="26">
    <w:p w14:paraId="00A930F3" w14:textId="77777777" w:rsidR="00777F2D" w:rsidRDefault="005A1EE6" w:rsidP="00777F2D">
      <w:pPr>
        <w:pStyle w:val="Voetnoottekst"/>
      </w:pPr>
      <w:r>
        <w:rPr>
          <w:rStyle w:val="Voetnootmarkering"/>
        </w:rPr>
        <w:footnoteRef/>
      </w:r>
      <w:r>
        <w:t xml:space="preserve"> </w:t>
      </w:r>
      <w:r>
        <w:tab/>
        <w:t>Zo worden er in de rapporten verschillende opties genoemd voor positionering binnen het ministerie van BZK. Zie met betrekking tot de procedurele vereisten AEF, Evaluatie Bureau ICT-Toetsing (Eindrapport) 2018, hoofdstuk 5.1 en aanbeveling 7 om de richtlijnen aan te scherpen die de onafhankelijkheid van de medewerkers waarborgden (bijlage 2, p. 2 bij Kamerstukken II 2019/20, 26643, nr. 656). Het BIT en de Toezichtraad hadden deze aanbeveling ook opgevolgd. Zie met betrekking tot de open organisatiecultuur en veilig werkklimaat het advies van de Afdeling advisering van 17 maart 2021 over de wijziging van de Wet Huis voor klokkenluiders (</w:t>
      </w:r>
      <w:r w:rsidRPr="00A621CD">
        <w:t>W04.20.0486/I</w:t>
      </w:r>
      <w:r>
        <w:t xml:space="preserve">), </w:t>
      </w:r>
      <w:r w:rsidRPr="00A621CD">
        <w:t>Kamerstukken II 2020/21, 35851, nr. 4</w:t>
      </w:r>
      <w:r>
        <w:t>, punt 2.</w:t>
      </w:r>
    </w:p>
  </w:footnote>
  <w:footnote w:id="27">
    <w:p w14:paraId="75C78B0D" w14:textId="77777777" w:rsidR="00777F2D" w:rsidRDefault="005A1EE6">
      <w:pPr>
        <w:pStyle w:val="Voetnoottekst"/>
      </w:pPr>
      <w:r>
        <w:rPr>
          <w:rStyle w:val="Voetnootmarkering"/>
        </w:rPr>
        <w:footnoteRef/>
      </w:r>
      <w:r>
        <w:t xml:space="preserve"> </w:t>
      </w:r>
      <w:r>
        <w:tab/>
        <w:t xml:space="preserve">Verantwoordelijkheden zoals neergelegd met de wijziging van het Coördinatiebesluit organisatie en bedrijfsvoering rijksdienst 2011, Stb. 2018, 354, en het Besluit CIO-stelsel Rijksdienst 2021, </w:t>
      </w:r>
      <w:proofErr w:type="spellStart"/>
      <w:r>
        <w:t>Stcrt</w:t>
      </w:r>
      <w:proofErr w:type="spellEnd"/>
      <w:r>
        <w:t>. 2020, 62488.</w:t>
      </w:r>
    </w:p>
  </w:footnote>
  <w:footnote w:id="28">
    <w:p w14:paraId="032E7B72" w14:textId="77777777" w:rsidR="00777F2D" w:rsidRDefault="005A1EE6" w:rsidP="00777F2D">
      <w:pPr>
        <w:pStyle w:val="Voetnoottekst"/>
      </w:pPr>
      <w:r>
        <w:rPr>
          <w:rStyle w:val="Voetnootmarkering"/>
        </w:rPr>
        <w:footnoteRef/>
      </w:r>
      <w:r>
        <w:t xml:space="preserve"> </w:t>
      </w:r>
      <w:r>
        <w:tab/>
        <w:t>De toelichting noemt hier dat het type 1 ook betrekking heeft op de eenheid, kwaliteit en efficiëntie tussen de verschillende informatiesystemen en hoe de voorgenomen ICT-investering in zowel het interdepartementale ICT-landschap als dat van het betreffende ministerie zelf past. Daarbij kan het ook gaan over het interne ICT-beleid van de centrale overheid zelf (memorie van toelichting, paragraaf 5).</w:t>
      </w:r>
    </w:p>
  </w:footnote>
  <w:footnote w:id="29">
    <w:p w14:paraId="29427DE3" w14:textId="5C1634CB" w:rsidR="00777F2D" w:rsidRDefault="005A1EE6" w:rsidP="00777F2D">
      <w:pPr>
        <w:pStyle w:val="Voetnoottekst"/>
      </w:pPr>
      <w:r>
        <w:rPr>
          <w:rStyle w:val="Voetnootmarkering"/>
        </w:rPr>
        <w:footnoteRef/>
      </w:r>
      <w:r>
        <w:t xml:space="preserve"> </w:t>
      </w:r>
      <w:r>
        <w:tab/>
        <w:t>V</w:t>
      </w:r>
      <w:r w:rsidR="007F41B2">
        <w:t>er</w:t>
      </w:r>
      <w:r>
        <w:t>g</w:t>
      </w:r>
      <w:r w:rsidR="007F41B2">
        <w:t>elijk</w:t>
      </w:r>
      <w:r>
        <w:t xml:space="preserve"> ook de memorie van toelichting, paragraaf 5, en de nota van toelichting bij het </w:t>
      </w:r>
      <w:r w:rsidRPr="00C42C71">
        <w:t xml:space="preserve">Besluit CIO-stelsel Rijksdienst 2021, </w:t>
      </w:r>
      <w:proofErr w:type="spellStart"/>
      <w:r w:rsidRPr="00C42C71">
        <w:t>Stcrt</w:t>
      </w:r>
      <w:proofErr w:type="spellEnd"/>
      <w:r w:rsidRPr="00C42C71">
        <w:t>. 2020, 62488</w:t>
      </w:r>
      <w:r>
        <w:t>.</w:t>
      </w:r>
    </w:p>
  </w:footnote>
  <w:footnote w:id="30">
    <w:p w14:paraId="76E42D27" w14:textId="77777777" w:rsidR="00777F2D" w:rsidRDefault="005A1EE6" w:rsidP="00777F2D">
      <w:pPr>
        <w:pStyle w:val="Voetnoottekst"/>
      </w:pPr>
      <w:r>
        <w:rPr>
          <w:rStyle w:val="Voetnootmarkering"/>
        </w:rPr>
        <w:footnoteRef/>
      </w:r>
      <w:r>
        <w:t xml:space="preserve"> </w:t>
      </w:r>
      <w:r>
        <w:tab/>
        <w:t>Zie in deze zin ook Kamerstukken II 2019/20, 26643, nr. 707 (verslag van een algemeen overleg).</w:t>
      </w:r>
    </w:p>
  </w:footnote>
  <w:footnote w:id="31">
    <w:p w14:paraId="71A461C5" w14:textId="0F53AE00" w:rsidR="007F41B2" w:rsidRDefault="007F41B2">
      <w:pPr>
        <w:pStyle w:val="Voetnoottekst"/>
      </w:pPr>
      <w:r>
        <w:rPr>
          <w:rStyle w:val="Voetnootmarkering"/>
        </w:rPr>
        <w:footnoteRef/>
      </w:r>
      <w:r>
        <w:t xml:space="preserve"> </w:t>
      </w:r>
      <w:r>
        <w:tab/>
        <w:t>Memorie van toelichting, paragraaf 4; zie ook de nota van toelichting bij het Besluit CIO-stelsel Rijksdienst</w:t>
      </w:r>
    </w:p>
  </w:footnote>
  <w:footnote w:id="32">
    <w:p w14:paraId="1E5B3B93" w14:textId="77777777" w:rsidR="00777F2D" w:rsidRPr="00D42284" w:rsidRDefault="005A1EE6" w:rsidP="00777F2D">
      <w:pPr>
        <w:pStyle w:val="Voetnoottekst"/>
      </w:pPr>
      <w:r w:rsidRPr="00D42284">
        <w:rPr>
          <w:rStyle w:val="Voetnootmarkering"/>
        </w:rPr>
        <w:footnoteRef/>
      </w:r>
      <w:r w:rsidRPr="00D42284">
        <w:t xml:space="preserve"> </w:t>
      </w:r>
      <w:r>
        <w:tab/>
      </w:r>
      <w:r w:rsidRPr="00D42284">
        <w:t>Zie artikel 7</w:t>
      </w:r>
      <w:r>
        <w:t>, derde</w:t>
      </w:r>
      <w:r w:rsidRPr="00D42284">
        <w:t xml:space="preserve"> lid</w:t>
      </w:r>
      <w:r>
        <w:t xml:space="preserve"> </w:t>
      </w:r>
      <w:r w:rsidRPr="00D42284">
        <w:t>(enkel voor wat betreft de overlegverplichting), artikel 7</w:t>
      </w:r>
      <w:r>
        <w:t>, vijfde</w:t>
      </w:r>
      <w:r w:rsidRPr="00D42284">
        <w:t xml:space="preserve"> lid en artikel 8</w:t>
      </w:r>
      <w:r>
        <w:t>, eerste</w:t>
      </w:r>
      <w:r w:rsidRPr="00D42284">
        <w:t xml:space="preserve"> lid.</w:t>
      </w:r>
    </w:p>
  </w:footnote>
  <w:footnote w:id="33">
    <w:p w14:paraId="2D0935CB" w14:textId="77777777" w:rsidR="00777F2D" w:rsidRPr="00E63FD5" w:rsidRDefault="005A1EE6" w:rsidP="00777F2D">
      <w:pPr>
        <w:rPr>
          <w:sz w:val="18"/>
          <w:szCs w:val="18"/>
        </w:rPr>
      </w:pPr>
      <w:r w:rsidRPr="00E63FD5">
        <w:rPr>
          <w:rStyle w:val="Voetnootmarkering"/>
          <w:sz w:val="18"/>
          <w:szCs w:val="18"/>
        </w:rPr>
        <w:footnoteRef/>
      </w:r>
      <w:r w:rsidRPr="00E63FD5">
        <w:rPr>
          <w:sz w:val="18"/>
          <w:szCs w:val="18"/>
        </w:rPr>
        <w:t xml:space="preserve"> </w:t>
      </w:r>
      <w:r>
        <w:rPr>
          <w:sz w:val="18"/>
          <w:szCs w:val="18"/>
        </w:rPr>
        <w:t xml:space="preserve"> </w:t>
      </w:r>
      <w:r w:rsidRPr="00E63FD5">
        <w:rPr>
          <w:sz w:val="18"/>
          <w:szCs w:val="18"/>
        </w:rPr>
        <w:t>Zie artikel 8</w:t>
      </w:r>
      <w:r>
        <w:rPr>
          <w:sz w:val="18"/>
          <w:szCs w:val="18"/>
        </w:rPr>
        <w:t>, vierde</w:t>
      </w:r>
      <w:r w:rsidRPr="00E63FD5">
        <w:rPr>
          <w:sz w:val="18"/>
          <w:szCs w:val="18"/>
        </w:rPr>
        <w:t xml:space="preserve"> lid, artikel 8</w:t>
      </w:r>
      <w:r>
        <w:rPr>
          <w:sz w:val="18"/>
          <w:szCs w:val="18"/>
        </w:rPr>
        <w:t>, vijfde</w:t>
      </w:r>
      <w:r w:rsidRPr="00E63FD5">
        <w:rPr>
          <w:sz w:val="18"/>
          <w:szCs w:val="18"/>
        </w:rPr>
        <w:t xml:space="preserve"> lid</w:t>
      </w:r>
      <w:r>
        <w:rPr>
          <w:sz w:val="18"/>
          <w:szCs w:val="18"/>
        </w:rPr>
        <w:t>,</w:t>
      </w:r>
      <w:r w:rsidRPr="00E63FD5">
        <w:rPr>
          <w:sz w:val="18"/>
          <w:szCs w:val="18"/>
        </w:rPr>
        <w:t xml:space="preserve"> en artikel 11</w:t>
      </w:r>
      <w:r>
        <w:rPr>
          <w:sz w:val="18"/>
          <w:szCs w:val="18"/>
        </w:rPr>
        <w:t>, zesde</w:t>
      </w:r>
      <w:r w:rsidRPr="00E63FD5">
        <w:rPr>
          <w:sz w:val="18"/>
          <w:szCs w:val="18"/>
        </w:rPr>
        <w:t xml:space="preserve"> lid.</w:t>
      </w:r>
    </w:p>
  </w:footnote>
  <w:footnote w:id="34">
    <w:p w14:paraId="556179D9" w14:textId="77777777" w:rsidR="00777F2D" w:rsidRPr="00D42284" w:rsidRDefault="005A1EE6" w:rsidP="00777F2D">
      <w:pPr>
        <w:pStyle w:val="Voetnoottekst"/>
      </w:pPr>
      <w:r w:rsidRPr="00D42284">
        <w:rPr>
          <w:rStyle w:val="Voetnootmarkering"/>
        </w:rPr>
        <w:footnoteRef/>
      </w:r>
      <w:r w:rsidRPr="00D42284">
        <w:t xml:space="preserve"> </w:t>
      </w:r>
      <w:r>
        <w:tab/>
      </w:r>
      <w:r w:rsidRPr="00D42284">
        <w:t>Zie artikel 8</w:t>
      </w:r>
      <w:r>
        <w:t>, tweede</w:t>
      </w:r>
      <w:r w:rsidRPr="00D42284">
        <w:t xml:space="preserve"> lid.</w:t>
      </w:r>
    </w:p>
  </w:footnote>
  <w:footnote w:id="35">
    <w:p w14:paraId="178C5027" w14:textId="77777777" w:rsidR="00777F2D" w:rsidRDefault="005A1EE6" w:rsidP="00777F2D">
      <w:pPr>
        <w:pStyle w:val="Voetnoottekst"/>
      </w:pPr>
      <w:r>
        <w:rPr>
          <w:rStyle w:val="Voetnootmarkering"/>
        </w:rPr>
        <w:footnoteRef/>
      </w:r>
      <w:r>
        <w:t xml:space="preserve"> </w:t>
      </w:r>
      <w:r>
        <w:tab/>
        <w:t>Zie aanwijzing 2.6 van de Aanwijzingen voor de regelgeving.</w:t>
      </w:r>
    </w:p>
  </w:footnote>
  <w:footnote w:id="36">
    <w:p w14:paraId="7CEBA53B" w14:textId="77777777" w:rsidR="00777F2D" w:rsidRPr="00E63FD5" w:rsidRDefault="005A1EE6" w:rsidP="00777F2D">
      <w:pPr>
        <w:pStyle w:val="Voetnoottekst"/>
      </w:pPr>
      <w:r w:rsidRPr="00D42284">
        <w:rPr>
          <w:rStyle w:val="Voetnootmarkering"/>
        </w:rPr>
        <w:footnoteRef/>
      </w:r>
      <w:r w:rsidRPr="00D42284">
        <w:t xml:space="preserve"> </w:t>
      </w:r>
      <w:r>
        <w:tab/>
      </w:r>
      <w:r w:rsidRPr="00E63FD5">
        <w:t>Kamerstukken II 1995/96, 24503, nr. 3, p.</w:t>
      </w:r>
      <w:r>
        <w:t xml:space="preserve"> </w:t>
      </w:r>
      <w:r w:rsidRPr="00E63FD5">
        <w:t>3.</w:t>
      </w:r>
    </w:p>
  </w:footnote>
  <w:footnote w:id="37">
    <w:p w14:paraId="772ECA0E" w14:textId="77777777" w:rsidR="00777F2D" w:rsidRPr="001B5F50" w:rsidRDefault="005A1EE6" w:rsidP="00777F2D">
      <w:pPr>
        <w:pStyle w:val="Voetnoottekst"/>
        <w:rPr>
          <w:szCs w:val="18"/>
        </w:rPr>
      </w:pPr>
      <w:r>
        <w:rPr>
          <w:rStyle w:val="Voetnootmarkering"/>
        </w:rPr>
        <w:footnoteRef/>
      </w:r>
      <w:r>
        <w:t xml:space="preserve"> </w:t>
      </w:r>
      <w:r>
        <w:tab/>
      </w:r>
      <w:r w:rsidRPr="00E63FD5">
        <w:rPr>
          <w:szCs w:val="18"/>
        </w:rPr>
        <w:t>Zie voorgesteld artikel 2</w:t>
      </w:r>
      <w:r>
        <w:rPr>
          <w:szCs w:val="18"/>
        </w:rPr>
        <w:t>, vijfde</w:t>
      </w:r>
      <w:r w:rsidRPr="00E63FD5">
        <w:rPr>
          <w:szCs w:val="18"/>
        </w:rPr>
        <w:t xml:space="preserve"> lid</w:t>
      </w:r>
      <w:r>
        <w:rPr>
          <w:szCs w:val="18"/>
        </w:rPr>
        <w:t>,</w:t>
      </w:r>
      <w:r w:rsidRPr="00E63FD5">
        <w:rPr>
          <w:szCs w:val="18"/>
        </w:rPr>
        <w:t xml:space="preserve"> en artikel 11</w:t>
      </w:r>
      <w:r>
        <w:rPr>
          <w:szCs w:val="18"/>
        </w:rPr>
        <w:t>, derde</w:t>
      </w:r>
      <w:r w:rsidRPr="00E63FD5">
        <w:rPr>
          <w:szCs w:val="18"/>
        </w:rPr>
        <w:t xml:space="preserve"> lid</w:t>
      </w:r>
      <w:r>
        <w:rPr>
          <w:szCs w:val="18"/>
        </w:rPr>
        <w:t>,</w:t>
      </w:r>
      <w:r w:rsidRPr="00E63FD5">
        <w:rPr>
          <w:szCs w:val="18"/>
        </w:rPr>
        <w:t xml:space="preserve"> van de Kaderwet adviescolleges; voorgesteld </w:t>
      </w:r>
      <w:r w:rsidRPr="001B5F50">
        <w:rPr>
          <w:szCs w:val="18"/>
        </w:rPr>
        <w:t>artikel 2, zesde lid, en artikel 12, eerste lid, van de Kaderwet adviescolleges; voorgesteld artikel 2, zevende lid, en artikel 12, derde lid, van de Kaderwet adviescolleges; en voorgesteld artikel 13 en artikel 30 van de Kaderwet adviescolleges.</w:t>
      </w:r>
    </w:p>
  </w:footnote>
  <w:footnote w:id="38">
    <w:p w14:paraId="590A8494" w14:textId="77777777" w:rsidR="00777F2D" w:rsidRPr="001B5F50" w:rsidRDefault="005A1EE6" w:rsidP="00777F2D">
      <w:pPr>
        <w:pStyle w:val="Voetnoottekst"/>
      </w:pPr>
      <w:r w:rsidRPr="001B5F50">
        <w:rPr>
          <w:rStyle w:val="Voetnootmarkering"/>
        </w:rPr>
        <w:footnoteRef/>
      </w:r>
      <w:r w:rsidRPr="001B5F50">
        <w:t xml:space="preserve"> </w:t>
      </w:r>
      <w:r w:rsidRPr="001B5F50">
        <w:tab/>
        <w:t>Zie voorgesteld artikel 2, vierde lid (‘herbenoeming kan eenmaal</w:t>
      </w:r>
      <w:r w:rsidRPr="001B5F50">
        <w:rPr>
          <w:b/>
          <w:bCs/>
        </w:rPr>
        <w:t xml:space="preserve"> </w:t>
      </w:r>
      <w:r w:rsidRPr="001B5F50">
        <w:t>voor ten hoogste vier jaar’), en artikel 11, tweede lid (‘herbenoeming kan tweemaal en telkens voor ten hoogste vier jaar’), van de Kaderwet adviescolleges; voorgesteld artikel 3 (‘in overeenstemming met het gevoelen van de ministerraad’) en artikel 13 (‘bij koninklijk besluit’) van de Kaderwet adviescolleges; voorgesteld artikel 5 (‘voor de uitvoering of voorbereiding van bepaalde adviezen’) en artikel 16 (ter voorbereiding van een of meer adviezen) van de Kaderwet adviescolleges; en voorgesteld artikel 6, derde lid (‘met dien verstande dat voor Onze Minister wordt gelezen: Onze Minister van Binnenlandse Zaken en Koninkrijksrelaties.’) en artikel 15, vijfde lid (‘Onze Minister’) jo. artikel 1 (‘Onze Minister: Onze Minister wie het aangaat’) van de Kaderwet adviescolleges.</w:t>
      </w:r>
    </w:p>
  </w:footnote>
  <w:footnote w:id="39">
    <w:p w14:paraId="038D0799" w14:textId="77777777" w:rsidR="00777F2D" w:rsidRPr="00D42284" w:rsidRDefault="005A1EE6" w:rsidP="00777F2D">
      <w:pPr>
        <w:pStyle w:val="Voetnoottekst"/>
      </w:pPr>
      <w:r w:rsidRPr="001B5F50">
        <w:rPr>
          <w:rStyle w:val="Voetnootmarkering"/>
        </w:rPr>
        <w:footnoteRef/>
      </w:r>
      <w:r w:rsidRPr="001B5F50">
        <w:t xml:space="preserve"> </w:t>
      </w:r>
      <w:r w:rsidRPr="001B5F50">
        <w:tab/>
        <w:t>Zie ter illustratie voorgesteld artikel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4572" w14:textId="09C2CF02"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A554A">
      <w:rPr>
        <w:rStyle w:val="Paginanummer"/>
        <w:noProof/>
      </w:rPr>
      <w:t>4</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F0319"/>
    <w:multiLevelType w:val="hybridMultilevel"/>
    <w:tmpl w:val="2714B710"/>
    <w:lvl w:ilvl="0" w:tplc="59A0CEAC">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7D044A"/>
    <w:multiLevelType w:val="hybridMultilevel"/>
    <w:tmpl w:val="DCE2513C"/>
    <w:lvl w:ilvl="0" w:tplc="0CF6834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CBF1E43"/>
    <w:multiLevelType w:val="hybridMultilevel"/>
    <w:tmpl w:val="C0725724"/>
    <w:lvl w:ilvl="0" w:tplc="0966F32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E0752B3"/>
    <w:multiLevelType w:val="hybridMultilevel"/>
    <w:tmpl w:val="EC4E01C6"/>
    <w:lvl w:ilvl="0" w:tplc="67A47816">
      <w:start w:val="1"/>
      <w:numFmt w:val="decimal"/>
      <w:lvlText w:val="%1"/>
      <w:lvlJc w:val="left"/>
      <w:pPr>
        <w:ind w:left="720" w:hanging="360"/>
      </w:pPr>
      <w:rPr>
        <w:rFonts w:ascii="Univers" w:eastAsia="Times New Roman" w:hAnsi="Univers"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0C74A68"/>
    <w:multiLevelType w:val="hybridMultilevel"/>
    <w:tmpl w:val="BDA28804"/>
    <w:lvl w:ilvl="0" w:tplc="98CEC3BC">
      <w:start w:val="2"/>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8DC6CA9"/>
    <w:multiLevelType w:val="hybridMultilevel"/>
    <w:tmpl w:val="9CE81CE6"/>
    <w:lvl w:ilvl="0" w:tplc="48007C6C">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D8E33EF"/>
    <w:multiLevelType w:val="hybridMultilevel"/>
    <w:tmpl w:val="E1368908"/>
    <w:lvl w:ilvl="0" w:tplc="C8AAB09C">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F6515F6"/>
    <w:multiLevelType w:val="hybridMultilevel"/>
    <w:tmpl w:val="6CFA1B02"/>
    <w:lvl w:ilvl="0" w:tplc="DDFCC14E">
      <w:start w:val="2"/>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7"/>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B5F50"/>
    <w:rsid w:val="002656A3"/>
    <w:rsid w:val="0027703A"/>
    <w:rsid w:val="002A16F1"/>
    <w:rsid w:val="002C6867"/>
    <w:rsid w:val="002D0875"/>
    <w:rsid w:val="00303CA7"/>
    <w:rsid w:val="00322CB5"/>
    <w:rsid w:val="003A1FC7"/>
    <w:rsid w:val="004421C1"/>
    <w:rsid w:val="004C120D"/>
    <w:rsid w:val="00503044"/>
    <w:rsid w:val="005A1EE6"/>
    <w:rsid w:val="006D3E6B"/>
    <w:rsid w:val="0071031E"/>
    <w:rsid w:val="00724C4B"/>
    <w:rsid w:val="00743D19"/>
    <w:rsid w:val="007F41B2"/>
    <w:rsid w:val="00831756"/>
    <w:rsid w:val="00915A4B"/>
    <w:rsid w:val="009A554A"/>
    <w:rsid w:val="009C77A7"/>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62108"/>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A2036E"/>
  <w15:docId w15:val="{C36EDC55-112C-497D-BE14-9223EDE7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7717EC"/>
    <w:rPr>
      <w:vertAlign w:val="superscript"/>
    </w:rPr>
  </w:style>
  <w:style w:type="character" w:styleId="Verwijzingopmerking">
    <w:name w:val="annotation reference"/>
    <w:basedOn w:val="Standaardalinea-lettertype"/>
    <w:uiPriority w:val="99"/>
    <w:semiHidden/>
    <w:unhideWhenUsed/>
    <w:rsid w:val="007717EC"/>
    <w:rPr>
      <w:sz w:val="16"/>
      <w:szCs w:val="16"/>
    </w:rPr>
  </w:style>
  <w:style w:type="paragraph" w:styleId="Tekstopmerking">
    <w:name w:val="annotation text"/>
    <w:basedOn w:val="Standaard"/>
    <w:link w:val="TekstopmerkingChar"/>
    <w:uiPriority w:val="99"/>
    <w:semiHidden/>
    <w:unhideWhenUsed/>
    <w:rsid w:val="007717EC"/>
    <w:rPr>
      <w:sz w:val="20"/>
      <w:szCs w:val="20"/>
    </w:rPr>
  </w:style>
  <w:style w:type="character" w:customStyle="1" w:styleId="TekstopmerkingChar">
    <w:name w:val="Tekst opmerking Char"/>
    <w:basedOn w:val="Standaardalinea-lettertype"/>
    <w:link w:val="Tekstopmerking"/>
    <w:uiPriority w:val="99"/>
    <w:semiHidden/>
    <w:rsid w:val="007717EC"/>
    <w:rPr>
      <w:rFonts w:ascii="Univers" w:hAnsi="Univers"/>
    </w:rPr>
  </w:style>
  <w:style w:type="paragraph" w:styleId="Onderwerpvanopmerking">
    <w:name w:val="annotation subject"/>
    <w:basedOn w:val="Tekstopmerking"/>
    <w:next w:val="Tekstopmerking"/>
    <w:link w:val="OnderwerpvanopmerkingChar"/>
    <w:semiHidden/>
    <w:unhideWhenUsed/>
    <w:rsid w:val="007717EC"/>
    <w:rPr>
      <w:b/>
      <w:bCs/>
    </w:rPr>
  </w:style>
  <w:style w:type="character" w:customStyle="1" w:styleId="OnderwerpvanopmerkingChar">
    <w:name w:val="Onderwerp van opmerking Char"/>
    <w:basedOn w:val="TekstopmerkingChar"/>
    <w:link w:val="Onderwerpvanopmerking"/>
    <w:semiHidden/>
    <w:rsid w:val="007717EC"/>
    <w:rPr>
      <w:rFonts w:ascii="Univers" w:hAnsi="Univers"/>
      <w:b/>
      <w:bCs/>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uiPriority w:val="99"/>
    <w:unhideWhenUsed/>
    <w:rsid w:val="004E1F4D"/>
    <w:rPr>
      <w:color w:val="0000FF"/>
      <w:u w:val="single"/>
    </w:rPr>
  </w:style>
  <w:style w:type="character" w:styleId="GevolgdeHyperlink">
    <w:name w:val="FollowedHyperlink"/>
    <w:basedOn w:val="Standaardalinea-lettertype"/>
    <w:semiHidden/>
    <w:unhideWhenUsed/>
    <w:rsid w:val="00DE73B1"/>
    <w:rPr>
      <w:color w:val="800080" w:themeColor="followedHyperlink"/>
      <w:u w:val="single"/>
    </w:rPr>
  </w:style>
  <w:style w:type="paragraph" w:styleId="Normaalweb">
    <w:name w:val="Normal (Web)"/>
    <w:basedOn w:val="Standaard"/>
    <w:uiPriority w:val="99"/>
    <w:semiHidden/>
    <w:unhideWhenUsed/>
    <w:rsid w:val="00DC6B8F"/>
    <w:pPr>
      <w:spacing w:before="100" w:beforeAutospacing="1" w:after="100" w:afterAutospacing="1"/>
    </w:pPr>
    <w:rPr>
      <w:rFonts w:ascii="Times New Roman" w:hAnsi="Times New Roman"/>
      <w:sz w:val="24"/>
    </w:rPr>
  </w:style>
  <w:style w:type="character" w:customStyle="1" w:styleId="Onopgelostemelding1">
    <w:name w:val="Onopgeloste melding1"/>
    <w:basedOn w:val="Standaardalinea-lettertype"/>
    <w:uiPriority w:val="99"/>
    <w:semiHidden/>
    <w:unhideWhenUsed/>
    <w:rsid w:val="00267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BA041B"/>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2045</ap:Words>
  <ap:Characters>11883</ap:Characters>
  <ap:DocSecurity>0</ap:DocSecurity>
  <ap:Lines>99</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2022-05-20T17:25:00.0000000Z</dcterms:created>
  <dcterms:modified xsi:type="dcterms:W3CDTF">2022-08-23T12:07:00.0000000Z</dcterms:modified>
  <dc:description>------------------------</dc:description>
  <dc:subject/>
  <dc:title/>
  <keywords/>
  <version/>
  <category/>
</coreProperties>
</file>