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80570636"/>
        <w:lock w:val="contentLocked"/>
        <w:placeholder>
          <w:docPart w:val="DefaultPlaceholder_1082065158"/>
        </w:placeholder>
        <w:group/>
      </w:sdtPr>
      <w:sdtEndPr/>
      <w:sdtContent>
        <w:p w:rsidR="002C6867" w:rsidP="0017188E" w:rsidRDefault="00FF6790" w14:paraId="2D9D4C3A" w14:textId="77777777">
          <w:pPr>
            <w:tabs>
              <w:tab w:val="left" w:pos="3686"/>
            </w:tabs>
          </w:pPr>
          <w:r>
            <w:rPr>
              <w:noProof/>
            </w:rPr>
            <mc:AlternateContent>
              <mc:Choice Requires="wps">
                <w:drawing>
                  <wp:anchor distT="0" distB="0" distL="114300" distR="114300" simplePos="0" relativeHeight="251657728" behindDoc="0" locked="0" layoutInCell="1" allowOverlap="1" wp14:editId="5857A977" wp14:anchorId="230A2C7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B8BB29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230A2C71">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5B8BB29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08B13E8" wp14:anchorId="360D1FD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W17.22.0087/IV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17 augustus 2022</w:t>
              </w:r>
            </w:sdtContent>
          </w:sdt>
        </w:p>
        <w:p w:rsidR="00503044" w:rsidP="00503044" w:rsidRDefault="00503044" w14:paraId="06822B55" w14:textId="77777777">
          <w:pPr>
            <w:tabs>
              <w:tab w:val="left" w:pos="3685"/>
            </w:tabs>
          </w:pPr>
        </w:p>
        <w:p w:rsidR="00503044" w:rsidP="00503044" w:rsidRDefault="00503044" w14:paraId="4AC522B0"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8B6DE2" w:rsidRDefault="00F22F4D" w14:paraId="07D0865E" w14:textId="77777777">
              <w:r>
                <w:t>Bij Kabinetsmissive van 30 mei 2022, no.2022001141, heeft Uwe Majesteit, op voordracht van de Minister van Infrastructuur en Waterstaat, bij de Afdeling advisering van de Raad van State ter overweging aanhangig gemaakt het voorstel van wet tot wijziging van de Wegenverkeerswet 1994 en intrekking van de Wet beheer rijkswaterstaatswerken in verband met het vaststellen van een wettelijke grondslag ten behoeve van de implementatie van richtlijn 2008/96/EG en wijziging van die richtlijn door richtlijn (EU) 2019/1936, met memorie van toelichting.</w:t>
              </w:r>
            </w:p>
          </w:sdtContent>
        </w:sdt>
        <w:p w:rsidR="0071031E" w:rsidRDefault="0071031E" w14:paraId="65BF821D" w14:textId="77777777"/>
        <w:sdt>
          <w:sdtPr>
            <w:alias w:val="VrijeTekst1"/>
            <w:tag w:val="VrijeTekst1"/>
            <w:id w:val="-437221631"/>
            <w:lock w:val="sdtLocked"/>
          </w:sdtPr>
          <w:sdtEndPr/>
          <w:sdtContent>
            <w:p w:rsidR="003C1E16" w:rsidP="00FF035E" w:rsidRDefault="00F22F4D" w14:paraId="7EEF74B0" w14:textId="77777777">
              <w:r>
                <w:t xml:space="preserve">Het wetsvoorstel voorziet in een delegatiebepaling </w:t>
              </w:r>
              <w:r w:rsidRPr="00CA271E">
                <w:t>in de Wegenverkeerswet 1994 ten behoeve van de implementatie van richtlijn 2008/96/EG</w:t>
              </w:r>
              <w:r>
                <w:rPr>
                  <w:rStyle w:val="Voetnootmarkering"/>
                </w:rPr>
                <w:footnoteReference w:id="1"/>
              </w:r>
              <w:r>
                <w:t xml:space="preserve"> (hierna: de richtlijn)</w:t>
              </w:r>
              <w:r w:rsidRPr="00CA271E">
                <w:t xml:space="preserve"> en de recente wijziging van die richtlijn door richtlijn (EU) 2019/1936.</w:t>
              </w:r>
              <w:r>
                <w:rPr>
                  <w:rStyle w:val="Voetnootmarkering"/>
                </w:rPr>
                <w:footnoteReference w:id="2"/>
              </w:r>
              <w:r w:rsidRPr="00CA271E">
                <w:t xml:space="preserve"> De</w:t>
              </w:r>
              <w:r>
                <w:t xml:space="preserve"> </w:t>
              </w:r>
              <w:r w:rsidRPr="00CA271E">
                <w:t xml:space="preserve">delegatiebepaling maakt het mogelijk </w:t>
              </w:r>
              <w:r>
                <w:t xml:space="preserve">om </w:t>
              </w:r>
              <w:r w:rsidRPr="00CA271E">
                <w:t>bij of krachtens algemene maatregel van bestuur</w:t>
              </w:r>
              <w:r>
                <w:t xml:space="preserve"> (</w:t>
              </w:r>
              <w:proofErr w:type="spellStart"/>
              <w:r>
                <w:t>amvb</w:t>
              </w:r>
              <w:proofErr w:type="spellEnd"/>
              <w:r>
                <w:t>)</w:t>
              </w:r>
              <w:r w:rsidRPr="00CA271E">
                <w:t xml:space="preserve"> </w:t>
              </w:r>
              <w:r>
                <w:t xml:space="preserve">nadere regels te stellen in verband met </w:t>
              </w:r>
              <w:r w:rsidRPr="00CA271E">
                <w:t>de verkeersveiligheid van weginfrastructuur</w:t>
              </w:r>
              <w:r>
                <w:t xml:space="preserve">. </w:t>
              </w:r>
            </w:p>
            <w:p w:rsidR="003C1E16" w:rsidP="00FF035E" w:rsidRDefault="00C94001" w14:paraId="435C8231" w14:textId="77777777"/>
            <w:p w:rsidR="003C1E16" w:rsidP="00FF035E" w:rsidRDefault="00F22F4D" w14:paraId="4EFB6E30" w14:textId="77777777">
              <w:r>
                <w:t>De Afdeling advisering van de Raad van State maakt opmerkingen over de reikwijdte van de delegatiebepaling en het verstrijken van de uiterste implementatiedatum. In verband daarmee is aanpassing van het wetsvoorstel wenselijk.</w:t>
              </w:r>
            </w:p>
            <w:p w:rsidR="00CA271E" w:rsidP="00FF035E" w:rsidRDefault="00C94001" w14:paraId="1EBEFFDB" w14:textId="77777777"/>
            <w:p w:rsidR="002A29A0" w:rsidP="00FF035E" w:rsidRDefault="00F22F4D" w14:paraId="206A34ED" w14:textId="77777777">
              <w:r>
                <w:t>1.</w:t>
              </w:r>
              <w:r>
                <w:tab/>
              </w:r>
              <w:r w:rsidRPr="00CA3CAD">
                <w:rPr>
                  <w:u w:val="single"/>
                </w:rPr>
                <w:t>Reikwijdte van de delegatiebepaling</w:t>
              </w:r>
            </w:p>
            <w:p w:rsidR="002A29A0" w:rsidP="00FF035E" w:rsidRDefault="00C94001" w14:paraId="257D1CB3" w14:textId="77777777"/>
            <w:p w:rsidR="002A29A0" w:rsidP="00FF035E" w:rsidRDefault="00F22F4D" w14:paraId="4BC2C622" w14:textId="77777777">
              <w:r>
                <w:t xml:space="preserve">a. </w:t>
              </w:r>
              <w:r>
                <w:tab/>
              </w:r>
              <w:r w:rsidRPr="00CA3CAD">
                <w:rPr>
                  <w:i/>
                  <w:iCs/>
                </w:rPr>
                <w:t>Aan te wijzen wegen</w:t>
              </w:r>
            </w:p>
            <w:p w:rsidR="00FF7689" w:rsidP="00307046" w:rsidRDefault="00F22F4D" w14:paraId="0A37EEA8" w14:textId="77777777">
              <w:r>
                <w:t xml:space="preserve">De voorgestelde delegatiebepaling voorziet erin dat bij of krachtens </w:t>
              </w:r>
              <w:proofErr w:type="spellStart"/>
              <w:r>
                <w:t>amvb</w:t>
              </w:r>
              <w:proofErr w:type="spellEnd"/>
              <w:r>
                <w:t xml:space="preserve"> nadere regels worden gesteld in verband met de verkeersveiligheid van weginfrastructuur.</w:t>
              </w:r>
              <w:r>
                <w:rPr>
                  <w:rStyle w:val="Voetnootmarkering"/>
                </w:rPr>
                <w:footnoteReference w:id="3"/>
              </w:r>
              <w:r>
                <w:t xml:space="preserve"> Die regels hebben in elk geval betrekking op de aan te wijzen wegen.</w:t>
              </w:r>
              <w:r>
                <w:rPr>
                  <w:rStyle w:val="Voetnootmarkering"/>
                </w:rPr>
                <w:footnoteReference w:id="4"/>
              </w:r>
              <w:r>
                <w:t xml:space="preserve"> De voorgestelde bepaling voorziet niet in criteria op basis waarvan wegen worden aangewezen waarop de nader vast te stellen regels van toepassing zijn. Evenmin wordt in de memorie van toelichting uiteengezet welke soorten wegen zullen worden aangewezen.</w:t>
              </w:r>
            </w:p>
            <w:p w:rsidR="00687B9E" w:rsidP="00307046" w:rsidRDefault="00C94001" w14:paraId="1ECB5084" w14:textId="77777777"/>
            <w:p w:rsidR="00C34071" w:rsidP="00307046" w:rsidRDefault="00F22F4D" w14:paraId="78DC953E" w14:textId="77777777">
              <w:r>
                <w:t>De reikwijdte van een regeling is gelet op het primaat van de wetgever één van de hoofdelementen die in de wet behoort te worden geregeld.</w:t>
              </w:r>
              <w:r>
                <w:rPr>
                  <w:rStyle w:val="Voetnootmarkering"/>
                </w:rPr>
                <w:footnoteReference w:id="5"/>
              </w:r>
              <w:r>
                <w:t xml:space="preserve"> Nu bij of krachtens </w:t>
              </w:r>
              <w:proofErr w:type="spellStart"/>
              <w:r>
                <w:t>amvb</w:t>
              </w:r>
              <w:proofErr w:type="spellEnd"/>
              <w:r>
                <w:t xml:space="preserve"> de wegen worden aangewezen waarop de nadere regels van toepassing zijn, wordt de precieze reikwijdte van die regels niet door de wetgever maar door de gedelegeerde regelgever bepaald. Voor zover het niet mogelijk is om bij wet te bepalen op welke wegen de nadere regels van toepassing zijn, dient de bevoegdheid van de gedelegeerde regelgever om wegen bij of krachtens </w:t>
              </w:r>
              <w:proofErr w:type="spellStart"/>
              <w:r>
                <w:t>amvb</w:t>
              </w:r>
              <w:proofErr w:type="spellEnd"/>
              <w:r>
                <w:t xml:space="preserve"> aan te wijzen ten minste nader te worden begrensd.</w:t>
              </w:r>
              <w:r>
                <w:rPr>
                  <w:rStyle w:val="Voetnootmarkering"/>
                </w:rPr>
                <w:footnoteReference w:id="6"/>
              </w:r>
              <w:r>
                <w:t xml:space="preserve"> Die begrenzing is voorts nodig om te verzekeren dat ten minste de wegen waarop richtlijn 2008/96/EG van toepassing is worden aangewezen (zie ook punt 1b).</w:t>
              </w:r>
            </w:p>
            <w:p w:rsidR="003C2AA3" w:rsidP="00307046" w:rsidRDefault="00C94001" w14:paraId="41565BB1" w14:textId="77777777"/>
            <w:p w:rsidR="00C34071" w:rsidP="00307046" w:rsidRDefault="00F22F4D" w14:paraId="29086BFF" w14:textId="77777777">
              <w:r>
                <w:t xml:space="preserve">De Afdeling adviseert het wetsvoorstel op dit punt aan te passen. </w:t>
              </w:r>
            </w:p>
            <w:p w:rsidR="004C5220" w:rsidP="00307046" w:rsidRDefault="00C94001" w14:paraId="4323CF2F" w14:textId="77777777"/>
            <w:p w:rsidRPr="00CA3CAD" w:rsidR="004C5220" w:rsidP="00307046" w:rsidRDefault="00F22F4D" w14:paraId="4FD004BB" w14:textId="77777777">
              <w:pPr>
                <w:rPr>
                  <w:i/>
                  <w:iCs/>
                </w:rPr>
              </w:pPr>
              <w:r>
                <w:t>b.</w:t>
              </w:r>
              <w:r>
                <w:tab/>
              </w:r>
              <w:r>
                <w:rPr>
                  <w:i/>
                  <w:iCs/>
                </w:rPr>
                <w:t>Toepassingsgebied richtlijn 2008/96/EG</w:t>
              </w:r>
            </w:p>
            <w:p w:rsidR="00307046" w:rsidP="00307046" w:rsidRDefault="00F22F4D" w14:paraId="7A525EC9" w14:textId="77777777">
              <w:r>
                <w:t>De Afdeling constateert daarnaast dat de nader te bepalen reikwijdte van de delegatiebepaling door het gebruik van het begrip “wegen” ruimer is dan het toepassingsgebied van de richtlijn.</w:t>
              </w:r>
              <w:r>
                <w:rPr>
                  <w:rStyle w:val="Voetnootmarkering"/>
                </w:rPr>
                <w:footnoteReference w:id="7"/>
              </w:r>
              <w:r>
                <w:t xml:space="preserve"> De richtlijn is van toepassing op wegen </w:t>
              </w:r>
              <w:r w:rsidRPr="00C271B6">
                <w:t>die deel uitmaken van het trans-Europese wegennet, op autosnelwegen en op andere hoofdwegen</w:t>
              </w:r>
              <w:r>
                <w:t>.</w:t>
              </w:r>
              <w:r>
                <w:rPr>
                  <w:rStyle w:val="Voetnootmarkering"/>
                </w:rPr>
                <w:footnoteReference w:id="8"/>
              </w:r>
              <w:r>
                <w:t xml:space="preserve"> Door het gebruik van het begrip “wegen” in de delegatiebepaling kunnen nadere regels worden gesteld die betrekking hebben op </w:t>
              </w:r>
              <w:r w:rsidRPr="000D574A">
                <w:t xml:space="preserve">alle voor het openbaar verkeer openstaande </w:t>
              </w:r>
              <w:r>
                <w:t>wegen in Nederland.</w:t>
              </w:r>
              <w:r>
                <w:rPr>
                  <w:rStyle w:val="Voetnootmarkering"/>
                </w:rPr>
                <w:footnoteReference w:id="9"/>
              </w:r>
              <w:r>
                <w:t xml:space="preserve"> Hierover wordt in de adviezen van verschillende wegbeheerders opgemerkt dat in de delegatiebepaling het toepassingsgebied onevenredig wordt verruimd.</w:t>
              </w:r>
              <w:r>
                <w:rPr>
                  <w:rStyle w:val="Voetnootmarkering"/>
                </w:rPr>
                <w:footnoteReference w:id="10"/>
              </w:r>
              <w:r>
                <w:t xml:space="preserve"> In de toelichting wordt niet gemotiveerd waarom is gekozen voor een ruimer toepassingsgebied dan dat van de richtlijn.</w:t>
              </w:r>
            </w:p>
            <w:p w:rsidR="00307046" w:rsidP="00307046" w:rsidRDefault="00C94001" w14:paraId="450B3197" w14:textId="77777777"/>
            <w:p w:rsidR="000159BC" w:rsidP="00FF035E" w:rsidRDefault="00F22F4D" w14:paraId="597A4F56" w14:textId="77777777">
              <w:r>
                <w:t>Hoewel de Afdeling ziet dat de richtlijn ruimte biedt voor het verruimen van het toepassingsgebied, acht zij het noodzakelijk dat in de toelichting gemotiveerd wordt waarom hiervoor wordt gekozen.</w:t>
              </w:r>
              <w:r>
                <w:rPr>
                  <w:rStyle w:val="Voetnootmarkering"/>
                </w:rPr>
                <w:footnoteReference w:id="11"/>
              </w:r>
              <w:r>
                <w:t xml:space="preserve"> Dat is te meer van belang nu volgens de toelichting het wetsvoorstel zuivere implementatie betreft en dat er geen andere regels zijn opgenomen dan voor de implementatie van de richtlijn op wetsniveau nodig is.</w:t>
              </w:r>
              <w:r>
                <w:rPr>
                  <w:rStyle w:val="Voetnootmarkering"/>
                </w:rPr>
                <w:footnoteReference w:id="12"/>
              </w:r>
            </w:p>
            <w:p w:rsidR="000159BC" w:rsidP="00FF035E" w:rsidRDefault="00C94001" w14:paraId="44427C25" w14:textId="77777777"/>
            <w:p w:rsidR="00CA3CAD" w:rsidP="00FF035E" w:rsidRDefault="00F22F4D" w14:paraId="45A1727B" w14:textId="77777777">
              <w:r>
                <w:t>De Afdeling adviseert in de toelichting de keuze voor een ruimer toepassingsgebied te motiveren.</w:t>
              </w:r>
            </w:p>
            <w:p w:rsidR="00CA3CAD" w:rsidP="00FF035E" w:rsidRDefault="00C94001" w14:paraId="5DB1A6C2" w14:textId="77777777"/>
            <w:p w:rsidRPr="00CA3CAD" w:rsidR="00CA3CAD" w:rsidP="00FF035E" w:rsidRDefault="00F22F4D" w14:paraId="035744A9" w14:textId="77777777">
              <w:pPr>
                <w:rPr>
                  <w:i/>
                  <w:iCs/>
                </w:rPr>
              </w:pPr>
              <w:r>
                <w:t>2.</w:t>
              </w:r>
              <w:r>
                <w:tab/>
              </w:r>
              <w:r w:rsidRPr="00CA3CAD">
                <w:rPr>
                  <w:u w:val="single"/>
                </w:rPr>
                <w:t xml:space="preserve">Verstrijken van de </w:t>
              </w:r>
              <w:r>
                <w:rPr>
                  <w:u w:val="single"/>
                </w:rPr>
                <w:t xml:space="preserve">uiterste </w:t>
              </w:r>
              <w:r w:rsidRPr="00CA3CAD">
                <w:rPr>
                  <w:u w:val="single"/>
                </w:rPr>
                <w:t>implementatiedatum</w:t>
              </w:r>
            </w:p>
            <w:p w:rsidR="00CA3CAD" w:rsidP="00FF035E" w:rsidRDefault="00C94001" w14:paraId="45F1B540" w14:textId="77777777"/>
            <w:p w:rsidR="00CA3CAD" w:rsidP="00FF035E" w:rsidRDefault="00F22F4D" w14:paraId="64C33862" w14:textId="77777777">
              <w:r>
                <w:t>Het feit dat de uiterste implementatiedatum van 17 december 2021 niet wordt gehaald, levert geen problemen op voor de praktijk, aldus de memorie van toelichting.</w:t>
              </w:r>
              <w:r>
                <w:rPr>
                  <w:rStyle w:val="Voetnootmarkering"/>
                </w:rPr>
                <w:footnoteReference w:id="13"/>
              </w:r>
              <w:r>
                <w:t xml:space="preserve"> De toelichting bevat geen nadere motivering van deze stelling. </w:t>
              </w:r>
            </w:p>
            <w:p w:rsidR="0046131A" w:rsidP="00FF035E" w:rsidRDefault="00C94001" w14:paraId="3056E32A" w14:textId="77777777"/>
            <w:p w:rsidR="0031089B" w:rsidP="00FF035E" w:rsidRDefault="00F22F4D" w14:paraId="10559AC0" w14:textId="77777777">
              <w:r>
                <w:t xml:space="preserve">De Afdeling adviseert in de memorie van toelichting te motiveren waarom het niet halen van de uiterste implementatiedatum geen problemen oplevert voor de praktijk en daarbij tevens in te gaan op wat </w:t>
              </w:r>
              <w:r w:rsidRPr="00FB7482">
                <w:t>de wijziging van richtlijn 2008/96/EG door richtlijn (EU) 2019/1936</w:t>
              </w:r>
              <w:r>
                <w:t xml:space="preserve"> inhoudt voor de praktijk.</w:t>
              </w:r>
            </w:p>
          </w:sdtContent>
        </w:sdt>
        <w:p w:rsidR="003A1FC7" w:rsidRDefault="003A1FC7" w14:paraId="3F1E7F15" w14:textId="77777777"/>
        <w:sdt>
          <w:sdtPr>
            <w:alias w:val="Dictum"/>
            <w:tag w:val="Dictum"/>
            <w:id w:val="1621489950"/>
            <w:lock w:val="sdtContentLocked"/>
            <w:placeholder>
              <w:docPart w:val="DefaultPlaceholder_1082065158"/>
            </w:placeholder>
            <w:text w:multiLine="1"/>
          </w:sdtPr>
          <w:sdtEndPr/>
          <w:sdtContent>
            <w:p w:rsidR="008B6DE2" w:rsidRDefault="00F22F4D" w14:paraId="0FFE1F79"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8B6DE2"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A4883" w14:textId="77777777" w:rsidR="00576632" w:rsidRDefault="00576632" w:rsidP="005B3E03">
      <w:r>
        <w:separator/>
      </w:r>
    </w:p>
    <w:p w14:paraId="30BC9425" w14:textId="77777777" w:rsidR="00576632" w:rsidRDefault="00576632"/>
  </w:endnote>
  <w:endnote w:type="continuationSeparator" w:id="0">
    <w:p w14:paraId="138EB28C" w14:textId="77777777" w:rsidR="00576632" w:rsidRDefault="00576632" w:rsidP="005B3E03">
      <w:r>
        <w:continuationSeparator/>
      </w:r>
    </w:p>
    <w:p w14:paraId="64647362" w14:textId="77777777" w:rsidR="00576632" w:rsidRDefault="00576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A15D3"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2EAC9FF" wp14:editId="5453F40F">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31CCCA"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EAC9FF"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" stroked="f">
              <v:textbox>
                <w:txbxContent>
                  <w:p w14:paraId="5231CCCA"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6DC7B" w14:textId="77777777" w:rsidR="00576632" w:rsidRDefault="00576632" w:rsidP="005B3E03">
      <w:r>
        <w:separator/>
      </w:r>
    </w:p>
    <w:p w14:paraId="61F539C4" w14:textId="77777777" w:rsidR="00576632" w:rsidRDefault="00576632"/>
  </w:footnote>
  <w:footnote w:type="continuationSeparator" w:id="0">
    <w:p w14:paraId="3C5CAC6F" w14:textId="77777777" w:rsidR="00576632" w:rsidRDefault="00576632" w:rsidP="005B3E03">
      <w:r>
        <w:continuationSeparator/>
      </w:r>
    </w:p>
    <w:p w14:paraId="4A4FE069" w14:textId="77777777" w:rsidR="00576632" w:rsidRDefault="00576632"/>
  </w:footnote>
  <w:footnote w:id="1">
    <w:p w14:paraId="33C6B4AC" w14:textId="77777777" w:rsidR="00CA271E" w:rsidRDefault="00F22F4D">
      <w:pPr>
        <w:pStyle w:val="Voetnoottekst"/>
      </w:pPr>
      <w:r>
        <w:rPr>
          <w:rStyle w:val="Voetnootmarkering"/>
        </w:rPr>
        <w:footnoteRef/>
      </w:r>
      <w:r>
        <w:t xml:space="preserve"> </w:t>
      </w:r>
      <w:r>
        <w:tab/>
      </w:r>
      <w:r w:rsidRPr="00CA271E">
        <w:t>Richtlijn 2008/96/EG van het Europees Parlement en de Raad van 19 november 2008 betreffende het beheer van de verkeersveiligheid van weginfrastructuur (</w:t>
      </w:r>
      <w:proofErr w:type="spellStart"/>
      <w:r w:rsidRPr="00CA271E">
        <w:t>PbEU</w:t>
      </w:r>
      <w:proofErr w:type="spellEnd"/>
      <w:r w:rsidRPr="00CA271E">
        <w:t xml:space="preserve"> 2008, L 319).</w:t>
      </w:r>
    </w:p>
  </w:footnote>
  <w:footnote w:id="2">
    <w:p w14:paraId="690E006D" w14:textId="77777777" w:rsidR="00CA271E" w:rsidRDefault="00F22F4D">
      <w:pPr>
        <w:pStyle w:val="Voetnoottekst"/>
      </w:pPr>
      <w:r>
        <w:rPr>
          <w:rStyle w:val="Voetnootmarkering"/>
        </w:rPr>
        <w:footnoteRef/>
      </w:r>
      <w:r>
        <w:t xml:space="preserve"> </w:t>
      </w:r>
      <w:r>
        <w:tab/>
      </w:r>
      <w:r w:rsidRPr="00CA271E">
        <w:t>Richtlijn (EU) 2019/1936 van het Europees Parlement en de Raad van 23 oktober 2019 tot wijziging van Richtlijn 2008/96/EG betreffende het beheer van de verkeersveiligheid van weginfrastructuur (</w:t>
      </w:r>
      <w:proofErr w:type="spellStart"/>
      <w:r w:rsidRPr="00CA271E">
        <w:t>PbEU</w:t>
      </w:r>
      <w:proofErr w:type="spellEnd"/>
      <w:r w:rsidRPr="00CA271E">
        <w:t xml:space="preserve"> 2019, L 305).</w:t>
      </w:r>
    </w:p>
  </w:footnote>
  <w:footnote w:id="3">
    <w:p w14:paraId="59333C8C" w14:textId="1C503B06" w:rsidR="00FF7689" w:rsidRDefault="00F22F4D">
      <w:pPr>
        <w:pStyle w:val="Voetnoottekst"/>
      </w:pPr>
      <w:r>
        <w:rPr>
          <w:rStyle w:val="Voetnootmarkering"/>
        </w:rPr>
        <w:footnoteRef/>
      </w:r>
      <w:r>
        <w:t xml:space="preserve"> </w:t>
      </w:r>
      <w:r>
        <w:tab/>
        <w:t>Artikel I, artikel a4c, eerste lid.</w:t>
      </w:r>
    </w:p>
  </w:footnote>
  <w:footnote w:id="4">
    <w:p w14:paraId="1DA6B6BB" w14:textId="77777777" w:rsidR="00FF7689" w:rsidRDefault="00F22F4D">
      <w:pPr>
        <w:pStyle w:val="Voetnoottekst"/>
      </w:pPr>
      <w:r>
        <w:rPr>
          <w:rStyle w:val="Voetnootmarkering"/>
        </w:rPr>
        <w:footnoteRef/>
      </w:r>
      <w:r>
        <w:t xml:space="preserve"> </w:t>
      </w:r>
      <w:r>
        <w:tab/>
        <w:t>Artikel I, artikel a4c, tweede lid.</w:t>
      </w:r>
    </w:p>
  </w:footnote>
  <w:footnote w:id="5">
    <w:p w14:paraId="1FBCDEAE" w14:textId="70EC5498" w:rsidR="00304302" w:rsidRDefault="00F22F4D" w:rsidP="00304302">
      <w:pPr>
        <w:pStyle w:val="Voetnoottekst"/>
      </w:pPr>
      <w:r>
        <w:rPr>
          <w:rStyle w:val="Voetnootmarkering"/>
        </w:rPr>
        <w:footnoteRef/>
      </w:r>
      <w:r>
        <w:t xml:space="preserve"> </w:t>
      </w:r>
      <w:r>
        <w:tab/>
        <w:t xml:space="preserve">Aanwijzing 2.19 van de Aanwijzingen voor de regelgeving. </w:t>
      </w:r>
    </w:p>
  </w:footnote>
  <w:footnote w:id="6">
    <w:p w14:paraId="2BB77C46" w14:textId="77777777" w:rsidR="001B0807" w:rsidRDefault="00F22F4D">
      <w:pPr>
        <w:pStyle w:val="Voetnoottekst"/>
      </w:pPr>
      <w:r>
        <w:rPr>
          <w:rStyle w:val="Voetnootmarkering"/>
        </w:rPr>
        <w:footnoteRef/>
      </w:r>
      <w:r>
        <w:t xml:space="preserve"> </w:t>
      </w:r>
      <w:r>
        <w:tab/>
        <w:t>Aanwijzing 2.23 van de Aanwijzingen voor de regelgeving.</w:t>
      </w:r>
    </w:p>
  </w:footnote>
  <w:footnote w:id="7">
    <w:p w14:paraId="392752B6" w14:textId="77777777" w:rsidR="00C271B6" w:rsidRPr="00307046" w:rsidRDefault="00F22F4D" w:rsidP="00C271B6">
      <w:pPr>
        <w:pStyle w:val="Voetnoottekst"/>
      </w:pPr>
      <w:r>
        <w:rPr>
          <w:rStyle w:val="Voetnootmarkering"/>
        </w:rPr>
        <w:footnoteRef/>
      </w:r>
      <w:r w:rsidRPr="00307046">
        <w:t xml:space="preserve"> </w:t>
      </w:r>
      <w:r>
        <w:tab/>
      </w:r>
      <w:r w:rsidRPr="00307046">
        <w:t>Zie artikel 1 van de richtlijn.</w:t>
      </w:r>
    </w:p>
  </w:footnote>
  <w:footnote w:id="8">
    <w:p w14:paraId="349CDC52" w14:textId="77777777" w:rsidR="00C271B6" w:rsidRDefault="00F22F4D">
      <w:pPr>
        <w:pStyle w:val="Voetnoottekst"/>
      </w:pPr>
      <w:r>
        <w:rPr>
          <w:rStyle w:val="Voetnootmarkering"/>
        </w:rPr>
        <w:footnoteRef/>
      </w:r>
      <w:r>
        <w:t xml:space="preserve">  </w:t>
      </w:r>
      <w:r>
        <w:tab/>
        <w:t xml:space="preserve">Zie artikel 1, tweede lid van de richtlijn. Ingevolge het derde lid is de richtlijn ook van toepassing wegen en weginfrastructuurprojecten die door de Europese Unie worden gefinancierd. </w:t>
      </w:r>
    </w:p>
  </w:footnote>
  <w:footnote w:id="9">
    <w:p w14:paraId="00BD0538" w14:textId="77777777" w:rsidR="000D574A" w:rsidRDefault="00F22F4D">
      <w:pPr>
        <w:pStyle w:val="Voetnoottekst"/>
      </w:pPr>
      <w:r>
        <w:rPr>
          <w:rStyle w:val="Voetnootmarkering"/>
        </w:rPr>
        <w:footnoteRef/>
      </w:r>
      <w:r>
        <w:t xml:space="preserve">   Zie artikel 1, eerste lid, sub b, van de Wegenverkeerswet.</w:t>
      </w:r>
    </w:p>
  </w:footnote>
  <w:footnote w:id="10">
    <w:p w14:paraId="6E7DD722" w14:textId="77777777" w:rsidR="00284B16" w:rsidRDefault="00F22F4D">
      <w:pPr>
        <w:pStyle w:val="Voetnoottekst"/>
      </w:pPr>
      <w:r>
        <w:rPr>
          <w:rStyle w:val="Voetnootmarkering"/>
        </w:rPr>
        <w:footnoteRef/>
      </w:r>
      <w:r>
        <w:tab/>
        <w:t>Zie adviezen van het Interprovinciaal overleg, de Vereniging van Nederlandse Gemeenten, de Vervoerregio Amsterdam en de Metropoolregio Rotterdam - Den Haag.</w:t>
      </w:r>
    </w:p>
  </w:footnote>
  <w:footnote w:id="11">
    <w:p w14:paraId="6CB3307B" w14:textId="77777777" w:rsidR="00403B83" w:rsidRPr="00403B83" w:rsidRDefault="00F22F4D">
      <w:pPr>
        <w:pStyle w:val="Voetnoottekst"/>
      </w:pPr>
      <w:r>
        <w:rPr>
          <w:rStyle w:val="Voetnootmarkering"/>
        </w:rPr>
        <w:footnoteRef/>
      </w:r>
      <w:r>
        <w:t xml:space="preserve"> </w:t>
      </w:r>
      <w:r>
        <w:tab/>
        <w:t>Zie artikel 1, vierde lid, van de richtlijn.</w:t>
      </w:r>
    </w:p>
  </w:footnote>
  <w:footnote w:id="12">
    <w:p w14:paraId="3157D11A" w14:textId="77777777" w:rsidR="001317AE" w:rsidRPr="001317AE" w:rsidRDefault="00F22F4D" w:rsidP="001317AE">
      <w:pPr>
        <w:pStyle w:val="Voetnoottekst"/>
      </w:pPr>
      <w:r>
        <w:rPr>
          <w:rStyle w:val="Voetnootmarkering"/>
        </w:rPr>
        <w:footnoteRef/>
      </w:r>
      <w:r>
        <w:t xml:space="preserve"> </w:t>
      </w:r>
      <w:r>
        <w:tab/>
        <w:t>P</w:t>
      </w:r>
      <w:r w:rsidRPr="001317AE">
        <w:t xml:space="preserve">aragraaf </w:t>
      </w:r>
      <w:r>
        <w:t>1</w:t>
      </w:r>
      <w:r w:rsidRPr="001317AE">
        <w:t xml:space="preserve"> van de memorie van toelichting</w:t>
      </w:r>
      <w:r>
        <w:t>.</w:t>
      </w:r>
    </w:p>
  </w:footnote>
  <w:footnote w:id="13">
    <w:p w14:paraId="10FD9403" w14:textId="77777777" w:rsidR="00CA3CAD" w:rsidRPr="00CA3CAD" w:rsidRDefault="00F22F4D">
      <w:pPr>
        <w:pStyle w:val="Voetnoottekst"/>
      </w:pPr>
      <w:r>
        <w:rPr>
          <w:rStyle w:val="Voetnootmarkering"/>
        </w:rPr>
        <w:footnoteRef/>
      </w:r>
      <w:r>
        <w:t xml:space="preserve"> </w:t>
      </w:r>
      <w:r>
        <w:tab/>
        <w:t>Paragraaf 6 van de memorie van toelichting.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EB5C4" w14:textId="2F3A707A"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94001">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744F1"/>
    <w:rsid w:val="004C120D"/>
    <w:rsid w:val="00503044"/>
    <w:rsid w:val="00576632"/>
    <w:rsid w:val="006D3E6B"/>
    <w:rsid w:val="0071031E"/>
    <w:rsid w:val="00724C4B"/>
    <w:rsid w:val="00743D19"/>
    <w:rsid w:val="00831756"/>
    <w:rsid w:val="008B6DE2"/>
    <w:rsid w:val="009E72D2"/>
    <w:rsid w:val="00A349AF"/>
    <w:rsid w:val="00AA44F3"/>
    <w:rsid w:val="00B03C96"/>
    <w:rsid w:val="00B44919"/>
    <w:rsid w:val="00C02F92"/>
    <w:rsid w:val="00C5066A"/>
    <w:rsid w:val="00C50D4F"/>
    <w:rsid w:val="00C94001"/>
    <w:rsid w:val="00C94D31"/>
    <w:rsid w:val="00D32A9E"/>
    <w:rsid w:val="00D76613"/>
    <w:rsid w:val="00DE075A"/>
    <w:rsid w:val="00DE1A79"/>
    <w:rsid w:val="00DF6602"/>
    <w:rsid w:val="00E722B1"/>
    <w:rsid w:val="00E905C7"/>
    <w:rsid w:val="00F22F4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FC272"/>
  <w15:docId w15:val="{6BDB540F-56E5-4FBC-A570-E353FE23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CA271E"/>
    <w:rPr>
      <w:vertAlign w:val="superscript"/>
    </w:rPr>
  </w:style>
  <w:style w:type="character" w:styleId="Verwijzingopmerking">
    <w:name w:val="annotation reference"/>
    <w:basedOn w:val="Standaardalinea-lettertype"/>
    <w:semiHidden/>
    <w:unhideWhenUsed/>
    <w:rsid w:val="00D4613F"/>
    <w:rPr>
      <w:sz w:val="16"/>
      <w:szCs w:val="16"/>
    </w:rPr>
  </w:style>
  <w:style w:type="paragraph" w:styleId="Tekstopmerking">
    <w:name w:val="annotation text"/>
    <w:basedOn w:val="Standaard"/>
    <w:link w:val="TekstopmerkingChar"/>
    <w:semiHidden/>
    <w:unhideWhenUsed/>
    <w:rsid w:val="00D4613F"/>
    <w:rPr>
      <w:sz w:val="20"/>
      <w:szCs w:val="20"/>
    </w:rPr>
  </w:style>
  <w:style w:type="character" w:customStyle="1" w:styleId="TekstopmerkingChar">
    <w:name w:val="Tekst opmerking Char"/>
    <w:basedOn w:val="Standaardalinea-lettertype"/>
    <w:link w:val="Tekstopmerking"/>
    <w:semiHidden/>
    <w:rsid w:val="00D4613F"/>
    <w:rPr>
      <w:rFonts w:ascii="Univers" w:hAnsi="Univers"/>
    </w:rPr>
  </w:style>
  <w:style w:type="paragraph" w:styleId="Onderwerpvanopmerking">
    <w:name w:val="annotation subject"/>
    <w:basedOn w:val="Tekstopmerking"/>
    <w:next w:val="Tekstopmerking"/>
    <w:link w:val="OnderwerpvanopmerkingChar"/>
    <w:semiHidden/>
    <w:unhideWhenUsed/>
    <w:rsid w:val="00D4613F"/>
    <w:rPr>
      <w:b/>
      <w:bCs/>
    </w:rPr>
  </w:style>
  <w:style w:type="character" w:customStyle="1" w:styleId="OnderwerpvanopmerkingChar">
    <w:name w:val="Onderwerp van opmerking Char"/>
    <w:basedOn w:val="TekstopmerkingChar"/>
    <w:link w:val="Onderwerpvanopmerking"/>
    <w:semiHidden/>
    <w:rsid w:val="00D4613F"/>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05455"/>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707</ap:Words>
  <ap:Characters>4082</ap:Characters>
  <ap:DocSecurity>4</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2022-09-08T11:29:00.0000000Z</dcterms:created>
  <dcterms:modified xsi:type="dcterms:W3CDTF">2022-09-08T11:29:00.0000000Z</dcterms:modified>
  <dc:description>------------------------</dc:description>
  <dc:subject/>
  <keywords/>
  <version/>
  <category/>
</coreProperties>
</file>