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B2C" w:rsidRDefault="001642B1" w14:paraId="576AF6C1" w14:textId="77777777">
      <w:pPr>
        <w:pStyle w:val="WitregelW1bodytekst"/>
      </w:pPr>
      <w:r>
        <w:t xml:space="preserve"> </w:t>
      </w:r>
    </w:p>
    <w:p w:rsidR="00433B2C" w:rsidRDefault="00433B2C" w14:paraId="3D893A22" w14:textId="77777777"/>
    <w:p w:rsidR="000816B5" w:rsidP="000816B5" w:rsidRDefault="000816B5" w14:paraId="5487F308" w14:textId="77777777">
      <w:pPr>
        <w:spacing w:line="240" w:lineRule="auto"/>
      </w:pPr>
    </w:p>
    <w:p w:rsidR="000816B5" w:rsidP="000816B5" w:rsidRDefault="000816B5" w14:paraId="7E835B16" w14:textId="77777777">
      <w:pPr>
        <w:spacing w:line="240" w:lineRule="auto"/>
      </w:pPr>
    </w:p>
    <w:p w:rsidR="00784504" w:rsidP="000816B5" w:rsidRDefault="00784504" w14:paraId="76821242" w14:textId="77777777">
      <w:pPr>
        <w:spacing w:line="240" w:lineRule="auto"/>
      </w:pPr>
    </w:p>
    <w:p w:rsidR="00784504" w:rsidP="000816B5" w:rsidRDefault="00784504" w14:paraId="4BA4B95D" w14:textId="77777777">
      <w:pPr>
        <w:spacing w:line="240" w:lineRule="auto"/>
      </w:pPr>
    </w:p>
    <w:p w:rsidR="00784504" w:rsidP="000816B5" w:rsidRDefault="00784504" w14:paraId="38BE066A" w14:textId="77777777">
      <w:pPr>
        <w:spacing w:line="240" w:lineRule="auto"/>
      </w:pPr>
    </w:p>
    <w:p w:rsidR="00784504" w:rsidP="000816B5" w:rsidRDefault="00784504" w14:paraId="71EF5332" w14:textId="77777777">
      <w:pPr>
        <w:spacing w:line="240" w:lineRule="auto"/>
      </w:pPr>
    </w:p>
    <w:p w:rsidR="000816B5" w:rsidP="000816B5" w:rsidRDefault="000816B5" w14:paraId="104A4B63" w14:textId="41DC1E41">
      <w:pPr>
        <w:spacing w:line="240" w:lineRule="auto"/>
      </w:pPr>
      <w:r>
        <w:t xml:space="preserve">Hierbij bied ik u mijn brief aan met een reactie op de vragen en opmerkingen die ik op 26 juli 2022 heb ontvangen van de leden van de VVD-fractie, de D66-fractie en de SP-fractie over de initiatiefnota van het lid Omtzigt over voorstellen ter aanmoediging van het melden van misstanden en ter verbetering van de bescherming van klokkenluiders en over mijn brief van 29 juni jl. aan uw Kamer, waarbij ik u de tweede nota van wijziging heb aangeboden inzake het </w:t>
      </w:r>
      <w:proofErr w:type="gramStart"/>
      <w:r>
        <w:t>wetsvoorstel</w:t>
      </w:r>
      <w:proofErr w:type="gramEnd"/>
      <w:r>
        <w:t xml:space="preserve"> tot wijziging van de Wet Huis voor klokkenluiders en enige andere wetten ter implementatie van Richtlijn (EU) 2019/1937 (hierna: de richtlijn)</w:t>
      </w:r>
      <w:r w:rsidR="00260520">
        <w:t>.</w:t>
      </w:r>
      <w:r>
        <w:t xml:space="preserve"> </w:t>
      </w:r>
    </w:p>
    <w:p w:rsidR="000816B5" w:rsidP="000816B5" w:rsidRDefault="000816B5" w14:paraId="0D3ADA21" w14:textId="77777777">
      <w:pPr>
        <w:spacing w:line="240" w:lineRule="auto"/>
      </w:pPr>
    </w:p>
    <w:p w:rsidR="0010242D" w:rsidP="00E715F0" w:rsidRDefault="000816B5" w14:paraId="25CECA34" w14:textId="5C6DCF14">
      <w:pPr>
        <w:autoSpaceDN/>
        <w:spacing w:line="240" w:lineRule="auto"/>
      </w:pPr>
      <w:r>
        <w:t xml:space="preserve">Met deze brief informeer ik u </w:t>
      </w:r>
      <w:proofErr w:type="gramStart"/>
      <w:r>
        <w:t>tevens</w:t>
      </w:r>
      <w:proofErr w:type="gramEnd"/>
      <w:r>
        <w:t xml:space="preserve"> </w:t>
      </w:r>
      <w:r w:rsidR="00E715F0">
        <w:t xml:space="preserve">over de laatste stand van zaken in de infractieprocedure die door de Europese Commissie </w:t>
      </w:r>
      <w:r w:rsidR="00197EF2">
        <w:t xml:space="preserve">vanwege de te late implementatie van de richtlijn door Nederland </w:t>
      </w:r>
      <w:r w:rsidR="001978B7">
        <w:t>aanhangig is gemaakt en waarover u eerder bij brief van 4 februari jl. bent geïnformeerd.</w:t>
      </w:r>
      <w:r w:rsidR="001978B7">
        <w:rPr>
          <w:rStyle w:val="Voetnootmarkering"/>
        </w:rPr>
        <w:footnoteReference w:id="1"/>
      </w:r>
      <w:r w:rsidR="00E715F0">
        <w:t xml:space="preserve"> </w:t>
      </w:r>
      <w:r w:rsidR="001978B7">
        <w:br/>
      </w:r>
      <w:r w:rsidR="00E715F0">
        <w:t>D</w:t>
      </w:r>
      <w:r>
        <w:t xml:space="preserve">e Nederlandse regering </w:t>
      </w:r>
      <w:r w:rsidR="00E715F0">
        <w:t xml:space="preserve">heeft </w:t>
      </w:r>
      <w:r w:rsidR="001978B7">
        <w:t xml:space="preserve">inmiddels </w:t>
      </w:r>
      <w:r>
        <w:t xml:space="preserve">op 15 juli jl. het ‘met redenen omkleed advies’ (MROA) van de Europese Commissie ontvangen. Hierin heeft de Commissie </w:t>
      </w:r>
      <w:r w:rsidR="00E715F0">
        <w:t xml:space="preserve">naar aanleiding van de door Nederland op </w:t>
      </w:r>
      <w:r w:rsidR="001978B7">
        <w:t>22</w:t>
      </w:r>
      <w:r w:rsidR="00E715F0">
        <w:t xml:space="preserve"> maart jl. gegeven reactie op de ingebrekestelling </w:t>
      </w:r>
      <w:r>
        <w:t>geconcludeerd dat Nederland nog steeds niet alle maatregelen heeft getroffen die nodig zijn om de volledige omzetting van de richtlijn in nationaal recht te verzekeren. De Commissie wijst erop dat volgens vaste rechtspraak van het Hof van Justitie een lidstaat zich niet kan beroepen op bepalingen, praktijken of situaties van zijn interne rechtsorde ter rechtvaardiging van de niet-nakoming van door een richtlijn voorgeschreven verplichtingen of termijnen.</w:t>
      </w:r>
      <w:r>
        <w:rPr>
          <w:rStyle w:val="Voetnootmarkering"/>
        </w:rPr>
        <w:footnoteReference w:id="2"/>
      </w:r>
      <w:r>
        <w:t xml:space="preserve"> De </w:t>
      </w:r>
      <w:r w:rsidRPr="00E715F0">
        <w:t>nog te doorlopen</w:t>
      </w:r>
      <w:r>
        <w:t xml:space="preserve"> parlementaire behandeling vormt daarmee geen rechtvaardiging voor de te late implementatie. Nederland moet voor 15 september a.s. reageren op het MROA. Op basis van deze reactie zal de Europese </w:t>
      </w:r>
      <w:r>
        <w:lastRenderedPageBreak/>
        <w:t>Commissie in beginsel binnen twee maanden na ontvangst van de reactie, dus voor medio november, besluiten over het aanhangig maken van de zaak bij het Europese Hof van Justitie. Zoals ik u in mijn brief van 4 februari jl.</w:t>
      </w:r>
      <w:r w:rsidR="00260520">
        <w:rPr>
          <w:rStyle w:val="Voetnootmarkering"/>
        </w:rPr>
        <w:footnoteReference w:id="3"/>
      </w:r>
      <w:r>
        <w:t xml:space="preserve"> heb meegedeeld, maakt de Commissie de zaak in beginsel automatisch aanhangig bij het Hof indien Nederland in gebreke blijft, hetgeen tot hoge financiële sancties kan leiden.</w:t>
      </w:r>
      <w:r w:rsidR="00E715F0">
        <w:t xml:space="preserve"> Ik </w:t>
      </w:r>
      <w:r w:rsidR="00197EF2">
        <w:t xml:space="preserve">acht het van </w:t>
      </w:r>
      <w:r w:rsidR="0010242D">
        <w:t xml:space="preserve">groot </w:t>
      </w:r>
      <w:r w:rsidR="00197EF2">
        <w:t>belang om een beroepsprocedure bij het Hof met mogelijk hoge financiële consequenties te voorkomen</w:t>
      </w:r>
      <w:r w:rsidR="00453D86">
        <w:t xml:space="preserve">. Met het oog daarop </w:t>
      </w:r>
      <w:r w:rsidR="0010242D">
        <w:t>heb ik in mijn brief van 29 juni jl. met een reactie op de initiatiefnota van het lid Omtzigt</w:t>
      </w:r>
      <w:r w:rsidR="001642B1">
        <w:rPr>
          <w:rStyle w:val="Voetnootmarkering"/>
        </w:rPr>
        <w:footnoteReference w:id="4"/>
      </w:r>
      <w:r w:rsidR="0010242D">
        <w:t xml:space="preserve"> bericht dat </w:t>
      </w:r>
      <w:r w:rsidR="00453D86">
        <w:t>ik de voorstellen uit d</w:t>
      </w:r>
      <w:r w:rsidR="0010242D">
        <w:t>i</w:t>
      </w:r>
      <w:r w:rsidR="00453D86">
        <w:t>e initiatiefnota</w:t>
      </w:r>
      <w:r w:rsidR="0010242D">
        <w:t>,</w:t>
      </w:r>
      <w:r w:rsidR="00453D86">
        <w:t xml:space="preserve"> die nader overleg en onderzoek vergen</w:t>
      </w:r>
      <w:r w:rsidR="0010242D">
        <w:t>,</w:t>
      </w:r>
      <w:r w:rsidR="00453D86">
        <w:t xml:space="preserve"> </w:t>
      </w:r>
      <w:r w:rsidR="0010242D">
        <w:t xml:space="preserve">zal </w:t>
      </w:r>
      <w:r w:rsidR="00453D86">
        <w:t>betrekken bij een volgend wetsvoorstel dat wordt voorbereid naar aanleiding van de evaluatie van de Wet Huis voor klokkenluiders</w:t>
      </w:r>
      <w:r w:rsidR="0010242D">
        <w:t>.</w:t>
      </w:r>
    </w:p>
    <w:p w:rsidR="0010242D" w:rsidP="00E715F0" w:rsidRDefault="0010242D" w14:paraId="092FF8CC" w14:textId="77777777">
      <w:pPr>
        <w:autoSpaceDN/>
        <w:spacing w:line="240" w:lineRule="auto"/>
      </w:pPr>
    </w:p>
    <w:p w:rsidR="000816B5" w:rsidP="00E715F0" w:rsidRDefault="0010242D" w14:paraId="10685DAA" w14:textId="77777777">
      <w:pPr>
        <w:autoSpaceDN/>
        <w:spacing w:line="240" w:lineRule="auto"/>
      </w:pPr>
      <w:r>
        <w:t xml:space="preserve">Gelet op het vorengaande </w:t>
      </w:r>
      <w:r w:rsidR="00E715F0">
        <w:t>verzoek</w:t>
      </w:r>
      <w:r>
        <w:t xml:space="preserve"> ik </w:t>
      </w:r>
      <w:r w:rsidR="00E715F0">
        <w:t xml:space="preserve">u </w:t>
      </w:r>
      <w:r w:rsidR="00197EF2">
        <w:t>tot een voortvarende behandeling en spoedige afronding van het implementatiewetsvoor</w:t>
      </w:r>
      <w:r>
        <w:t>stel</w:t>
      </w:r>
      <w:r w:rsidR="00197EF2">
        <w:t>.</w:t>
      </w:r>
      <w:r w:rsidR="001978B7">
        <w:t xml:space="preserve"> </w:t>
      </w:r>
    </w:p>
    <w:p w:rsidR="00197EF2" w:rsidP="00E715F0" w:rsidRDefault="00197EF2" w14:paraId="0EDDF50A" w14:textId="77777777">
      <w:pPr>
        <w:autoSpaceDN/>
        <w:spacing w:line="240" w:lineRule="auto"/>
      </w:pPr>
    </w:p>
    <w:p w:rsidR="00433B2C" w:rsidRDefault="001642B1" w14:paraId="740E2F89" w14:textId="77777777">
      <w:pPr>
        <w:pStyle w:val="WitregelW1bodytekst"/>
      </w:pPr>
      <w:r>
        <w:t xml:space="preserve"> </w:t>
      </w:r>
    </w:p>
    <w:p w:rsidR="00433B2C" w:rsidRDefault="001642B1" w14:paraId="5F428FBB" w14:textId="77777777">
      <w:r>
        <w:t>De minister van Binnenlandse Zaken en Koninkrijksrelaties,</w:t>
      </w:r>
      <w:r>
        <w:br/>
      </w:r>
      <w:r>
        <w:br/>
      </w:r>
      <w:r>
        <w:br/>
      </w:r>
      <w:r>
        <w:br/>
      </w:r>
      <w:r>
        <w:br/>
      </w:r>
      <w:r>
        <w:br/>
        <w:t>Hanke Bruins Slot</w:t>
      </w:r>
    </w:p>
    <w:sectPr w:rsidR="00433B2C">
      <w:headerReference w:type="default" r:id="rId8"/>
      <w:headerReference w:type="first" r:id="rId9"/>
      <w:footerReference w:type="first" r:id="rId10"/>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B102" w14:textId="77777777" w:rsidR="00720F79" w:rsidRDefault="001642B1">
      <w:pPr>
        <w:spacing w:line="240" w:lineRule="auto"/>
      </w:pPr>
      <w:r>
        <w:separator/>
      </w:r>
    </w:p>
  </w:endnote>
  <w:endnote w:type="continuationSeparator" w:id="0">
    <w:p w14:paraId="33E61C4A" w14:textId="77777777" w:rsidR="00720F79" w:rsidRDefault="00164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BFC6" w14:textId="77777777" w:rsidR="00433B2C" w:rsidRDefault="00433B2C">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DB85" w14:textId="77777777" w:rsidR="00720F79" w:rsidRDefault="001642B1">
      <w:pPr>
        <w:spacing w:line="240" w:lineRule="auto"/>
      </w:pPr>
      <w:r>
        <w:separator/>
      </w:r>
    </w:p>
  </w:footnote>
  <w:footnote w:type="continuationSeparator" w:id="0">
    <w:p w14:paraId="64296A2B" w14:textId="77777777" w:rsidR="00720F79" w:rsidRDefault="001642B1">
      <w:pPr>
        <w:spacing w:line="240" w:lineRule="auto"/>
      </w:pPr>
      <w:r>
        <w:continuationSeparator/>
      </w:r>
    </w:p>
  </w:footnote>
  <w:footnote w:id="1">
    <w:p w14:paraId="41A36CC0" w14:textId="77777777" w:rsidR="001978B7" w:rsidRPr="001978B7" w:rsidRDefault="001978B7">
      <w:pPr>
        <w:pStyle w:val="Voetnoottekst"/>
        <w:rPr>
          <w:sz w:val="16"/>
          <w:szCs w:val="16"/>
        </w:rPr>
      </w:pPr>
      <w:r w:rsidRPr="001978B7">
        <w:rPr>
          <w:rStyle w:val="Voetnootmarkering"/>
          <w:sz w:val="16"/>
          <w:szCs w:val="16"/>
        </w:rPr>
        <w:footnoteRef/>
      </w:r>
      <w:r w:rsidRPr="001978B7">
        <w:rPr>
          <w:sz w:val="16"/>
          <w:szCs w:val="16"/>
        </w:rPr>
        <w:t xml:space="preserve"> Kamerstuk 35851, nr. 8</w:t>
      </w:r>
      <w:r>
        <w:rPr>
          <w:sz w:val="16"/>
          <w:szCs w:val="16"/>
        </w:rPr>
        <w:t>.</w:t>
      </w:r>
    </w:p>
  </w:footnote>
  <w:footnote w:id="2">
    <w:p w14:paraId="358FD645" w14:textId="77777777" w:rsidR="000816B5" w:rsidRDefault="000816B5" w:rsidP="000816B5">
      <w:pPr>
        <w:pStyle w:val="Voetnoottekst"/>
        <w:rPr>
          <w:sz w:val="16"/>
          <w:szCs w:val="16"/>
        </w:rPr>
      </w:pPr>
      <w:r>
        <w:rPr>
          <w:rStyle w:val="Voetnootmarkering"/>
          <w:sz w:val="16"/>
          <w:szCs w:val="16"/>
        </w:rPr>
        <w:footnoteRef/>
      </w:r>
      <w:r>
        <w:rPr>
          <w:sz w:val="16"/>
          <w:szCs w:val="16"/>
        </w:rPr>
        <w:t xml:space="preserve"> Met verwijzing naar het arrest van het Hof van Justitie van 31 januari 2008, Commissie van de Europese Gemeenschappen/Groothertogdom Luxemburg, C-268/07, ECLI:EU:C:2008:70, punt 13, en het arrest van het Hof van Justitie van 22 mei 2014, Europese Commissie/Italiaanse Republiek, C-339/13, ECLI:EU:C:2014:353, punt 29.</w:t>
      </w:r>
    </w:p>
  </w:footnote>
  <w:footnote w:id="3">
    <w:p w14:paraId="2F1E6715" w14:textId="51D9D454" w:rsidR="00260520" w:rsidRPr="00260520" w:rsidRDefault="00260520">
      <w:pPr>
        <w:pStyle w:val="Voetnoottekst"/>
        <w:rPr>
          <w:sz w:val="16"/>
          <w:szCs w:val="16"/>
        </w:rPr>
      </w:pPr>
      <w:r w:rsidRPr="00260520">
        <w:rPr>
          <w:rStyle w:val="Voetnootmarkering"/>
          <w:sz w:val="16"/>
          <w:szCs w:val="16"/>
        </w:rPr>
        <w:footnoteRef/>
      </w:r>
      <w:r w:rsidRPr="00260520">
        <w:rPr>
          <w:sz w:val="16"/>
          <w:szCs w:val="16"/>
        </w:rPr>
        <w:t xml:space="preserve"> Kamerstuk 35851, nr. 8</w:t>
      </w:r>
      <w:r>
        <w:rPr>
          <w:sz w:val="16"/>
          <w:szCs w:val="16"/>
        </w:rPr>
        <w:t>.</w:t>
      </w:r>
    </w:p>
  </w:footnote>
  <w:footnote w:id="4">
    <w:p w14:paraId="6A1BEAB5" w14:textId="52E378A1" w:rsidR="001642B1" w:rsidRPr="001642B1" w:rsidRDefault="001642B1">
      <w:pPr>
        <w:pStyle w:val="Voetnoottekst"/>
        <w:rPr>
          <w:sz w:val="16"/>
          <w:szCs w:val="16"/>
        </w:rPr>
      </w:pPr>
      <w:r w:rsidRPr="001642B1">
        <w:rPr>
          <w:rStyle w:val="Voetnootmarkering"/>
          <w:sz w:val="16"/>
          <w:szCs w:val="16"/>
        </w:rPr>
        <w:footnoteRef/>
      </w:r>
      <w:r w:rsidRPr="001642B1">
        <w:rPr>
          <w:sz w:val="16"/>
          <w:szCs w:val="16"/>
        </w:rPr>
        <w:t xml:space="preserve"> Kamerstuk 35851, nr. 11</w:t>
      </w:r>
      <w:r w:rsidR="0026052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0703" w14:textId="77777777" w:rsidR="00433B2C" w:rsidRDefault="001642B1">
    <w:pPr>
      <w:pStyle w:val="MarginlessContainer"/>
    </w:pPr>
    <w:r>
      <w:rPr>
        <w:noProof/>
      </w:rPr>
      <mc:AlternateContent>
        <mc:Choice Requires="wps">
          <w:drawing>
            <wp:anchor distT="0" distB="0" distL="0" distR="0" simplePos="0" relativeHeight="251651584" behindDoc="0" locked="1" layoutInCell="1" allowOverlap="1" wp14:anchorId="14B23080" wp14:editId="12FB6563">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6CD53F27" w14:textId="77777777" w:rsidR="00720F79" w:rsidRDefault="00720F79"/>
                      </w:txbxContent>
                    </wps:txbx>
                    <wps:bodyPr vert="horz" wrap="square" lIns="0" tIns="0" rIns="0" bIns="0" anchor="t" anchorCtr="0"/>
                  </wps:wsp>
                </a:graphicData>
              </a:graphic>
            </wp:anchor>
          </w:drawing>
        </mc:Choice>
        <mc:Fallback>
          <w:pict>
            <v:shapetype w14:anchorId="14B23080"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6CD53F27" w14:textId="77777777" w:rsidR="00720F79" w:rsidRDefault="00720F79"/>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516D33FF" wp14:editId="65709DD8">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1C129571" w14:textId="43F4B082" w:rsidR="00433B2C" w:rsidRDefault="001642B1">
                          <w:pPr>
                            <w:pStyle w:val="Referentiegegevens"/>
                          </w:pPr>
                          <w:r>
                            <w:t xml:space="preserve">Pagina </w:t>
                          </w:r>
                          <w:r>
                            <w:fldChar w:fldCharType="begin"/>
                          </w:r>
                          <w:r>
                            <w:instrText>PAGE</w:instrText>
                          </w:r>
                          <w:r>
                            <w:fldChar w:fldCharType="separate"/>
                          </w:r>
                          <w:r w:rsidR="003E1E98">
                            <w:rPr>
                              <w:noProof/>
                            </w:rPr>
                            <w:t>2</w:t>
                          </w:r>
                          <w:r>
                            <w:fldChar w:fldCharType="end"/>
                          </w:r>
                          <w:r>
                            <w:t xml:space="preserve"> van </w:t>
                          </w:r>
                          <w:r>
                            <w:fldChar w:fldCharType="begin"/>
                          </w:r>
                          <w:r>
                            <w:instrText>NUMPAGES</w:instrText>
                          </w:r>
                          <w:r>
                            <w:fldChar w:fldCharType="separate"/>
                          </w:r>
                          <w:r w:rsidR="003E1E98">
                            <w:rPr>
                              <w:noProof/>
                            </w:rPr>
                            <w:t>2</w:t>
                          </w:r>
                          <w:r>
                            <w:fldChar w:fldCharType="end"/>
                          </w:r>
                        </w:p>
                      </w:txbxContent>
                    </wps:txbx>
                    <wps:bodyPr vert="horz" wrap="square" lIns="0" tIns="0" rIns="0" bIns="0" anchor="t" anchorCtr="0"/>
                  </wps:wsp>
                </a:graphicData>
              </a:graphic>
            </wp:anchor>
          </w:drawing>
        </mc:Choice>
        <mc:Fallback>
          <w:pict>
            <v:shape w14:anchorId="516D33FF"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1C129571" w14:textId="43F4B082" w:rsidR="00433B2C" w:rsidRDefault="001642B1">
                    <w:pPr>
                      <w:pStyle w:val="Referentiegegevens"/>
                    </w:pPr>
                    <w:r>
                      <w:t xml:space="preserve">Pagina </w:t>
                    </w:r>
                    <w:r>
                      <w:fldChar w:fldCharType="begin"/>
                    </w:r>
                    <w:r>
                      <w:instrText>PAGE</w:instrText>
                    </w:r>
                    <w:r>
                      <w:fldChar w:fldCharType="separate"/>
                    </w:r>
                    <w:r w:rsidR="003E1E98">
                      <w:rPr>
                        <w:noProof/>
                      </w:rPr>
                      <w:t>2</w:t>
                    </w:r>
                    <w:r>
                      <w:fldChar w:fldCharType="end"/>
                    </w:r>
                    <w:r>
                      <w:t xml:space="preserve"> van </w:t>
                    </w:r>
                    <w:r>
                      <w:fldChar w:fldCharType="begin"/>
                    </w:r>
                    <w:r>
                      <w:instrText>NUMPAGES</w:instrText>
                    </w:r>
                    <w:r>
                      <w:fldChar w:fldCharType="separate"/>
                    </w:r>
                    <w:r w:rsidR="003E1E98">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C644A00" wp14:editId="1E77B65F">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5D868ABE" w14:textId="77777777" w:rsidR="00433B2C" w:rsidRDefault="001642B1">
                          <w:pPr>
                            <w:pStyle w:val="Afzendgegevens"/>
                          </w:pPr>
                          <w:r>
                            <w:t>Ministerie van Binnenlandse Zaken en Koninkrijksrelaties</w:t>
                          </w:r>
                        </w:p>
                        <w:p w14:paraId="0D857FA8" w14:textId="77777777" w:rsidR="00433B2C" w:rsidRDefault="00433B2C">
                          <w:pPr>
                            <w:pStyle w:val="WitregelW2"/>
                          </w:pPr>
                        </w:p>
                        <w:p w14:paraId="557F0155" w14:textId="77777777" w:rsidR="00433B2C" w:rsidRDefault="001642B1">
                          <w:pPr>
                            <w:pStyle w:val="Kopjereferentiegegevens"/>
                          </w:pPr>
                          <w:r>
                            <w:t>Datum</w:t>
                          </w:r>
                        </w:p>
                        <w:p w14:paraId="046307A7" w14:textId="5431588C" w:rsidR="00433B2C" w:rsidRDefault="00433B2C">
                          <w:pPr>
                            <w:pStyle w:val="Referentiegegevens"/>
                          </w:pPr>
                        </w:p>
                        <w:p w14:paraId="6629491D" w14:textId="77777777" w:rsidR="00433B2C" w:rsidRDefault="00433B2C">
                          <w:pPr>
                            <w:pStyle w:val="WitregelW1"/>
                          </w:pPr>
                        </w:p>
                        <w:p w14:paraId="58E6C742" w14:textId="77777777" w:rsidR="00433B2C" w:rsidRDefault="001642B1">
                          <w:pPr>
                            <w:pStyle w:val="Kopjereferentiegegevens"/>
                          </w:pPr>
                          <w:r>
                            <w:t>Kenmerk</w:t>
                          </w:r>
                        </w:p>
                        <w:p w14:paraId="28771422" w14:textId="664FF6F2" w:rsidR="00433B2C" w:rsidRDefault="00CF7F76">
                          <w:pPr>
                            <w:pStyle w:val="Referentiegegevens"/>
                          </w:pPr>
                          <w:r>
                            <w:fldChar w:fldCharType="begin"/>
                          </w:r>
                          <w:r>
                            <w:instrText xml:space="preserve"> DOCPROPERTY  "Kenmerk"  \* MERGEFORMAT </w:instrText>
                          </w:r>
                          <w:r>
                            <w:fldChar w:fldCharType="separate"/>
                          </w:r>
                          <w:r>
                            <w:t>2022-0000475196</w:t>
                          </w:r>
                          <w:r>
                            <w:fldChar w:fldCharType="end"/>
                          </w:r>
                        </w:p>
                      </w:txbxContent>
                    </wps:txbx>
                    <wps:bodyPr vert="horz" wrap="square" lIns="0" tIns="0" rIns="0" bIns="0" anchor="t" anchorCtr="0"/>
                  </wps:wsp>
                </a:graphicData>
              </a:graphic>
            </wp:anchor>
          </w:drawing>
        </mc:Choice>
        <mc:Fallback>
          <w:pict>
            <v:shape w14:anchorId="2C644A00"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5D868ABE" w14:textId="77777777" w:rsidR="00433B2C" w:rsidRDefault="001642B1">
                    <w:pPr>
                      <w:pStyle w:val="Afzendgegevens"/>
                    </w:pPr>
                    <w:r>
                      <w:t>Ministerie van Binnenlandse Zaken en Koninkrijksrelaties</w:t>
                    </w:r>
                  </w:p>
                  <w:p w14:paraId="0D857FA8" w14:textId="77777777" w:rsidR="00433B2C" w:rsidRDefault="00433B2C">
                    <w:pPr>
                      <w:pStyle w:val="WitregelW2"/>
                    </w:pPr>
                  </w:p>
                  <w:p w14:paraId="557F0155" w14:textId="77777777" w:rsidR="00433B2C" w:rsidRDefault="001642B1">
                    <w:pPr>
                      <w:pStyle w:val="Kopjereferentiegegevens"/>
                    </w:pPr>
                    <w:r>
                      <w:t>Datum</w:t>
                    </w:r>
                  </w:p>
                  <w:p w14:paraId="046307A7" w14:textId="5431588C" w:rsidR="00433B2C" w:rsidRDefault="00433B2C">
                    <w:pPr>
                      <w:pStyle w:val="Referentiegegevens"/>
                    </w:pPr>
                  </w:p>
                  <w:p w14:paraId="6629491D" w14:textId="77777777" w:rsidR="00433B2C" w:rsidRDefault="00433B2C">
                    <w:pPr>
                      <w:pStyle w:val="WitregelW1"/>
                    </w:pPr>
                  </w:p>
                  <w:p w14:paraId="58E6C742" w14:textId="77777777" w:rsidR="00433B2C" w:rsidRDefault="001642B1">
                    <w:pPr>
                      <w:pStyle w:val="Kopjereferentiegegevens"/>
                    </w:pPr>
                    <w:r>
                      <w:t>Kenmerk</w:t>
                    </w:r>
                  </w:p>
                  <w:p w14:paraId="28771422" w14:textId="664FF6F2" w:rsidR="00433B2C" w:rsidRDefault="00CF7F76">
                    <w:pPr>
                      <w:pStyle w:val="Referentiegegevens"/>
                    </w:pPr>
                    <w:r>
                      <w:fldChar w:fldCharType="begin"/>
                    </w:r>
                    <w:r>
                      <w:instrText xml:space="preserve"> DOCPROPERTY  "Kenmerk"  \* MERGEFORMAT </w:instrText>
                    </w:r>
                    <w:r>
                      <w:fldChar w:fldCharType="separate"/>
                    </w:r>
                    <w:r>
                      <w:t>2022-0000475196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19C2237" wp14:editId="0DD991AB">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31443B76" w14:textId="77777777" w:rsidR="00720F79" w:rsidRDefault="00720F79"/>
                      </w:txbxContent>
                    </wps:txbx>
                    <wps:bodyPr vert="horz" wrap="square" lIns="0" tIns="0" rIns="0" bIns="0" anchor="t" anchorCtr="0"/>
                  </wps:wsp>
                </a:graphicData>
              </a:graphic>
            </wp:anchor>
          </w:drawing>
        </mc:Choice>
        <mc:Fallback>
          <w:pict>
            <v:shape w14:anchorId="719C2237"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31443B76" w14:textId="77777777" w:rsidR="00720F79" w:rsidRDefault="00720F7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992F" w14:textId="77777777" w:rsidR="00433B2C" w:rsidRDefault="001642B1">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6EB5FFFF" wp14:editId="572AC04A">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18DA10C" w14:textId="77777777" w:rsidR="00433B2C" w:rsidRDefault="001642B1">
                          <w:pPr>
                            <w:pStyle w:val="MarginlessContainer"/>
                          </w:pPr>
                          <w:r>
                            <w:rPr>
                              <w:noProof/>
                            </w:rPr>
                            <w:drawing>
                              <wp:inline distT="0" distB="0" distL="0" distR="0" wp14:anchorId="09B46D48" wp14:editId="69D11941">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B5FFFF"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118DA10C" w14:textId="77777777" w:rsidR="00433B2C" w:rsidRDefault="001642B1">
                    <w:pPr>
                      <w:pStyle w:val="MarginlessContainer"/>
                    </w:pPr>
                    <w:r>
                      <w:rPr>
                        <w:noProof/>
                      </w:rPr>
                      <w:drawing>
                        <wp:inline distT="0" distB="0" distL="0" distR="0" wp14:anchorId="09B46D48" wp14:editId="69D11941">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E1FAB08" wp14:editId="3FF104B5">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6F0BFB" w14:textId="77777777" w:rsidR="00433B2C" w:rsidRDefault="001642B1">
                          <w:pPr>
                            <w:pStyle w:val="MarginlessContainer"/>
                          </w:pPr>
                          <w:r>
                            <w:rPr>
                              <w:noProof/>
                            </w:rPr>
                            <w:drawing>
                              <wp:inline distT="0" distB="0" distL="0" distR="0" wp14:anchorId="15C2B200" wp14:editId="6933663D">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1FAB08"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106F0BFB" w14:textId="77777777" w:rsidR="00433B2C" w:rsidRDefault="001642B1">
                    <w:pPr>
                      <w:pStyle w:val="MarginlessContainer"/>
                    </w:pPr>
                    <w:r>
                      <w:rPr>
                        <w:noProof/>
                      </w:rPr>
                      <w:drawing>
                        <wp:inline distT="0" distB="0" distL="0" distR="0" wp14:anchorId="15C2B200" wp14:editId="6933663D">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C4E7371" wp14:editId="08AF67CF">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0ECC3ED8" w14:textId="77777777" w:rsidR="00433B2C" w:rsidRDefault="001642B1">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1C4E7371"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0ECC3ED8" w14:textId="77777777" w:rsidR="00433B2C" w:rsidRDefault="001642B1">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C2E14B0" wp14:editId="1EDC8F63">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334FCC41" w14:textId="77777777" w:rsidR="00CF7F76" w:rsidRDefault="00F141A2">
                          <w:r>
                            <w:t xml:space="preserve">Aan </w:t>
                          </w:r>
                          <w:r w:rsidR="001642B1">
                            <w:fldChar w:fldCharType="begin"/>
                          </w:r>
                          <w:r w:rsidR="001642B1">
                            <w:instrText xml:space="preserve"> DOCPROPERTY  "Aan"  \* MERGEFORMAT </w:instrText>
                          </w:r>
                          <w:r w:rsidR="001642B1">
                            <w:fldChar w:fldCharType="separate"/>
                          </w:r>
                          <w:r w:rsidR="00CF7F76">
                            <w:t>de Voorzitter van de Tweede Kamer der Staten-Generaal</w:t>
                          </w:r>
                        </w:p>
                        <w:p w14:paraId="3076C38D" w14:textId="77777777" w:rsidR="00CF7F76" w:rsidRDefault="00CF7F76">
                          <w:r>
                            <w:t>Postbus 20018</w:t>
                          </w:r>
                        </w:p>
                        <w:p w14:paraId="0FB4BD19" w14:textId="38DFACFF" w:rsidR="00433B2C" w:rsidRDefault="00CF7F76">
                          <w:r>
                            <w:t>2500 EA  Den Haag</w:t>
                          </w:r>
                          <w:r w:rsidR="001642B1">
                            <w:fldChar w:fldCharType="end"/>
                          </w:r>
                        </w:p>
                      </w:txbxContent>
                    </wps:txbx>
                    <wps:bodyPr vert="horz" wrap="square" lIns="0" tIns="0" rIns="0" bIns="0" anchor="t" anchorCtr="0"/>
                  </wps:wsp>
                </a:graphicData>
              </a:graphic>
            </wp:anchor>
          </w:drawing>
        </mc:Choice>
        <mc:Fallback>
          <w:pict>
            <v:shape w14:anchorId="4C2E14B0"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334FCC41" w14:textId="77777777" w:rsidR="00CF7F76" w:rsidRDefault="00F141A2">
                    <w:r>
                      <w:t xml:space="preserve">Aan </w:t>
                    </w:r>
                    <w:r w:rsidR="001642B1">
                      <w:fldChar w:fldCharType="begin"/>
                    </w:r>
                    <w:r w:rsidR="001642B1">
                      <w:instrText xml:space="preserve"> DOCPROPERTY  "Aan"  \* MERGEFORMAT </w:instrText>
                    </w:r>
                    <w:r w:rsidR="001642B1">
                      <w:fldChar w:fldCharType="separate"/>
                    </w:r>
                    <w:r w:rsidR="00CF7F76">
                      <w:t>de Voorzitter van de Tweede Kamer der Staten-Generaal</w:t>
                    </w:r>
                  </w:p>
                  <w:p w14:paraId="3076C38D" w14:textId="77777777" w:rsidR="00CF7F76" w:rsidRDefault="00CF7F76">
                    <w:r>
                      <w:t>Postbus 20018</w:t>
                    </w:r>
                  </w:p>
                  <w:p w14:paraId="0FB4BD19" w14:textId="38DFACFF" w:rsidR="00433B2C" w:rsidRDefault="00CF7F76">
                    <w:r>
                      <w:t>2500 EA  Den Haag</w:t>
                    </w:r>
                    <w:r w:rsidR="001642B1">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E758E94" wp14:editId="460E527F">
              <wp:simplePos x="0" y="0"/>
              <wp:positionH relativeFrom="page">
                <wp:posOffset>1009015</wp:posOffset>
              </wp:positionH>
              <wp:positionV relativeFrom="page">
                <wp:posOffset>3722370</wp:posOffset>
              </wp:positionV>
              <wp:extent cx="4993005" cy="178689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993005" cy="178689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33B2C" w14:paraId="58EB11B9" w14:textId="77777777">
                            <w:trPr>
                              <w:trHeight w:val="200"/>
                            </w:trPr>
                            <w:tc>
                              <w:tcPr>
                                <w:tcW w:w="1140" w:type="dxa"/>
                              </w:tcPr>
                              <w:p w14:paraId="2C41C30A" w14:textId="77777777" w:rsidR="00433B2C" w:rsidRDefault="00433B2C"/>
                            </w:tc>
                            <w:tc>
                              <w:tcPr>
                                <w:tcW w:w="5918" w:type="dxa"/>
                              </w:tcPr>
                              <w:p w14:paraId="71E4284D" w14:textId="77777777" w:rsidR="00433B2C" w:rsidRDefault="00433B2C"/>
                            </w:tc>
                          </w:tr>
                          <w:tr w:rsidR="00433B2C" w14:paraId="2A8B4728" w14:textId="77777777">
                            <w:trPr>
                              <w:trHeight w:val="300"/>
                            </w:trPr>
                            <w:tc>
                              <w:tcPr>
                                <w:tcW w:w="1140" w:type="dxa"/>
                              </w:tcPr>
                              <w:p w14:paraId="4D13DADF" w14:textId="77777777" w:rsidR="00433B2C" w:rsidRDefault="001642B1">
                                <w:r>
                                  <w:t>Datum</w:t>
                                </w:r>
                              </w:p>
                            </w:tc>
                            <w:tc>
                              <w:tcPr>
                                <w:tcW w:w="5918" w:type="dxa"/>
                              </w:tcPr>
                              <w:p w14:paraId="0DC06FBC" w14:textId="01E352EE" w:rsidR="00433B2C" w:rsidRDefault="00CF7F76">
                                <w:pPr>
                                  <w:pStyle w:val="Gegevensdocument"/>
                                </w:pPr>
                                <w:r>
                                  <w:t>1 september 2022</w:t>
                                </w:r>
                              </w:p>
                            </w:tc>
                          </w:tr>
                          <w:tr w:rsidR="00433B2C" w14:paraId="0CD720A0" w14:textId="77777777">
                            <w:trPr>
                              <w:trHeight w:val="300"/>
                            </w:trPr>
                            <w:tc>
                              <w:tcPr>
                                <w:tcW w:w="1140" w:type="dxa"/>
                              </w:tcPr>
                              <w:p w14:paraId="3C35846D" w14:textId="77777777" w:rsidR="00433B2C" w:rsidRDefault="001642B1">
                                <w:r>
                                  <w:t>Betreft</w:t>
                                </w:r>
                              </w:p>
                            </w:tc>
                            <w:tc>
                              <w:tcPr>
                                <w:tcW w:w="5918" w:type="dxa"/>
                              </w:tcPr>
                              <w:p w14:paraId="6C261A98" w14:textId="2C0DF3DE" w:rsidR="00433B2C" w:rsidRDefault="00F141A2" w:rsidP="00F141A2">
                                <w:r>
                                  <w:t xml:space="preserve">Reactie op inbreng verslag </w:t>
                                </w:r>
                                <w:proofErr w:type="gramStart"/>
                                <w:r>
                                  <w:t>aangaande</w:t>
                                </w:r>
                                <w:proofErr w:type="gramEnd"/>
                                <w:r>
                                  <w:t xml:space="preserve"> de </w:t>
                                </w:r>
                                <w:r w:rsidR="00CF7F76">
                                  <w:fldChar w:fldCharType="begin"/>
                                </w:r>
                                <w:r w:rsidR="00CF7F76">
                                  <w:instrText xml:space="preserve"> DOCPROPERTY  "Onderwerp"  \* MERGEFORMAT </w:instrText>
                                </w:r>
                                <w:r w:rsidR="00CF7F76">
                                  <w:fldChar w:fldCharType="separate"/>
                                </w:r>
                                <w:r w:rsidR="00CF7F76">
                                  <w:t>Initiatiefnota van het lid Omtzigt over voorstellen ter aanmoediging van het melden van misstanden en ter verbetering van bescherming van klokkenluiders (36079, nr. 2) en de brief van 29 juni 2022 (3585</w:t>
                                </w:r>
                                <w:r w:rsidR="00CF7F76">
                                  <w:fldChar w:fldCharType="end"/>
                                </w:r>
                                <w:r w:rsidR="00802CA8">
                                  <w:t>1</w:t>
                                </w:r>
                                <w:r>
                                  <w:t>, nr. 11</w:t>
                                </w:r>
                                <w:r w:rsidR="00802CA8">
                                  <w:t>)</w:t>
                                </w:r>
                                <w:r w:rsidR="00845CF7">
                                  <w:t>,</w:t>
                                </w:r>
                                <w:r w:rsidR="00784504">
                                  <w:t xml:space="preserve"> en informatie over de lopende infractieprocedure vanwege te late implementatie van de </w:t>
                                </w:r>
                                <w:r w:rsidR="00260520">
                                  <w:t>EU-klokkenluidersrichtlijn (</w:t>
                                </w:r>
                                <w:r w:rsidR="00784504">
                                  <w:t>Richtlijn (EU) 2019/1937</w:t>
                                </w:r>
                                <w:r w:rsidR="00260520">
                                  <w:t>)</w:t>
                                </w:r>
                              </w:p>
                            </w:tc>
                          </w:tr>
                          <w:tr w:rsidR="00433B2C" w14:paraId="5B960798" w14:textId="77777777">
                            <w:trPr>
                              <w:trHeight w:val="200"/>
                            </w:trPr>
                            <w:tc>
                              <w:tcPr>
                                <w:tcW w:w="1140" w:type="dxa"/>
                              </w:tcPr>
                              <w:p w14:paraId="340B40B7" w14:textId="77777777" w:rsidR="00433B2C" w:rsidRDefault="00433B2C"/>
                            </w:tc>
                            <w:tc>
                              <w:tcPr>
                                <w:tcW w:w="5918" w:type="dxa"/>
                              </w:tcPr>
                              <w:p w14:paraId="2EBE74DD" w14:textId="77777777" w:rsidR="00433B2C" w:rsidRDefault="00433B2C"/>
                            </w:tc>
                          </w:tr>
                        </w:tbl>
                        <w:p w14:paraId="25AE2CBC" w14:textId="77777777" w:rsidR="00720F79" w:rsidRDefault="00720F7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58E94" id="Documenteigenschappen" o:spid="_x0000_s1034" type="#_x0000_t202" style="position:absolute;margin-left:79.45pt;margin-top:293.1pt;width:393.15pt;height:140.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" filled="f" stroked="f">
              <v:textbox inset="0,0,0,0">
                <w:txbxContent>
                  <w:tbl>
                    <w:tblPr>
                      <w:tblW w:w="0" w:type="auto"/>
                      <w:tblLayout w:type="fixed"/>
                      <w:tblLook w:val="07E0" w:firstRow="1" w:lastRow="1" w:firstColumn="1" w:lastColumn="1" w:noHBand="1" w:noVBand="1"/>
                    </w:tblPr>
                    <w:tblGrid>
                      <w:gridCol w:w="1140"/>
                      <w:gridCol w:w="5918"/>
                    </w:tblGrid>
                    <w:tr w:rsidR="00433B2C" w14:paraId="58EB11B9" w14:textId="77777777">
                      <w:trPr>
                        <w:trHeight w:val="200"/>
                      </w:trPr>
                      <w:tc>
                        <w:tcPr>
                          <w:tcW w:w="1140" w:type="dxa"/>
                        </w:tcPr>
                        <w:p w14:paraId="2C41C30A" w14:textId="77777777" w:rsidR="00433B2C" w:rsidRDefault="00433B2C"/>
                      </w:tc>
                      <w:tc>
                        <w:tcPr>
                          <w:tcW w:w="5918" w:type="dxa"/>
                        </w:tcPr>
                        <w:p w14:paraId="71E4284D" w14:textId="77777777" w:rsidR="00433B2C" w:rsidRDefault="00433B2C"/>
                      </w:tc>
                    </w:tr>
                    <w:tr w:rsidR="00433B2C" w14:paraId="2A8B4728" w14:textId="77777777">
                      <w:trPr>
                        <w:trHeight w:val="300"/>
                      </w:trPr>
                      <w:tc>
                        <w:tcPr>
                          <w:tcW w:w="1140" w:type="dxa"/>
                        </w:tcPr>
                        <w:p w14:paraId="4D13DADF" w14:textId="77777777" w:rsidR="00433B2C" w:rsidRDefault="001642B1">
                          <w:r>
                            <w:t>Datum</w:t>
                          </w:r>
                        </w:p>
                      </w:tc>
                      <w:tc>
                        <w:tcPr>
                          <w:tcW w:w="5918" w:type="dxa"/>
                        </w:tcPr>
                        <w:p w14:paraId="0DC06FBC" w14:textId="01E352EE" w:rsidR="00433B2C" w:rsidRDefault="00CF7F76">
                          <w:pPr>
                            <w:pStyle w:val="Gegevensdocument"/>
                          </w:pPr>
                          <w:r>
                            <w:t>1 september 2022</w:t>
                          </w:r>
                        </w:p>
                      </w:tc>
                    </w:tr>
                    <w:tr w:rsidR="00433B2C" w14:paraId="0CD720A0" w14:textId="77777777">
                      <w:trPr>
                        <w:trHeight w:val="300"/>
                      </w:trPr>
                      <w:tc>
                        <w:tcPr>
                          <w:tcW w:w="1140" w:type="dxa"/>
                        </w:tcPr>
                        <w:p w14:paraId="3C35846D" w14:textId="77777777" w:rsidR="00433B2C" w:rsidRDefault="001642B1">
                          <w:r>
                            <w:t>Betreft</w:t>
                          </w:r>
                        </w:p>
                      </w:tc>
                      <w:tc>
                        <w:tcPr>
                          <w:tcW w:w="5918" w:type="dxa"/>
                        </w:tcPr>
                        <w:p w14:paraId="6C261A98" w14:textId="2C0DF3DE" w:rsidR="00433B2C" w:rsidRDefault="00F141A2" w:rsidP="00F141A2">
                          <w:r>
                            <w:t xml:space="preserve">Reactie op inbreng verslag </w:t>
                          </w:r>
                          <w:proofErr w:type="gramStart"/>
                          <w:r>
                            <w:t>aangaande</w:t>
                          </w:r>
                          <w:proofErr w:type="gramEnd"/>
                          <w:r>
                            <w:t xml:space="preserve"> de </w:t>
                          </w:r>
                          <w:r w:rsidR="00CF7F76">
                            <w:fldChar w:fldCharType="begin"/>
                          </w:r>
                          <w:r w:rsidR="00CF7F76">
                            <w:instrText xml:space="preserve"> DOCPROPERTY  "Onderwerp"  \* MERGEFORMAT </w:instrText>
                          </w:r>
                          <w:r w:rsidR="00CF7F76">
                            <w:fldChar w:fldCharType="separate"/>
                          </w:r>
                          <w:r w:rsidR="00CF7F76">
                            <w:t>Initiatiefnota van het lid Omtzigt over voorstellen ter aanmoediging van het melden van misstanden en ter verbetering van bescherming van klokkenluiders (36079, nr. 2) en de brief van 29 juni 2022 (3585</w:t>
                          </w:r>
                          <w:r w:rsidR="00CF7F76">
                            <w:fldChar w:fldCharType="end"/>
                          </w:r>
                          <w:r w:rsidR="00802CA8">
                            <w:t>1</w:t>
                          </w:r>
                          <w:r>
                            <w:t>, nr. 11</w:t>
                          </w:r>
                          <w:r w:rsidR="00802CA8">
                            <w:t>)</w:t>
                          </w:r>
                          <w:r w:rsidR="00845CF7">
                            <w:t>,</w:t>
                          </w:r>
                          <w:r w:rsidR="00784504">
                            <w:t xml:space="preserve"> en informatie over de lopende infractieprocedure vanwege te late implementatie van de </w:t>
                          </w:r>
                          <w:r w:rsidR="00260520">
                            <w:t>EU-klokkenluidersrichtlijn (</w:t>
                          </w:r>
                          <w:r w:rsidR="00784504">
                            <w:t>Richtlijn (EU) 2019/1937</w:t>
                          </w:r>
                          <w:r w:rsidR="00260520">
                            <w:t>)</w:t>
                          </w:r>
                        </w:p>
                      </w:tc>
                    </w:tr>
                    <w:tr w:rsidR="00433B2C" w14:paraId="5B960798" w14:textId="77777777">
                      <w:trPr>
                        <w:trHeight w:val="200"/>
                      </w:trPr>
                      <w:tc>
                        <w:tcPr>
                          <w:tcW w:w="1140" w:type="dxa"/>
                        </w:tcPr>
                        <w:p w14:paraId="340B40B7" w14:textId="77777777" w:rsidR="00433B2C" w:rsidRDefault="00433B2C"/>
                      </w:tc>
                      <w:tc>
                        <w:tcPr>
                          <w:tcW w:w="5918" w:type="dxa"/>
                        </w:tcPr>
                        <w:p w14:paraId="2EBE74DD" w14:textId="77777777" w:rsidR="00433B2C" w:rsidRDefault="00433B2C"/>
                      </w:tc>
                    </w:tr>
                  </w:tbl>
                  <w:p w14:paraId="25AE2CBC" w14:textId="77777777" w:rsidR="00720F79" w:rsidRDefault="00720F79"/>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8D1C823" wp14:editId="62F7C2E0">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C6F0AC" w14:textId="77777777" w:rsidR="00433B2C" w:rsidRPr="00802CA8" w:rsidRDefault="001642B1">
                          <w:pPr>
                            <w:pStyle w:val="Afzendgegevens"/>
                            <w:rPr>
                              <w:b/>
                            </w:rPr>
                          </w:pPr>
                          <w:r w:rsidRPr="00802CA8">
                            <w:rPr>
                              <w:b/>
                            </w:rPr>
                            <w:t>Ministerie van Binnenlandse Zaken en Koninkrijksrelaties</w:t>
                          </w:r>
                        </w:p>
                        <w:p w14:paraId="470BA1B8" w14:textId="77777777" w:rsidR="00433B2C" w:rsidRDefault="00433B2C">
                          <w:pPr>
                            <w:pStyle w:val="WitregelW1"/>
                          </w:pPr>
                        </w:p>
                        <w:p w14:paraId="2447E244" w14:textId="77777777" w:rsidR="00433B2C" w:rsidRDefault="00433B2C">
                          <w:pPr>
                            <w:pStyle w:val="WitregelW1"/>
                          </w:pPr>
                        </w:p>
                        <w:p w14:paraId="74C01D0C" w14:textId="77777777" w:rsidR="00433B2C" w:rsidRPr="00B63847" w:rsidRDefault="001642B1">
                          <w:pPr>
                            <w:pStyle w:val="Afzendgegevens"/>
                            <w:rPr>
                              <w:lang w:val="de-DE"/>
                            </w:rPr>
                          </w:pPr>
                          <w:r w:rsidRPr="00B63847">
                            <w:rPr>
                              <w:lang w:val="de-DE"/>
                            </w:rPr>
                            <w:t>Turfmarkt 147</w:t>
                          </w:r>
                        </w:p>
                        <w:p w14:paraId="0927471B" w14:textId="77777777" w:rsidR="00433B2C" w:rsidRPr="00B63847" w:rsidRDefault="001642B1">
                          <w:pPr>
                            <w:pStyle w:val="Afzendgegevens"/>
                            <w:rPr>
                              <w:lang w:val="de-DE"/>
                            </w:rPr>
                          </w:pPr>
                          <w:r w:rsidRPr="00B63847">
                            <w:rPr>
                              <w:lang w:val="de-DE"/>
                            </w:rPr>
                            <w:t>Den Haag</w:t>
                          </w:r>
                        </w:p>
                        <w:p w14:paraId="42DF8018" w14:textId="77777777" w:rsidR="00433B2C" w:rsidRPr="00B63847" w:rsidRDefault="001642B1">
                          <w:pPr>
                            <w:pStyle w:val="Afzendgegevens"/>
                            <w:rPr>
                              <w:lang w:val="de-DE"/>
                            </w:rPr>
                          </w:pPr>
                          <w:r w:rsidRPr="00B63847">
                            <w:rPr>
                              <w:lang w:val="de-DE"/>
                            </w:rPr>
                            <w:t>Postbus 20011</w:t>
                          </w:r>
                        </w:p>
                        <w:p w14:paraId="1341F5C8" w14:textId="77777777" w:rsidR="00433B2C" w:rsidRPr="00802CA8" w:rsidRDefault="001642B1">
                          <w:pPr>
                            <w:pStyle w:val="Afzendgegevens"/>
                            <w:rPr>
                              <w:lang w:val="de-DE"/>
                            </w:rPr>
                          </w:pPr>
                          <w:r w:rsidRPr="00B63847">
                            <w:rPr>
                              <w:lang w:val="de-DE"/>
                            </w:rPr>
                            <w:t xml:space="preserve">2500 </w:t>
                          </w:r>
                          <w:proofErr w:type="gramStart"/>
                          <w:r w:rsidRPr="00B63847">
                            <w:rPr>
                              <w:lang w:val="de-DE"/>
                            </w:rPr>
                            <w:t xml:space="preserve">EA  </w:t>
                          </w:r>
                          <w:r w:rsidRPr="00802CA8">
                            <w:rPr>
                              <w:lang w:val="de-DE"/>
                            </w:rPr>
                            <w:t>Den</w:t>
                          </w:r>
                          <w:proofErr w:type="gramEnd"/>
                          <w:r w:rsidRPr="00802CA8">
                            <w:rPr>
                              <w:lang w:val="de-DE"/>
                            </w:rPr>
                            <w:t xml:space="preserve"> Haag</w:t>
                          </w:r>
                        </w:p>
                        <w:p w14:paraId="6E345B72" w14:textId="77777777" w:rsidR="00433B2C" w:rsidRPr="00802CA8" w:rsidRDefault="00433B2C">
                          <w:pPr>
                            <w:pStyle w:val="WitregelW1"/>
                            <w:rPr>
                              <w:lang w:val="de-DE"/>
                            </w:rPr>
                          </w:pPr>
                        </w:p>
                        <w:p w14:paraId="744A3012" w14:textId="77777777" w:rsidR="00433B2C" w:rsidRPr="00087378" w:rsidRDefault="00433B2C">
                          <w:pPr>
                            <w:pStyle w:val="WitregelW2"/>
                            <w:rPr>
                              <w:color w:val="00B050"/>
                              <w:lang w:val="de-DE"/>
                            </w:rPr>
                          </w:pPr>
                        </w:p>
                        <w:p w14:paraId="5D231CBF" w14:textId="77777777" w:rsidR="00433B2C" w:rsidRDefault="001642B1">
                          <w:pPr>
                            <w:pStyle w:val="Kopjereferentiegegevens"/>
                          </w:pPr>
                          <w:r>
                            <w:t>Kenmerk</w:t>
                          </w:r>
                        </w:p>
                        <w:p w14:paraId="2712AF1E" w14:textId="028FCB05" w:rsidR="00433B2C" w:rsidRDefault="00CF7F76">
                          <w:pPr>
                            <w:pStyle w:val="Referentiegegevens"/>
                          </w:pPr>
                          <w:r>
                            <w:fldChar w:fldCharType="begin"/>
                          </w:r>
                          <w:r>
                            <w:instrText xml:space="preserve"> DOCPROPERTY  "Kenmerk"  \* MERGEFORMAT </w:instrText>
                          </w:r>
                          <w:r>
                            <w:fldChar w:fldCharType="separate"/>
                          </w:r>
                          <w:r>
                            <w:t>2022-0000475196</w:t>
                          </w:r>
                          <w:r>
                            <w:fldChar w:fldCharType="end"/>
                          </w:r>
                        </w:p>
                        <w:p w14:paraId="12D4E2AD" w14:textId="77777777" w:rsidR="00433B2C" w:rsidRDefault="00433B2C">
                          <w:pPr>
                            <w:pStyle w:val="WitregelW1"/>
                          </w:pPr>
                        </w:p>
                        <w:p w14:paraId="0C08B2FC" w14:textId="77777777" w:rsidR="00433B2C" w:rsidRDefault="001642B1">
                          <w:pPr>
                            <w:pStyle w:val="Kopjereferentiegegevens"/>
                          </w:pPr>
                          <w:r>
                            <w:t>Uw kenmerk</w:t>
                          </w:r>
                        </w:p>
                        <w:p w14:paraId="05902176" w14:textId="77777777" w:rsidR="00F141A2" w:rsidRDefault="00F141A2">
                          <w:pPr>
                            <w:pStyle w:val="Referentiegegevens"/>
                          </w:pPr>
                          <w:r>
                            <w:t>Kamerstuk 36079, nr. 2</w:t>
                          </w:r>
                        </w:p>
                        <w:p w14:paraId="44C72080" w14:textId="0D458AC5" w:rsidR="00433B2C" w:rsidRDefault="00F141A2">
                          <w:pPr>
                            <w:pStyle w:val="Referentiegegevens"/>
                          </w:pPr>
                          <w:r>
                            <w:t>Kamerstuk 35851, nr. 11</w:t>
                          </w:r>
                          <w:r w:rsidR="001642B1">
                            <w:fldChar w:fldCharType="begin"/>
                          </w:r>
                          <w:r w:rsidR="001642B1">
                            <w:instrText xml:space="preserve"> DOCPROPERTY  "UwKenmerk"  \* MERGEFORMAT </w:instrText>
                          </w:r>
                          <w:r w:rsidR="001642B1">
                            <w:fldChar w:fldCharType="end"/>
                          </w:r>
                        </w:p>
                      </w:txbxContent>
                    </wps:txbx>
                    <wps:bodyPr vert="horz" wrap="square" lIns="0" tIns="0" rIns="0" bIns="0" anchor="t" anchorCtr="0"/>
                  </wps:wsp>
                </a:graphicData>
              </a:graphic>
            </wp:anchor>
          </w:drawing>
        </mc:Choice>
        <mc:Fallback>
          <w:pict>
            <v:shape w14:anchorId="38D1C823"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0CC6F0AC" w14:textId="77777777" w:rsidR="00433B2C" w:rsidRPr="00802CA8" w:rsidRDefault="001642B1">
                    <w:pPr>
                      <w:pStyle w:val="Afzendgegevens"/>
                      <w:rPr>
                        <w:b/>
                      </w:rPr>
                    </w:pPr>
                    <w:r w:rsidRPr="00802CA8">
                      <w:rPr>
                        <w:b/>
                      </w:rPr>
                      <w:t>Ministerie van Binnenlandse Zaken en Koninkrijksrelaties</w:t>
                    </w:r>
                  </w:p>
                  <w:p w14:paraId="470BA1B8" w14:textId="77777777" w:rsidR="00433B2C" w:rsidRDefault="00433B2C">
                    <w:pPr>
                      <w:pStyle w:val="WitregelW1"/>
                    </w:pPr>
                  </w:p>
                  <w:p w14:paraId="2447E244" w14:textId="77777777" w:rsidR="00433B2C" w:rsidRDefault="00433B2C">
                    <w:pPr>
                      <w:pStyle w:val="WitregelW1"/>
                    </w:pPr>
                  </w:p>
                  <w:p w14:paraId="74C01D0C" w14:textId="77777777" w:rsidR="00433B2C" w:rsidRPr="00B63847" w:rsidRDefault="001642B1">
                    <w:pPr>
                      <w:pStyle w:val="Afzendgegevens"/>
                      <w:rPr>
                        <w:lang w:val="de-DE"/>
                      </w:rPr>
                    </w:pPr>
                    <w:r w:rsidRPr="00B63847">
                      <w:rPr>
                        <w:lang w:val="de-DE"/>
                      </w:rPr>
                      <w:t>Turfmarkt 147</w:t>
                    </w:r>
                  </w:p>
                  <w:p w14:paraId="0927471B" w14:textId="77777777" w:rsidR="00433B2C" w:rsidRPr="00B63847" w:rsidRDefault="001642B1">
                    <w:pPr>
                      <w:pStyle w:val="Afzendgegevens"/>
                      <w:rPr>
                        <w:lang w:val="de-DE"/>
                      </w:rPr>
                    </w:pPr>
                    <w:r w:rsidRPr="00B63847">
                      <w:rPr>
                        <w:lang w:val="de-DE"/>
                      </w:rPr>
                      <w:t>Den Haag</w:t>
                    </w:r>
                  </w:p>
                  <w:p w14:paraId="42DF8018" w14:textId="77777777" w:rsidR="00433B2C" w:rsidRPr="00B63847" w:rsidRDefault="001642B1">
                    <w:pPr>
                      <w:pStyle w:val="Afzendgegevens"/>
                      <w:rPr>
                        <w:lang w:val="de-DE"/>
                      </w:rPr>
                    </w:pPr>
                    <w:r w:rsidRPr="00B63847">
                      <w:rPr>
                        <w:lang w:val="de-DE"/>
                      </w:rPr>
                      <w:t>Postbus 20011</w:t>
                    </w:r>
                  </w:p>
                  <w:p w14:paraId="1341F5C8" w14:textId="77777777" w:rsidR="00433B2C" w:rsidRPr="00802CA8" w:rsidRDefault="001642B1">
                    <w:pPr>
                      <w:pStyle w:val="Afzendgegevens"/>
                      <w:rPr>
                        <w:lang w:val="de-DE"/>
                      </w:rPr>
                    </w:pPr>
                    <w:r w:rsidRPr="00B63847">
                      <w:rPr>
                        <w:lang w:val="de-DE"/>
                      </w:rPr>
                      <w:t xml:space="preserve">2500 </w:t>
                    </w:r>
                    <w:proofErr w:type="gramStart"/>
                    <w:r w:rsidRPr="00B63847">
                      <w:rPr>
                        <w:lang w:val="de-DE"/>
                      </w:rPr>
                      <w:t xml:space="preserve">EA  </w:t>
                    </w:r>
                    <w:r w:rsidRPr="00802CA8">
                      <w:rPr>
                        <w:lang w:val="de-DE"/>
                      </w:rPr>
                      <w:t>Den</w:t>
                    </w:r>
                    <w:proofErr w:type="gramEnd"/>
                    <w:r w:rsidRPr="00802CA8">
                      <w:rPr>
                        <w:lang w:val="de-DE"/>
                      </w:rPr>
                      <w:t xml:space="preserve"> Haag</w:t>
                    </w:r>
                  </w:p>
                  <w:p w14:paraId="6E345B72" w14:textId="77777777" w:rsidR="00433B2C" w:rsidRPr="00802CA8" w:rsidRDefault="00433B2C">
                    <w:pPr>
                      <w:pStyle w:val="WitregelW1"/>
                      <w:rPr>
                        <w:lang w:val="de-DE"/>
                      </w:rPr>
                    </w:pPr>
                  </w:p>
                  <w:p w14:paraId="744A3012" w14:textId="77777777" w:rsidR="00433B2C" w:rsidRPr="00087378" w:rsidRDefault="00433B2C">
                    <w:pPr>
                      <w:pStyle w:val="WitregelW2"/>
                      <w:rPr>
                        <w:color w:val="00B050"/>
                        <w:lang w:val="de-DE"/>
                      </w:rPr>
                    </w:pPr>
                  </w:p>
                  <w:p w14:paraId="5D231CBF" w14:textId="77777777" w:rsidR="00433B2C" w:rsidRDefault="001642B1">
                    <w:pPr>
                      <w:pStyle w:val="Kopjereferentiegegevens"/>
                    </w:pPr>
                    <w:r>
                      <w:t>Kenmerk</w:t>
                    </w:r>
                  </w:p>
                  <w:p w14:paraId="2712AF1E" w14:textId="028FCB05" w:rsidR="00433B2C" w:rsidRDefault="00CF7F76">
                    <w:pPr>
                      <w:pStyle w:val="Referentiegegevens"/>
                    </w:pPr>
                    <w:r>
                      <w:fldChar w:fldCharType="begin"/>
                    </w:r>
                    <w:r>
                      <w:instrText xml:space="preserve"> DOCPROPERTY  "Kenmerk"  \* MERGEFORMAT </w:instrText>
                    </w:r>
                    <w:r>
                      <w:fldChar w:fldCharType="separate"/>
                    </w:r>
                    <w:r>
                      <w:t>2022-0000475196</w:t>
                    </w:r>
                    <w:r>
                      <w:fldChar w:fldCharType="end"/>
                    </w:r>
                  </w:p>
                  <w:p w14:paraId="12D4E2AD" w14:textId="77777777" w:rsidR="00433B2C" w:rsidRDefault="00433B2C">
                    <w:pPr>
                      <w:pStyle w:val="WitregelW1"/>
                    </w:pPr>
                  </w:p>
                  <w:p w14:paraId="0C08B2FC" w14:textId="77777777" w:rsidR="00433B2C" w:rsidRDefault="001642B1">
                    <w:pPr>
                      <w:pStyle w:val="Kopjereferentiegegevens"/>
                    </w:pPr>
                    <w:r>
                      <w:t>Uw kenmerk</w:t>
                    </w:r>
                  </w:p>
                  <w:p w14:paraId="05902176" w14:textId="77777777" w:rsidR="00F141A2" w:rsidRDefault="00F141A2">
                    <w:pPr>
                      <w:pStyle w:val="Referentiegegevens"/>
                    </w:pPr>
                    <w:r>
                      <w:t>Kamerstuk 36079, nr. 2</w:t>
                    </w:r>
                  </w:p>
                  <w:p w14:paraId="44C72080" w14:textId="0D458AC5" w:rsidR="00433B2C" w:rsidRDefault="00F141A2">
                    <w:pPr>
                      <w:pStyle w:val="Referentiegegevens"/>
                    </w:pPr>
                    <w:r>
                      <w:t>Kamerstuk 35851, nr. 11</w:t>
                    </w:r>
                    <w:r w:rsidR="001642B1">
                      <w:fldChar w:fldCharType="begin"/>
                    </w:r>
                    <w:r w:rsidR="001642B1">
                      <w:instrText xml:space="preserve"> DOCPROPERTY  "UwKenmerk"  \* MERGEFORMAT </w:instrText>
                    </w:r>
                    <w:r w:rsidR="001642B1">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FBF53F" wp14:editId="3DFC64FA">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71C035A" w14:textId="70AA0FDA" w:rsidR="00433B2C" w:rsidRDefault="001642B1">
                          <w:pPr>
                            <w:pStyle w:val="Referentiegegevens"/>
                          </w:pPr>
                          <w:r>
                            <w:t xml:space="preserve">Pagina </w:t>
                          </w:r>
                          <w:r>
                            <w:fldChar w:fldCharType="begin"/>
                          </w:r>
                          <w:r>
                            <w:instrText>PAGE</w:instrText>
                          </w:r>
                          <w:r>
                            <w:fldChar w:fldCharType="separate"/>
                          </w:r>
                          <w:r w:rsidR="003E1E98">
                            <w:rPr>
                              <w:noProof/>
                            </w:rPr>
                            <w:t>1</w:t>
                          </w:r>
                          <w:r>
                            <w:fldChar w:fldCharType="end"/>
                          </w:r>
                          <w:r>
                            <w:t xml:space="preserve"> van </w:t>
                          </w:r>
                          <w:r>
                            <w:fldChar w:fldCharType="begin"/>
                          </w:r>
                          <w:r>
                            <w:instrText>NUMPAGES</w:instrText>
                          </w:r>
                          <w:r>
                            <w:fldChar w:fldCharType="separate"/>
                          </w:r>
                          <w:r w:rsidR="003E1E98">
                            <w:rPr>
                              <w:noProof/>
                            </w:rPr>
                            <w:t>2</w:t>
                          </w:r>
                          <w:r>
                            <w:fldChar w:fldCharType="end"/>
                          </w:r>
                        </w:p>
                      </w:txbxContent>
                    </wps:txbx>
                    <wps:bodyPr vert="horz" wrap="square" lIns="0" tIns="0" rIns="0" bIns="0" anchor="t" anchorCtr="0"/>
                  </wps:wsp>
                </a:graphicData>
              </a:graphic>
            </wp:anchor>
          </w:drawing>
        </mc:Choice>
        <mc:Fallback>
          <w:pict>
            <v:shape w14:anchorId="55FBF53F"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71C035A" w14:textId="70AA0FDA" w:rsidR="00433B2C" w:rsidRDefault="001642B1">
                    <w:pPr>
                      <w:pStyle w:val="Referentiegegevens"/>
                    </w:pPr>
                    <w:r>
                      <w:t xml:space="preserve">Pagina </w:t>
                    </w:r>
                    <w:r>
                      <w:fldChar w:fldCharType="begin"/>
                    </w:r>
                    <w:r>
                      <w:instrText>PAGE</w:instrText>
                    </w:r>
                    <w:r>
                      <w:fldChar w:fldCharType="separate"/>
                    </w:r>
                    <w:r w:rsidR="003E1E98">
                      <w:rPr>
                        <w:noProof/>
                      </w:rPr>
                      <w:t>1</w:t>
                    </w:r>
                    <w:r>
                      <w:fldChar w:fldCharType="end"/>
                    </w:r>
                    <w:r>
                      <w:t xml:space="preserve"> van </w:t>
                    </w:r>
                    <w:r>
                      <w:fldChar w:fldCharType="begin"/>
                    </w:r>
                    <w:r>
                      <w:instrText>NUMPAGES</w:instrText>
                    </w:r>
                    <w:r>
                      <w:fldChar w:fldCharType="separate"/>
                    </w:r>
                    <w:r w:rsidR="003E1E98">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BAA4AA" wp14:editId="114BB912">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6A89CB03" w14:textId="77777777" w:rsidR="00720F79" w:rsidRDefault="00720F79"/>
                      </w:txbxContent>
                    </wps:txbx>
                    <wps:bodyPr vert="horz" wrap="square" lIns="0" tIns="0" rIns="0" bIns="0" anchor="t" anchorCtr="0"/>
                  </wps:wsp>
                </a:graphicData>
              </a:graphic>
            </wp:anchor>
          </w:drawing>
        </mc:Choice>
        <mc:Fallback>
          <w:pict>
            <v:shape w14:anchorId="16BAA4AA"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6A89CB03" w14:textId="77777777" w:rsidR="00720F79" w:rsidRDefault="00720F79"/>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21079A91" wp14:editId="3BC17AE7">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40A6E0C0" w14:textId="77777777" w:rsidR="00720F79" w:rsidRDefault="00720F79"/>
                      </w:txbxContent>
                    </wps:txbx>
                    <wps:bodyPr vert="horz" wrap="square" lIns="0" tIns="0" rIns="0" bIns="0" anchor="t" anchorCtr="0"/>
                  </wps:wsp>
                </a:graphicData>
              </a:graphic>
            </wp:anchor>
          </w:drawing>
        </mc:Choice>
        <mc:Fallback>
          <w:pict>
            <v:shape w14:anchorId="21079A91"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40A6E0C0" w14:textId="77777777" w:rsidR="00720F79" w:rsidRDefault="00720F7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27AAD"/>
    <w:multiLevelType w:val="multilevel"/>
    <w:tmpl w:val="6251315C"/>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BA34AD"/>
    <w:multiLevelType w:val="multilevel"/>
    <w:tmpl w:val="FAF93BC2"/>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79A5C6"/>
    <w:multiLevelType w:val="multilevel"/>
    <w:tmpl w:val="BA6EAE2B"/>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BC263E"/>
    <w:multiLevelType w:val="multilevel"/>
    <w:tmpl w:val="6AE617F6"/>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2641B9"/>
    <w:multiLevelType w:val="multilevel"/>
    <w:tmpl w:val="DCFAA5B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B1C22E5"/>
    <w:multiLevelType w:val="multilevel"/>
    <w:tmpl w:val="AA3D45C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0D36607"/>
    <w:multiLevelType w:val="multilevel"/>
    <w:tmpl w:val="52215AD2"/>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686274F"/>
    <w:multiLevelType w:val="multilevel"/>
    <w:tmpl w:val="8CA5ADC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06001EA"/>
    <w:multiLevelType w:val="multilevel"/>
    <w:tmpl w:val="493CDACC"/>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19DED09"/>
    <w:multiLevelType w:val="multilevel"/>
    <w:tmpl w:val="E9F3CD20"/>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42AE420"/>
    <w:multiLevelType w:val="multilevel"/>
    <w:tmpl w:val="92600054"/>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B94DD088"/>
    <w:multiLevelType w:val="multilevel"/>
    <w:tmpl w:val="4A39AB18"/>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BC95F7FE"/>
    <w:multiLevelType w:val="multilevel"/>
    <w:tmpl w:val="64DFC23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C7C652D3"/>
    <w:multiLevelType w:val="multilevel"/>
    <w:tmpl w:val="0E95B74A"/>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43BC9AC"/>
    <w:multiLevelType w:val="multilevel"/>
    <w:tmpl w:val="E14F69B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5F3FA75"/>
    <w:multiLevelType w:val="multilevel"/>
    <w:tmpl w:val="3963360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B6B12A0"/>
    <w:multiLevelType w:val="multilevel"/>
    <w:tmpl w:val="3937B2E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EBFB29A1"/>
    <w:multiLevelType w:val="multilevel"/>
    <w:tmpl w:val="E7EECFE3"/>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ECF24E0F"/>
    <w:multiLevelType w:val="multilevel"/>
    <w:tmpl w:val="C2354A46"/>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FC514B"/>
    <w:multiLevelType w:val="multilevel"/>
    <w:tmpl w:val="5AD54FD5"/>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9366DB"/>
    <w:multiLevelType w:val="multilevel"/>
    <w:tmpl w:val="2CE7484B"/>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B3D2B0"/>
    <w:multiLevelType w:val="multilevel"/>
    <w:tmpl w:val="49B11A2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710F85"/>
    <w:multiLevelType w:val="multilevel"/>
    <w:tmpl w:val="52E8E3E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699EE0"/>
    <w:multiLevelType w:val="multilevel"/>
    <w:tmpl w:val="B6EFEF8A"/>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9FA0FA"/>
    <w:multiLevelType w:val="multilevel"/>
    <w:tmpl w:val="9BEF876C"/>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B07A9B"/>
    <w:multiLevelType w:val="multilevel"/>
    <w:tmpl w:val="8BDC37C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3742D7"/>
    <w:multiLevelType w:val="multilevel"/>
    <w:tmpl w:val="DAF7DCD1"/>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5B1678"/>
    <w:multiLevelType w:val="multilevel"/>
    <w:tmpl w:val="D5DC0A6B"/>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91EEC2"/>
    <w:multiLevelType w:val="multilevel"/>
    <w:tmpl w:val="2F65D68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C52148"/>
    <w:multiLevelType w:val="multilevel"/>
    <w:tmpl w:val="2795E880"/>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F35F6F"/>
    <w:multiLevelType w:val="multilevel"/>
    <w:tmpl w:val="823E16D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AD79D6"/>
    <w:multiLevelType w:val="multilevel"/>
    <w:tmpl w:val="6ACA44CD"/>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FD3BBC"/>
    <w:multiLevelType w:val="multilevel"/>
    <w:tmpl w:val="38DB79E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843565"/>
    <w:multiLevelType w:val="multilevel"/>
    <w:tmpl w:val="B5D783A2"/>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9D27E3"/>
    <w:multiLevelType w:val="multilevel"/>
    <w:tmpl w:val="1C1EEAD9"/>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2"/>
  </w:num>
  <w:num w:numId="3">
    <w:abstractNumId w:val="9"/>
  </w:num>
  <w:num w:numId="4">
    <w:abstractNumId w:val="19"/>
  </w:num>
  <w:num w:numId="5">
    <w:abstractNumId w:val="8"/>
  </w:num>
  <w:num w:numId="6">
    <w:abstractNumId w:val="11"/>
  </w:num>
  <w:num w:numId="7">
    <w:abstractNumId w:val="27"/>
  </w:num>
  <w:num w:numId="8">
    <w:abstractNumId w:val="29"/>
  </w:num>
  <w:num w:numId="9">
    <w:abstractNumId w:val="17"/>
  </w:num>
  <w:num w:numId="10">
    <w:abstractNumId w:val="5"/>
  </w:num>
  <w:num w:numId="11">
    <w:abstractNumId w:val="21"/>
  </w:num>
  <w:num w:numId="12">
    <w:abstractNumId w:val="28"/>
  </w:num>
  <w:num w:numId="13">
    <w:abstractNumId w:val="24"/>
  </w:num>
  <w:num w:numId="14">
    <w:abstractNumId w:val="30"/>
  </w:num>
  <w:num w:numId="15">
    <w:abstractNumId w:val="6"/>
  </w:num>
  <w:num w:numId="16">
    <w:abstractNumId w:val="31"/>
  </w:num>
  <w:num w:numId="17">
    <w:abstractNumId w:val="18"/>
  </w:num>
  <w:num w:numId="18">
    <w:abstractNumId w:val="3"/>
  </w:num>
  <w:num w:numId="19">
    <w:abstractNumId w:val="34"/>
  </w:num>
  <w:num w:numId="20">
    <w:abstractNumId w:val="0"/>
  </w:num>
  <w:num w:numId="21">
    <w:abstractNumId w:val="33"/>
  </w:num>
  <w:num w:numId="22">
    <w:abstractNumId w:val="20"/>
  </w:num>
  <w:num w:numId="23">
    <w:abstractNumId w:val="25"/>
  </w:num>
  <w:num w:numId="24">
    <w:abstractNumId w:val="23"/>
  </w:num>
  <w:num w:numId="25">
    <w:abstractNumId w:val="13"/>
  </w:num>
  <w:num w:numId="26">
    <w:abstractNumId w:val="16"/>
  </w:num>
  <w:num w:numId="27">
    <w:abstractNumId w:val="1"/>
  </w:num>
  <w:num w:numId="28">
    <w:abstractNumId w:val="10"/>
  </w:num>
  <w:num w:numId="29">
    <w:abstractNumId w:val="26"/>
  </w:num>
  <w:num w:numId="30">
    <w:abstractNumId w:val="14"/>
  </w:num>
  <w:num w:numId="31">
    <w:abstractNumId w:val="15"/>
  </w:num>
  <w:num w:numId="32">
    <w:abstractNumId w:val="12"/>
  </w:num>
  <w:num w:numId="33">
    <w:abstractNumId w:val="4"/>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B2C"/>
    <w:rsid w:val="000816B5"/>
    <w:rsid w:val="00087378"/>
    <w:rsid w:val="0010242D"/>
    <w:rsid w:val="001642B1"/>
    <w:rsid w:val="001978B7"/>
    <w:rsid w:val="00197EF2"/>
    <w:rsid w:val="00260520"/>
    <w:rsid w:val="00311561"/>
    <w:rsid w:val="003E1E98"/>
    <w:rsid w:val="00433B2C"/>
    <w:rsid w:val="00453D86"/>
    <w:rsid w:val="00720F79"/>
    <w:rsid w:val="00784504"/>
    <w:rsid w:val="00802CA8"/>
    <w:rsid w:val="00845CF7"/>
    <w:rsid w:val="00B63847"/>
    <w:rsid w:val="00CF7F76"/>
    <w:rsid w:val="00E715F0"/>
    <w:rsid w:val="00F14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16068DE"/>
  <w15:docId w15:val="{04CCA819-B9F6-4B32-B229-AB9C4E5F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802C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2CA8"/>
    <w:rPr>
      <w:rFonts w:ascii="Verdana" w:hAnsi="Verdana"/>
      <w:color w:val="000000"/>
      <w:sz w:val="18"/>
      <w:szCs w:val="18"/>
    </w:rPr>
  </w:style>
  <w:style w:type="paragraph" w:styleId="Voettekst">
    <w:name w:val="footer"/>
    <w:basedOn w:val="Standaard"/>
    <w:link w:val="VoettekstChar"/>
    <w:uiPriority w:val="99"/>
    <w:unhideWhenUsed/>
    <w:rsid w:val="00802C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2CA8"/>
    <w:rPr>
      <w:rFonts w:ascii="Verdana" w:hAnsi="Verdana"/>
      <w:color w:val="000000"/>
      <w:sz w:val="18"/>
      <w:szCs w:val="18"/>
    </w:rPr>
  </w:style>
  <w:style w:type="paragraph" w:styleId="Voetnoottekst">
    <w:name w:val="footnote text"/>
    <w:basedOn w:val="Standaard"/>
    <w:link w:val="VoetnoottekstChar"/>
    <w:uiPriority w:val="99"/>
    <w:semiHidden/>
    <w:unhideWhenUsed/>
    <w:rsid w:val="000816B5"/>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0816B5"/>
    <w:rPr>
      <w:rFonts w:ascii="Verdana" w:hAnsi="Verdana"/>
      <w:color w:val="000000"/>
    </w:rPr>
  </w:style>
  <w:style w:type="character" w:styleId="Voetnootmarkering">
    <w:name w:val="footnote reference"/>
    <w:basedOn w:val="Standaardalinea-lettertype"/>
    <w:uiPriority w:val="99"/>
    <w:semiHidden/>
    <w:unhideWhenUsed/>
    <w:rsid w:val="000816B5"/>
    <w:rPr>
      <w:vertAlign w:val="superscript"/>
    </w:rPr>
  </w:style>
  <w:style w:type="paragraph" w:styleId="Ballontekst">
    <w:name w:val="Balloon Text"/>
    <w:basedOn w:val="Standaard"/>
    <w:link w:val="BallontekstChar"/>
    <w:uiPriority w:val="99"/>
    <w:semiHidden/>
    <w:unhideWhenUsed/>
    <w:rsid w:val="00F141A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141A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29989">
      <w:bodyDiv w:val="1"/>
      <w:marLeft w:val="0"/>
      <w:marRight w:val="0"/>
      <w:marTop w:val="0"/>
      <w:marBottom w:val="0"/>
      <w:divBdr>
        <w:top w:val="none" w:sz="0" w:space="0" w:color="auto"/>
        <w:left w:val="none" w:sz="0" w:space="0" w:color="auto"/>
        <w:bottom w:val="none" w:sz="0" w:space="0" w:color="auto"/>
        <w:right w:val="none" w:sz="0" w:space="0" w:color="auto"/>
      </w:divBdr>
    </w:div>
    <w:div w:id="1012416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447</ap:Words>
  <ap:Characters>2464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2022-08-24T12:27:00.0000000Z</dcterms:created>
  <dcterms:modified xsi:type="dcterms:W3CDTF">2022-09-01T07:37:00.0000000Z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Initiatiefnota van het lid Omtzigt over voorstellen ter aanmoediging van het melden van misstanden en ter verbetering van bescherming van klokkenluiders (36079, nr. 2) en de brief van 29 juni 2022 (3585</vt:lpwstr>
  </property>
  <property fmtid="{D5CDD505-2E9C-101B-9397-08002B2CF9AE}" pid="4" name="Datum">
    <vt:lpwstr>24 augustus 2022</vt:lpwstr>
  </property>
  <property fmtid="{D5CDD505-2E9C-101B-9397-08002B2CF9AE}" pid="5" name="Docgensjabloon">
    <vt:lpwstr>DocGen_Brief_nl_NL</vt:lpwstr>
  </property>
  <property fmtid="{D5CDD505-2E9C-101B-9397-08002B2CF9AE}" pid="6" name="Aan">
    <vt:lpwstr>de Voorzitter van de Tweede Kamer der Staten-Generaal_x000d_
Postbus 20018_x000d_
2500 EA  Den Haag</vt:lpwstr>
  </property>
  <property fmtid="{D5CDD505-2E9C-101B-9397-08002B2CF9AE}" pid="7" name="Kenmerk">
    <vt:lpwstr>2022-0000475196</vt:lpwstr>
  </property>
  <property fmtid="{D5CDD505-2E9C-101B-9397-08002B2CF9AE}" pid="8" name="UwKenmerk">
    <vt:lpwstr/>
  </property>
</Properties>
</file>