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C7F0B" w:rsidP="00AC7F0B" w:rsidRDefault="00AC7F0B" w14:paraId="07EA3110" w14:textId="77777777">
      <w:pPr>
        <w:pStyle w:val="PlatteTekst"/>
        <w:rPr>
          <w:szCs w:val="18"/>
        </w:rPr>
        <w:sectPr w:rsidRPr="002B3C7E" w:rsidR="00AC7F0B" w:rsidSect="00AE39FC">
          <w:headerReference w:type="default" r:id="rId10"/>
          <w:footerReference w:type="default" r:id="rId11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2C46CABA" wp14:anchorId="02024612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F0B" w:rsidP="00AC7F0B" w:rsidRDefault="0037159D" w14:paraId="2F8A79FF" w14:textId="1480548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OCW</w:t>
                            </w:r>
                          </w:p>
                          <w:p w:rsidR="00AC7F0B" w:rsidP="00AC7F0B" w:rsidRDefault="00AC7F0B" w14:paraId="6E76F5F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C7F0B" w:rsidP="00AC7F0B" w:rsidRDefault="00AC7F0B" w14:paraId="64C6E5C3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C7F0B" w:rsidP="00AC7F0B" w:rsidRDefault="001E3B0A" w14:paraId="3D694C5F" w14:textId="6AD6725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31 augustus</w:t>
                            </w:r>
                            <w:r w:rsidR="00AC7F0B">
                              <w:t xml:space="preserve"> 2022</w:t>
                            </w:r>
                          </w:p>
                          <w:p w:rsidR="00AC7F0B" w:rsidP="00AC7F0B" w:rsidRDefault="00AC7F0B" w14:paraId="0BA3ACE2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C7F0B" w:rsidP="00AC7F0B" w:rsidRDefault="00AC7F0B" w14:paraId="212C21CF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AC7F0B" w:rsidP="00AC7F0B" w:rsidRDefault="00AC7F0B" w14:paraId="3519D58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024612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AC7F0B" w:rsidP="00AC7F0B" w:rsidRDefault="0037159D" w14:paraId="2F8A79FF" w14:textId="1480548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OCW</w:t>
                      </w:r>
                    </w:p>
                    <w:p w:rsidR="00AC7F0B" w:rsidP="00AC7F0B" w:rsidRDefault="00AC7F0B" w14:paraId="6E76F5F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C7F0B" w:rsidP="00AC7F0B" w:rsidRDefault="00AC7F0B" w14:paraId="64C6E5C3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C7F0B" w:rsidP="00AC7F0B" w:rsidRDefault="001E3B0A" w14:paraId="3D694C5F" w14:textId="6AD6725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31 augustus</w:t>
                      </w:r>
                      <w:r w:rsidR="00AC7F0B">
                        <w:t xml:space="preserve"> 2022</w:t>
                      </w:r>
                    </w:p>
                    <w:p w:rsidR="00AC7F0B" w:rsidP="00AC7F0B" w:rsidRDefault="00AC7F0B" w14:paraId="0BA3ACE2" w14:textId="77777777">
                      <w:pPr>
                        <w:pStyle w:val="Huisstijl-Agendatitel"/>
                        <w:ind w:left="0" w:firstLine="0"/>
                      </w:pPr>
                    </w:p>
                    <w:p w:rsidR="00AC7F0B" w:rsidP="00AC7F0B" w:rsidRDefault="00AC7F0B" w14:paraId="212C21CF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AC7F0B" w:rsidP="00AC7F0B" w:rsidRDefault="00AC7F0B" w14:paraId="3519D58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CD8C493" wp14:anchorId="32DBFF2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F0B" w:rsidP="00AC7F0B" w:rsidRDefault="00AC7F0B" w14:paraId="48E51628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32DBFF2A">
                <v:path arrowok="t"/>
                <v:textbox inset="0,0,0,0">
                  <w:txbxContent>
                    <w:p w:rsidR="00AC7F0B" w:rsidP="00AC7F0B" w:rsidRDefault="00AC7F0B" w14:paraId="48E51628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AC7F0B" w:rsidP="00AC7F0B" w:rsidRDefault="00AC7F0B" w14:paraId="178FC7C4" w14:textId="77777777">
      <w:pPr>
        <w:rPr>
          <w:b/>
          <w:bCs/>
          <w:sz w:val="22"/>
        </w:rPr>
      </w:pPr>
      <w:r w:rsidRPr="6F912969">
        <w:rPr>
          <w:b/>
          <w:bCs/>
          <w:sz w:val="22"/>
        </w:rPr>
        <w:t xml:space="preserve">Lijst van nieuwe EU-voorstellen </w:t>
      </w:r>
    </w:p>
    <w:p w:rsidRPr="00E02D08" w:rsidR="00AC7F0B" w:rsidP="00AC7F0B" w:rsidRDefault="00AC7F0B" w14:paraId="01EF5C69" w14:textId="77777777">
      <w:pPr>
        <w:rPr>
          <w:b/>
          <w:sz w:val="22"/>
          <w:szCs w:val="18"/>
        </w:rPr>
      </w:pPr>
    </w:p>
    <w:p w:rsidRPr="00C95234" w:rsidR="00AC7F0B" w:rsidP="00AC7F0B" w:rsidRDefault="00AC7F0B" w14:paraId="56B8D015" w14:textId="4417B6BE">
      <w:pPr>
        <w:rPr>
          <w:sz w:val="16"/>
          <w:szCs w:val="16"/>
        </w:rPr>
      </w:pPr>
      <w:r w:rsidRPr="00C95234">
        <w:rPr>
          <w:sz w:val="16"/>
          <w:szCs w:val="16"/>
        </w:rPr>
        <w:t>De</w:t>
      </w:r>
      <w:r w:rsidRPr="00C95234">
        <w:rPr>
          <w:b/>
          <w:bCs/>
          <w:sz w:val="16"/>
          <w:szCs w:val="16"/>
        </w:rPr>
        <w:t xml:space="preserve"> </w:t>
      </w:r>
      <w:r w:rsidRPr="00C95234">
        <w:rPr>
          <w:sz w:val="16"/>
          <w:szCs w:val="16"/>
        </w:rPr>
        <w:t xml:space="preserve">Europese Commissie heeft in de periode tussen </w:t>
      </w:r>
      <w:r w:rsidR="00400028">
        <w:rPr>
          <w:b/>
          <w:sz w:val="16"/>
          <w:szCs w:val="16"/>
        </w:rPr>
        <w:t>23 juni</w:t>
      </w:r>
      <w:r>
        <w:rPr>
          <w:b/>
          <w:sz w:val="16"/>
          <w:szCs w:val="16"/>
        </w:rPr>
        <w:t xml:space="preserve"> </w:t>
      </w:r>
      <w:r w:rsidR="001E3B0A">
        <w:rPr>
          <w:b/>
          <w:sz w:val="16"/>
          <w:szCs w:val="16"/>
        </w:rPr>
        <w:t xml:space="preserve">en 31 augustus </w:t>
      </w:r>
      <w:r w:rsidRPr="00B149B1">
        <w:rPr>
          <w:b/>
          <w:sz w:val="16"/>
          <w:szCs w:val="16"/>
        </w:rPr>
        <w:t>2022</w:t>
      </w:r>
      <w:r>
        <w:rPr>
          <w:sz w:val="16"/>
          <w:szCs w:val="16"/>
        </w:rPr>
        <w:t xml:space="preserve"> </w:t>
      </w:r>
      <w:r w:rsidRPr="00C95234">
        <w:rPr>
          <w:sz w:val="16"/>
          <w:szCs w:val="16"/>
        </w:rPr>
        <w:t>de volgende voor deze vaste commissie</w:t>
      </w:r>
      <w:r w:rsidRPr="00C95234">
        <w:rPr>
          <w:b/>
          <w:bCs/>
          <w:sz w:val="16"/>
          <w:szCs w:val="16"/>
        </w:rPr>
        <w:t xml:space="preserve"> </w:t>
      </w:r>
      <w:r w:rsidRPr="00C95234">
        <w:rPr>
          <w:sz w:val="16"/>
          <w:szCs w:val="16"/>
        </w:rPr>
        <w:t>relevante voorstellen voor Europese wetgeving, besluiten en andere beleidsvormende documenten aan de Tweede Kamer gestuurd</w:t>
      </w:r>
      <w:r w:rsidRPr="00C95234">
        <w:rPr>
          <w:rStyle w:val="Voetnootmarkering"/>
          <w:sz w:val="16"/>
          <w:szCs w:val="16"/>
        </w:rPr>
        <w:footnoteReference w:id="1"/>
      </w:r>
      <w:r w:rsidRPr="00C95234">
        <w:rPr>
          <w:sz w:val="16"/>
          <w:szCs w:val="16"/>
        </w:rPr>
        <w:t xml:space="preserve">: </w:t>
      </w:r>
    </w:p>
    <w:p w:rsidRPr="00C95234" w:rsidR="00AC7F0B" w:rsidP="00AC7F0B" w:rsidRDefault="00AC7F0B" w14:paraId="72F4F6C6" w14:textId="77777777">
      <w:pPr>
        <w:rPr>
          <w:szCs w:val="18"/>
        </w:rPr>
      </w:pPr>
    </w:p>
    <w:p w:rsidRPr="009D7DCF" w:rsidR="009D7DCF" w:rsidP="00AC7F0B" w:rsidRDefault="00AC7F0B" w14:paraId="52502AC8" w14:textId="0C3C9AC9">
      <w:pPr>
        <w:pStyle w:val="Lijstalinea"/>
        <w:numPr>
          <w:ilvl w:val="0"/>
          <w:numId w:val="1"/>
        </w:numPr>
        <w:rPr>
          <w:b/>
          <w:bCs/>
        </w:rPr>
      </w:pPr>
      <w:r w:rsidRPr="6F912969">
        <w:rPr>
          <w:b/>
          <w:bCs/>
        </w:rPr>
        <w:t>Nieuw voorgestelde EU-wetgeving</w:t>
      </w:r>
      <w:r>
        <w:br/>
        <w:t>(Verordeningen, richtlijnen en wetgevende besluiten)</w:t>
      </w:r>
    </w:p>
    <w:p w:rsidR="00E53F85" w:rsidP="00AC7F0B" w:rsidRDefault="00E53F85" w14:paraId="003D24B7" w14:textId="65F85433">
      <w:pPr>
        <w:rPr>
          <w:b/>
          <w:szCs w:val="18"/>
        </w:rPr>
      </w:pPr>
      <w:r>
        <w:rPr>
          <w:b/>
          <w:szCs w:val="18"/>
        </w:rPr>
        <w:t>N.v.t.</w:t>
      </w:r>
    </w:p>
    <w:p w:rsidRPr="001B2E88" w:rsidR="00E53F85" w:rsidP="00AC7F0B" w:rsidRDefault="00E53F85" w14:paraId="5A71F52A" w14:textId="77777777">
      <w:pPr>
        <w:rPr>
          <w:b/>
          <w:szCs w:val="18"/>
        </w:rPr>
      </w:pPr>
    </w:p>
    <w:p w:rsidRPr="00C629D4" w:rsidR="009D7DCF" w:rsidP="00E53F85" w:rsidRDefault="00AC7F0B" w14:paraId="24F6A083" w14:textId="44F7848E">
      <w:pPr>
        <w:pStyle w:val="Lijstalinea"/>
        <w:numPr>
          <w:ilvl w:val="0"/>
          <w:numId w:val="1"/>
        </w:numPr>
        <w:rPr>
          <w:b/>
          <w:bCs/>
        </w:rPr>
      </w:pPr>
      <w:r w:rsidRPr="6F912969"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C629D4" w:rsidP="00C629D4" w:rsidRDefault="00C629D4" w14:paraId="1C65A888" w14:textId="77777777">
      <w:pPr>
        <w:rPr>
          <w:rFonts w:eastAsiaTheme="minorHAnsi"/>
          <w:szCs w:val="18"/>
        </w:rPr>
      </w:pPr>
    </w:p>
    <w:tbl>
      <w:tblPr>
        <w:tblW w:w="793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Pr="00B97B7B" w:rsidR="00B97B7B" w:rsidTr="00B97B7B" w14:paraId="776D6FD8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7B" w:rsidP="00B97B7B" w:rsidRDefault="00B97B7B" w14:paraId="02FF335D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7B" w:rsidP="00B97B7B" w:rsidRDefault="00B97B7B" w14:paraId="136234F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400028" w:rsidRDefault="00B97B7B" w14:paraId="39972B85" w14:textId="6B62DB9B">
            <w:pPr>
              <w:spacing w:after="240"/>
              <w:rPr>
                <w:szCs w:val="18"/>
              </w:rPr>
            </w:pPr>
            <w:r w:rsidRPr="00B97B7B">
              <w:rPr>
                <w:szCs w:val="18"/>
              </w:rPr>
              <w:t>V</w:t>
            </w:r>
            <w:r w:rsidR="00400028">
              <w:rPr>
                <w:szCs w:val="18"/>
              </w:rPr>
              <w:t xml:space="preserve">erslag van de Commissie aan het Europees Parlement en de Raad </w:t>
            </w:r>
            <w:r w:rsidRPr="00B97B7B">
              <w:rPr>
                <w:szCs w:val="18"/>
              </w:rPr>
              <w:t xml:space="preserve">Jaarverslag over de activiteiten van de Europese Unie op het gebied van onderzoek en technologische ontwikkeling en het toezicht op Horizon 2020 in 2021 </w:t>
            </w:r>
            <w:hyperlink w:history="1" r:id="rId12">
              <w:r w:rsidRPr="00B97B7B">
                <w:rPr>
                  <w:rStyle w:val="Hyperlink"/>
                  <w:szCs w:val="18"/>
                </w:rPr>
                <w:t>COM(2022)389</w:t>
              </w:r>
            </w:hyperlink>
          </w:p>
        </w:tc>
      </w:tr>
      <w:tr w:rsidR="00B97B7B" w:rsidTr="00B97B7B" w14:paraId="3B9508F1" w14:textId="77777777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B97B7B" w:rsidR="00B97B7B" w:rsidP="00B97B7B" w:rsidRDefault="00B97B7B" w14:paraId="3C68AC34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B97B7B" w:rsidRDefault="00B97B7B" w14:paraId="16A30EC0" w14:textId="2D4583F2">
            <w:pPr>
              <w:spacing w:after="240"/>
              <w:rPr>
                <w:szCs w:val="18"/>
              </w:rPr>
            </w:pPr>
            <w:r w:rsidRPr="00B97B7B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B97B7B" w:rsidRDefault="00B97B7B" w14:paraId="087996A6" w14:textId="106CA616">
            <w:pPr>
              <w:spacing w:after="240"/>
              <w:rPr>
                <w:bCs/>
                <w:szCs w:val="18"/>
              </w:rPr>
            </w:pPr>
            <w:r w:rsidRPr="00B97B7B">
              <w:rPr>
                <w:bCs/>
                <w:szCs w:val="18"/>
              </w:rPr>
              <w:t>Ter informatie</w:t>
            </w:r>
          </w:p>
        </w:tc>
      </w:tr>
      <w:tr w:rsidR="00B97B7B" w:rsidTr="00B97B7B" w14:paraId="0E0C057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97B7B" w:rsidP="00B97B7B" w:rsidRDefault="00B97B7B" w14:paraId="5F84C69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7B" w:rsidP="00B97B7B" w:rsidRDefault="00B97B7B" w14:paraId="03C35BD0" w14:textId="28BFE018">
            <w:pPr>
              <w:spacing w:after="240"/>
              <w:rPr>
                <w:szCs w:val="18"/>
              </w:rPr>
            </w:pPr>
            <w:r>
              <w:rPr>
                <w:color w:val="595959" w:themeColor="text1" w:themeTint="A6"/>
                <w:szCs w:val="20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63AEA" w:rsidR="00B97B7B" w:rsidP="00FD0657" w:rsidRDefault="00875286" w14:paraId="78A5DC94" w14:textId="700A1C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szCs w:val="18"/>
              </w:rPr>
              <w:t xml:space="preserve">Dit verslag </w:t>
            </w: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 xml:space="preserve">biedt een overzicht van de </w:t>
            </w:r>
            <w:r w:rsidR="00FD0657">
              <w:rPr>
                <w:color w:val="000000"/>
                <w:bdr w:val="none" w:color="auto" w:sz="0" w:space="0" w:frame="1"/>
                <w:shd w:val="clear" w:color="auto" w:fill="FFFFFF"/>
              </w:rPr>
              <w:t>voornaam</w:t>
            </w: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>ste activiteiten op gebied v</w:t>
            </w:r>
            <w:r w:rsidR="00FD0657">
              <w:rPr>
                <w:color w:val="000000"/>
                <w:bdr w:val="none" w:color="auto" w:sz="0" w:space="0" w:frame="1"/>
                <w:shd w:val="clear" w:color="auto" w:fill="FFFFFF"/>
              </w:rPr>
              <w:t xml:space="preserve">an onderzoek en innovatie in de EU </w:t>
            </w: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>in 2021 en het toezicht op Horizon Europa, Horizon 2020 en het Euratom-programma.</w:t>
            </w:r>
          </w:p>
        </w:tc>
      </w:tr>
    </w:tbl>
    <w:p w:rsidR="00C629D4" w:rsidP="00C629D4" w:rsidRDefault="00C629D4" w14:paraId="7E397446" w14:textId="77777777">
      <w:pPr>
        <w:rPr>
          <w:rFonts w:eastAsiaTheme="minorHAnsi"/>
          <w:szCs w:val="18"/>
        </w:rPr>
      </w:pPr>
    </w:p>
    <w:tbl>
      <w:tblPr>
        <w:tblW w:w="793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Pr="00EB06B5" w:rsidR="00EB06B5" w:rsidTr="00EB06B5" w14:paraId="69623A8C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B5" w:rsidP="00EB06B5" w:rsidRDefault="00EB06B5" w14:paraId="7D2E926B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B5" w:rsidP="00EB06B5" w:rsidRDefault="00EB06B5" w14:paraId="7EB40FC6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B06B5" w:rsidR="00EB06B5" w:rsidP="00400028" w:rsidRDefault="00EB06B5" w14:paraId="5CCE1757" w14:textId="3E80D389">
            <w:pPr>
              <w:spacing w:after="240"/>
              <w:rPr>
                <w:szCs w:val="18"/>
              </w:rPr>
            </w:pPr>
            <w:r w:rsidRPr="00EB06B5">
              <w:rPr>
                <w:szCs w:val="18"/>
              </w:rPr>
              <w:t xml:space="preserve">Voorstel voor een </w:t>
            </w:r>
            <w:r w:rsidR="00400028">
              <w:rPr>
                <w:szCs w:val="18"/>
              </w:rPr>
              <w:t>Aanbeveling van de Raad</w:t>
            </w:r>
            <w:r w:rsidRPr="00EB06B5">
              <w:rPr>
                <w:szCs w:val="18"/>
              </w:rPr>
              <w:t xml:space="preserve"> betreffende de leidende beginselen voor kennisvalorisatie </w:t>
            </w:r>
            <w:hyperlink w:history="1" r:id="rId13">
              <w:r w:rsidRPr="00EB06B5">
                <w:rPr>
                  <w:rStyle w:val="Hyperlink"/>
                  <w:szCs w:val="18"/>
                </w:rPr>
                <w:t>COM(2022)391</w:t>
              </w:r>
            </w:hyperlink>
          </w:p>
        </w:tc>
      </w:tr>
      <w:tr w:rsidR="00EB06B5" w:rsidTr="00EB06B5" w14:paraId="0F404874" w14:textId="77777777">
        <w:trPr>
          <w:trHeight w:val="60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EB06B5" w:rsidR="00EB06B5" w:rsidP="00EB06B5" w:rsidRDefault="00EB06B5" w14:paraId="786CF3C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B5" w:rsidP="00EB06B5" w:rsidRDefault="00EB06B5" w14:paraId="06D23C12" w14:textId="2749A7FC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B5" w:rsidP="00EB06B5" w:rsidRDefault="00F83A8E" w14:paraId="4A57395C" w14:textId="48EB3D1E">
            <w:pPr>
              <w:spacing w:after="240"/>
              <w:rPr>
                <w:b/>
                <w:bCs/>
                <w:szCs w:val="18"/>
              </w:rPr>
            </w:pPr>
            <w:r>
              <w:rPr>
                <w:bCs/>
                <w:szCs w:val="18"/>
              </w:rPr>
              <w:t>BNC-fiche afwachten en agenderen voor eerstvolgende SO (informele) OJCS Raad</w:t>
            </w:r>
          </w:p>
        </w:tc>
      </w:tr>
      <w:tr w:rsidR="00EB06B5" w:rsidTr="00EB06B5" w14:paraId="72ADCF89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EB06B5" w:rsidP="00EB06B5" w:rsidRDefault="00EB06B5" w14:paraId="30284F4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B5" w:rsidP="00EB06B5" w:rsidRDefault="00EB06B5" w14:paraId="0174A6B0" w14:textId="77777777">
            <w:pPr>
              <w:spacing w:after="240"/>
              <w:rPr>
                <w:color w:val="595959" w:themeColor="text1" w:themeTint="A6"/>
                <w:szCs w:val="20"/>
                <w:lang w:eastAsia="nl-NL"/>
              </w:rPr>
            </w:pPr>
          </w:p>
          <w:p w:rsidR="00EB06B5" w:rsidP="00EB06B5" w:rsidRDefault="00EB06B5" w14:paraId="1577098D" w14:textId="6FBEB00C">
            <w:pPr>
              <w:spacing w:after="240"/>
              <w:rPr>
                <w:szCs w:val="18"/>
              </w:rPr>
            </w:pPr>
            <w:r>
              <w:rPr>
                <w:color w:val="595959" w:themeColor="text1" w:themeTint="A6"/>
                <w:szCs w:val="20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259B5" w:rsidR="00EB06B5" w:rsidP="00FD0657" w:rsidRDefault="00073B09" w14:paraId="12B63221" w14:textId="6CEAA7B4">
            <w:pPr>
              <w:pStyle w:val="Geenafstand"/>
            </w:pPr>
            <w:r w:rsidRPr="002259B5">
              <w:t>Deze Raadsaanbeveling</w:t>
            </w:r>
            <w:r w:rsidR="00DB4937">
              <w:t>, die juridisch</w:t>
            </w:r>
            <w:r w:rsidR="002259B5">
              <w:t xml:space="preserve"> niet-verbindend is,</w:t>
            </w:r>
            <w:r w:rsidRPr="002259B5">
              <w:t xml:space="preserve"> </w:t>
            </w:r>
            <w:r w:rsidRPr="002259B5" w:rsidR="002259B5">
              <w:t>vervangt</w:t>
            </w:r>
            <w:r w:rsidRPr="002259B5">
              <w:t xml:space="preserve"> een </w:t>
            </w:r>
            <w:r w:rsidR="00DB4937">
              <w:t xml:space="preserve">bestaande </w:t>
            </w:r>
            <w:r w:rsidRPr="002259B5">
              <w:t>aanbeveling.</w:t>
            </w:r>
            <w:r w:rsidR="00DB4937">
              <w:t xml:space="preserve"> Het doel van de aanbeveling </w:t>
            </w:r>
            <w:r w:rsidRPr="00DB4937" w:rsidR="00DB4937">
              <w:t>is het vaststellen van een gemeenschappelijke lijn voor maatregelen en beleidsinitiatieven ter verbetering van de kennisvalorisatie in de EU</w:t>
            </w:r>
            <w:r w:rsidR="00DB4937">
              <w:t>.</w:t>
            </w:r>
            <w:r w:rsidRPr="002259B5">
              <w:t xml:space="preserve"> </w:t>
            </w:r>
            <w:r w:rsidRPr="002259B5" w:rsidR="002259B5">
              <w:t xml:space="preserve">Deze aanbeveling stond reeds aangekondigd in de op 26 november 2021 vastgestelde </w:t>
            </w:r>
            <w:r w:rsidR="00DB4937">
              <w:t>Raads</w:t>
            </w:r>
            <w:r w:rsidRPr="002259B5" w:rsidR="002259B5">
              <w:t xml:space="preserve">conclusies </w:t>
            </w:r>
            <w:r w:rsidR="00DB4937">
              <w:t>inzake</w:t>
            </w:r>
            <w:r w:rsidRPr="002259B5" w:rsidR="002259B5">
              <w:t xml:space="preserve"> de toekomstige </w:t>
            </w:r>
            <w:proofErr w:type="spellStart"/>
            <w:r w:rsidRPr="002259B5" w:rsidR="002259B5">
              <w:t>governance</w:t>
            </w:r>
            <w:proofErr w:type="spellEnd"/>
            <w:r w:rsidRPr="002259B5" w:rsidR="002259B5">
              <w:t xml:space="preserve"> van de Europese onderzoeksruimte.</w:t>
            </w:r>
          </w:p>
        </w:tc>
      </w:tr>
    </w:tbl>
    <w:p w:rsidR="00AF231E" w:rsidP="00AF231E" w:rsidRDefault="00AF231E" w14:paraId="53C3CE10" w14:textId="696DF685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AE63E5" w:rsidTr="00AF231E" w14:paraId="301AB34B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="00AE63E5" w:rsidP="00AE63E5" w:rsidRDefault="00AE63E5" w14:paraId="19C51102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  <w:tcBorders>
              <w:top w:val="single" w:color="D9D9D9" w:themeColor="background1" w:themeShade="D9" w:sz="4" w:space="0"/>
              <w:left w:val="nil"/>
              <w:bottom w:val="nil"/>
              <w:right w:val="nil"/>
            </w:tcBorders>
            <w:hideMark/>
          </w:tcPr>
          <w:p w:rsidR="00AE63E5" w:rsidP="00AE63E5" w:rsidRDefault="00AE63E5" w14:paraId="382A415C" w14:textId="7777777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Titel </w:t>
            </w:r>
          </w:p>
        </w:tc>
        <w:tc>
          <w:tcPr>
            <w:tcW w:w="6529" w:type="dxa"/>
            <w:tcBorders>
              <w:top w:val="single" w:color="D9D9D9" w:themeColor="background1" w:themeShade="D9" w:sz="4" w:space="0"/>
              <w:left w:val="nil"/>
              <w:bottom w:val="nil"/>
              <w:right w:val="single" w:color="D9D9D9" w:themeColor="background1" w:themeShade="D9" w:sz="4" w:space="0"/>
            </w:tcBorders>
            <w:hideMark/>
          </w:tcPr>
          <w:p w:rsidR="00AE63E5" w:rsidP="00400028" w:rsidRDefault="00AE63E5" w14:paraId="481A32C6" w14:textId="11B21EDD">
            <w:pPr>
              <w:spacing w:after="240"/>
              <w:rPr>
                <w:rFonts w:cs="Calibri"/>
              </w:rPr>
            </w:pPr>
            <w:r w:rsidRPr="00AE63E5">
              <w:rPr>
                <w:szCs w:val="18"/>
              </w:rPr>
              <w:t>V</w:t>
            </w:r>
            <w:r w:rsidR="00400028">
              <w:rPr>
                <w:szCs w:val="18"/>
              </w:rPr>
              <w:t xml:space="preserve">erslag van de Commissie aan het Europees Parlement, de Raad en het Europees Economisch en Sociaal Comité </w:t>
            </w:r>
            <w:r w:rsidRPr="00AE63E5">
              <w:rPr>
                <w:szCs w:val="18"/>
              </w:rPr>
              <w:t xml:space="preserve">over de toepassing van Verordening (EG) nr. 116/2009 van de Raad van 18 december 2008 betreffende de uitvoer van cultuurgoederen 1 januari 2018 tot en met 31 december 2020 </w:t>
            </w:r>
            <w:hyperlink w:history="1" r:id="rId14">
              <w:r w:rsidRPr="00AE63E5">
                <w:rPr>
                  <w:rStyle w:val="Hyperlink"/>
                  <w:szCs w:val="18"/>
                </w:rPr>
                <w:t>COM(2022)424</w:t>
              </w:r>
            </w:hyperlink>
          </w:p>
        </w:tc>
      </w:tr>
      <w:tr w:rsidR="00AE63E5" w:rsidTr="00AF231E" w14:paraId="2D7D9BE0" w14:textId="77777777">
        <w:tc>
          <w:tcPr>
            <w:tcW w:w="421" w:type="dxa"/>
            <w:vMerge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vAlign w:val="center"/>
            <w:hideMark/>
          </w:tcPr>
          <w:p w:rsidR="00AE63E5" w:rsidP="00AE63E5" w:rsidRDefault="00AE63E5" w14:paraId="0B5D042A" w14:textId="77777777">
            <w:pPr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3E5" w:rsidP="00AE63E5" w:rsidRDefault="00AE63E5" w14:paraId="0A75706A" w14:textId="77777777">
            <w:pPr>
              <w:spacing w:after="240"/>
              <w:rPr>
                <w:szCs w:val="18"/>
              </w:rPr>
            </w:pPr>
            <w:r>
              <w:t>Voorstel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single" w:color="D9D9D9" w:themeColor="background1" w:themeShade="D9" w:sz="4" w:space="0"/>
            </w:tcBorders>
            <w:hideMark/>
          </w:tcPr>
          <w:p w:rsidR="00AE63E5" w:rsidP="00AE63E5" w:rsidRDefault="00AE63E5" w14:paraId="56664BFA" w14:textId="64D3EFD8">
            <w:pPr>
              <w:spacing w:after="240"/>
              <w:rPr>
                <w:szCs w:val="18"/>
              </w:rPr>
            </w:pPr>
            <w:r w:rsidRPr="00B97B7B">
              <w:rPr>
                <w:bCs/>
                <w:szCs w:val="18"/>
              </w:rPr>
              <w:t>Ter informatie</w:t>
            </w:r>
          </w:p>
        </w:tc>
      </w:tr>
      <w:tr w:rsidR="00AE63E5" w:rsidTr="00AF231E" w14:paraId="22ACB7E5" w14:textId="77777777">
        <w:trPr>
          <w:trHeight w:val="70"/>
        </w:trPr>
        <w:tc>
          <w:tcPr>
            <w:tcW w:w="421" w:type="dxa"/>
            <w:vMerge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  <w:vAlign w:val="center"/>
            <w:hideMark/>
          </w:tcPr>
          <w:p w:rsidR="00AE63E5" w:rsidP="00AE63E5" w:rsidRDefault="00AE63E5" w14:paraId="46D1A2FC" w14:textId="77777777">
            <w:pPr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D9D9D9" w:themeColor="background1" w:themeShade="D9" w:sz="4" w:space="0"/>
              <w:right w:val="nil"/>
            </w:tcBorders>
            <w:hideMark/>
          </w:tcPr>
          <w:p w:rsidR="00AE63E5" w:rsidP="00AE63E5" w:rsidRDefault="00AE63E5" w14:paraId="736689BE" w14:textId="7777777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Noot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AE63E5" w:rsidP="00023AC7" w:rsidRDefault="00023AC7" w14:paraId="3FBF22F4" w14:textId="6930F5D6">
            <w:pPr>
              <w:rPr>
                <w:rFonts w:cstheme="minorBidi"/>
                <w:szCs w:val="18"/>
              </w:rPr>
            </w:pPr>
            <w:r>
              <w:rPr>
                <w:color w:val="000000"/>
                <w:shd w:val="clear" w:color="auto" w:fill="FFFFFF"/>
              </w:rPr>
              <w:t>Dit verslag bevat een overzicht van de toepassing van de Europese regeling van uitvoervergunningen voor cultuurgoederen.</w:t>
            </w:r>
          </w:p>
        </w:tc>
      </w:tr>
    </w:tbl>
    <w:p w:rsidR="009D7DCF" w:rsidP="009D7DCF" w:rsidRDefault="009D7DCF" w14:paraId="71A6E622" w14:textId="082057C2">
      <w:pPr>
        <w:rPr>
          <w:rFonts w:eastAsiaTheme="minorHAnsi"/>
          <w:szCs w:val="18"/>
        </w:rPr>
      </w:pPr>
    </w:p>
    <w:p w:rsidR="00400028" w:rsidP="009D7DCF" w:rsidRDefault="00400028" w14:paraId="5BD35C88" w14:textId="77777777">
      <w:pPr>
        <w:rPr>
          <w:rFonts w:eastAsiaTheme="minorHAnsi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400028" w:rsidR="009D7DCF" w:rsidTr="009D7DCF" w14:paraId="7ED581B8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00028" w:rsidR="009D7DCF" w:rsidP="009D7DCF" w:rsidRDefault="009D7DCF" w14:paraId="2AD79566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0028" w:rsidR="009D7DCF" w:rsidRDefault="009D7DCF" w14:paraId="2B8B2506" w14:textId="77777777">
            <w:pPr>
              <w:spacing w:after="240"/>
              <w:rPr>
                <w:szCs w:val="18"/>
              </w:rPr>
            </w:pPr>
            <w:r w:rsidRPr="00400028"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DCF" w:rsidP="003D315D" w:rsidRDefault="00A02494" w14:paraId="6150AE48" w14:textId="77777777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 w:rsidRPr="00400028">
              <w:rPr>
                <w:rFonts w:ascii="Verdana" w:hAnsi="Verdana"/>
                <w:sz w:val="18"/>
                <w:szCs w:val="18"/>
              </w:rPr>
              <w:t>V</w:t>
            </w:r>
            <w:r w:rsidR="00F83A8E">
              <w:rPr>
                <w:rFonts w:ascii="Verdana" w:hAnsi="Verdana"/>
                <w:sz w:val="18"/>
                <w:szCs w:val="18"/>
              </w:rPr>
              <w:t xml:space="preserve">erslag van de Commissie aan het Europees Parlement, de Raad, het Europees Economisch en Sociaal Comité en het Comité van de Regio’s </w:t>
            </w:r>
            <w:r w:rsidRPr="00400028">
              <w:rPr>
                <w:rFonts w:ascii="Verdana" w:hAnsi="Verdana"/>
                <w:sz w:val="18"/>
                <w:szCs w:val="18"/>
              </w:rPr>
              <w:t xml:space="preserve">over het werkplan voor cultuur 2019-2022 </w:t>
            </w:r>
            <w:hyperlink w:history="1" r:id="rId15">
              <w:r w:rsidRPr="003D315D">
                <w:rPr>
                  <w:rStyle w:val="Hyperlink"/>
                  <w:rFonts w:ascii="Verdana" w:hAnsi="Verdana"/>
                  <w:sz w:val="18"/>
                  <w:szCs w:val="18"/>
                </w:rPr>
                <w:t>COM(2022)317</w:t>
              </w:r>
            </w:hyperlink>
          </w:p>
          <w:p w:rsidRPr="00400028" w:rsidR="003D315D" w:rsidP="003D315D" w:rsidRDefault="003D315D" w14:paraId="14182F26" w14:textId="5419153D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</w:p>
        </w:tc>
      </w:tr>
      <w:tr w:rsidRPr="00400028" w:rsidR="009D7DCF" w:rsidTr="009D7DCF" w14:paraId="63CAF2F8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00028" w:rsidR="009D7DCF" w:rsidRDefault="009D7DCF" w14:paraId="389BDD9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0028" w:rsidR="009D7DCF" w:rsidRDefault="004F0227" w14:paraId="2949FB68" w14:textId="03A0597F">
            <w:pPr>
              <w:spacing w:after="240"/>
              <w:rPr>
                <w:szCs w:val="18"/>
              </w:rPr>
            </w:pPr>
            <w:r w:rsidRPr="00400028">
              <w:rPr>
                <w:szCs w:val="18"/>
              </w:rPr>
              <w:t>Voorstel</w:t>
            </w:r>
          </w:p>
          <w:p w:rsidRPr="00400028" w:rsidR="009D7DCF" w:rsidRDefault="009D7DCF" w14:paraId="4E91AE85" w14:textId="31E7D301">
            <w:pPr>
              <w:spacing w:after="240"/>
              <w:rPr>
                <w:szCs w:val="18"/>
              </w:rPr>
            </w:pPr>
            <w:r w:rsidRPr="00400028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52" w:rsidP="00B07221" w:rsidRDefault="00710252" w14:paraId="60E70E78" w14:textId="77777777">
            <w:pPr>
              <w:spacing w:after="24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Ter informatie</w:t>
            </w:r>
          </w:p>
          <w:p w:rsidRPr="00400028" w:rsidR="009D7DCF" w:rsidP="00B07221" w:rsidRDefault="00B07221" w14:paraId="45E10007" w14:textId="1FE98106">
            <w:pPr>
              <w:spacing w:after="240"/>
              <w:rPr>
                <w:szCs w:val="18"/>
              </w:rPr>
            </w:pPr>
            <w:r>
              <w:rPr>
                <w:color w:val="000000"/>
                <w:shd w:val="clear" w:color="auto" w:fill="FFFFFF"/>
              </w:rPr>
              <w:t xml:space="preserve">In dit verslag wordt een overzicht gegeven van de resultaten die sinds januari 2019 zijn bereikt bij de uitvoering van het </w:t>
            </w:r>
            <w:r w:rsidR="00710252">
              <w:rPr>
                <w:color w:val="000000"/>
                <w:shd w:val="clear" w:color="auto" w:fill="FFFFFF"/>
              </w:rPr>
              <w:t xml:space="preserve">bovengenoemde </w:t>
            </w:r>
            <w:r>
              <w:rPr>
                <w:color w:val="000000"/>
                <w:shd w:val="clear" w:color="auto" w:fill="FFFFFF"/>
              </w:rPr>
              <w:t>werkplan wat betreft de prioriteiten, werkmethoden en acties zoals vastgesteld tegen de achtergrond van de COVID-19-pandemie en het herstelproces. In het verslag wordt ook nagegaan hoe de beleidsvorming en de samenwerking op het gebied van cultuur op EU-niveau kunnen worden versterkt en worden suggesties gedaan voor prioriteiten die in een nieuw werkplan na 2022 aan de orde moeten komen.</w:t>
            </w:r>
          </w:p>
        </w:tc>
      </w:tr>
    </w:tbl>
    <w:p w:rsidRPr="00400028" w:rsidR="00300E39" w:rsidP="00300E39" w:rsidRDefault="00300E39" w14:paraId="7789CA7C" w14:textId="77777777">
      <w:pPr>
        <w:rPr>
          <w:rFonts w:eastAsiaTheme="minorHAnsi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400028" w:rsidR="00300E39" w:rsidTr="00EB4981" w14:paraId="2B133325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00028" w:rsidR="00300E39" w:rsidP="00EB4981" w:rsidRDefault="00300E39" w14:paraId="7C2A00D6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0028" w:rsidR="00300E39" w:rsidP="00EB4981" w:rsidRDefault="00300E39" w14:paraId="726F1371" w14:textId="77777777">
            <w:pPr>
              <w:spacing w:after="240"/>
              <w:rPr>
                <w:szCs w:val="18"/>
              </w:rPr>
            </w:pPr>
            <w:r w:rsidRPr="00400028"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0028" w:rsidR="006655BA" w:rsidP="006655BA" w:rsidRDefault="006655BA" w14:paraId="6FECEF86" w14:textId="59FFB1C9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 w:rsidRPr="00400028">
              <w:rPr>
                <w:rFonts w:ascii="Verdana" w:hAnsi="Verdana"/>
                <w:sz w:val="18"/>
                <w:szCs w:val="18"/>
              </w:rPr>
              <w:t>Voorstel voor een A</w:t>
            </w:r>
            <w:r w:rsidR="005A2A53">
              <w:rPr>
                <w:rFonts w:ascii="Verdana" w:hAnsi="Verdana"/>
                <w:sz w:val="18"/>
                <w:szCs w:val="18"/>
              </w:rPr>
              <w:t xml:space="preserve">anbeveling van de Raad </w:t>
            </w:r>
            <w:r w:rsidRPr="00400028">
              <w:rPr>
                <w:rFonts w:ascii="Verdana" w:hAnsi="Verdana"/>
                <w:sz w:val="18"/>
                <w:szCs w:val="18"/>
              </w:rPr>
              <w:t xml:space="preserve">over trajecten naar succes op school </w:t>
            </w:r>
            <w:hyperlink w:history="1" r:id="rId16">
              <w:r w:rsidRPr="00B07221">
                <w:rPr>
                  <w:rStyle w:val="Hyperlink"/>
                  <w:rFonts w:ascii="Verdana" w:hAnsi="Verdana"/>
                  <w:sz w:val="18"/>
                  <w:szCs w:val="18"/>
                </w:rPr>
                <w:t>COM(2022)316</w:t>
              </w:r>
            </w:hyperlink>
          </w:p>
          <w:p w:rsidRPr="00400028" w:rsidR="00300E39" w:rsidP="00EB4981" w:rsidRDefault="00300E39" w14:paraId="6A5A73A3" w14:textId="77777777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Pr="00400028" w:rsidR="00F83A8E" w:rsidTr="00EB4981" w14:paraId="4E805412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00028" w:rsidR="00F83A8E" w:rsidP="00F83A8E" w:rsidRDefault="00F83A8E" w14:paraId="1A9DE0BE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0028" w:rsidR="00F83A8E" w:rsidP="00F83A8E" w:rsidRDefault="00F83A8E" w14:paraId="35C3ABBF" w14:textId="77777777">
            <w:pPr>
              <w:spacing w:after="240"/>
              <w:rPr>
                <w:szCs w:val="18"/>
              </w:rPr>
            </w:pPr>
            <w:r w:rsidRPr="00400028">
              <w:rPr>
                <w:szCs w:val="18"/>
              </w:rPr>
              <w:t>Voorstel</w:t>
            </w:r>
          </w:p>
          <w:p w:rsidRPr="00400028" w:rsidR="00F83A8E" w:rsidP="00F83A8E" w:rsidRDefault="00F83A8E" w14:paraId="2EA0863F" w14:textId="77777777">
            <w:pPr>
              <w:spacing w:after="240"/>
              <w:rPr>
                <w:szCs w:val="18"/>
              </w:rPr>
            </w:pPr>
            <w:r w:rsidRPr="00400028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8E" w:rsidP="00F83A8E" w:rsidRDefault="00F83A8E" w14:paraId="69670843" w14:textId="0039A9FE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BNC-fiche afwachten en agenderen voor eerstvolgende SO (informele) OJCS Raad</w:t>
            </w:r>
          </w:p>
          <w:p w:rsidRPr="00A04201" w:rsidR="00F83A8E" w:rsidP="00F83A8E" w:rsidRDefault="00B07221" w14:paraId="55919EA7" w14:textId="0822471A">
            <w:pPr>
              <w:spacing w:after="240"/>
              <w:rPr>
                <w:color w:val="000000"/>
                <w:bdr w:val="none" w:color="auto" w:sz="0" w:space="0" w:frame="1"/>
                <w:shd w:val="clear" w:color="auto" w:fill="FFFFFF"/>
              </w:rPr>
            </w:pP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 xml:space="preserve">Via deze niet-juridisch verbindende Raadsaanbeveling wordt een </w:t>
            </w:r>
            <w:r>
              <w:rPr>
                <w:color w:val="000000"/>
                <w:shd w:val="clear" w:color="auto" w:fill="FFFFFF"/>
              </w:rPr>
              <w:t xml:space="preserve">beleidskader geschetst, die tot doel heeft het succes op school voor alle </w:t>
            </w:r>
            <w:proofErr w:type="spellStart"/>
            <w:r>
              <w:rPr>
                <w:color w:val="000000"/>
                <w:shd w:val="clear" w:color="auto" w:fill="FFFFFF"/>
              </w:rPr>
              <w:t>lerenden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te verbeteren</w:t>
            </w:r>
            <w:r w:rsidR="00710252">
              <w:rPr>
                <w:color w:val="000000"/>
                <w:shd w:val="clear" w:color="auto" w:fill="FFFFFF"/>
              </w:rPr>
              <w:t xml:space="preserve">. Het bevat </w:t>
            </w:r>
            <w:r>
              <w:rPr>
                <w:color w:val="000000"/>
                <w:shd w:val="clear" w:color="auto" w:fill="FFFFFF"/>
              </w:rPr>
              <w:t>voorwaarden en maatregelen die erop gericht zijn schooluitval en ondermaatse prestaties in basisvaardigheden te verminderen. </w:t>
            </w: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>Met de voorgestelde aanbeveling wordt een eerdere aanbeveling</w:t>
            </w:r>
            <w:r>
              <w:rPr>
                <w:rStyle w:val="footnotereference"/>
                <w:color w:val="000000"/>
                <w:bdr w:val="none" w:color="auto" w:sz="0" w:space="0" w:frame="1"/>
                <w:shd w:val="clear" w:color="auto" w:fill="FFFFFF"/>
              </w:rPr>
              <w:t> </w:t>
            </w:r>
            <w:r w:rsidR="00A04201">
              <w:rPr>
                <w:color w:val="000000"/>
                <w:bdr w:val="none" w:color="auto" w:sz="0" w:space="0" w:frame="1"/>
                <w:shd w:val="clear" w:color="auto" w:fill="FFFFFF"/>
              </w:rPr>
              <w:t>vervangen.</w:t>
            </w:r>
            <w:bookmarkStart w:name="_GoBack" w:id="0"/>
            <w:bookmarkEnd w:id="0"/>
          </w:p>
        </w:tc>
      </w:tr>
    </w:tbl>
    <w:p w:rsidR="009D7DCF" w:rsidP="009D7DCF" w:rsidRDefault="009D7DCF" w14:paraId="53350B1A" w14:textId="46B2AECA">
      <w:pPr>
        <w:rPr>
          <w:b/>
          <w:bCs/>
        </w:rPr>
      </w:pPr>
    </w:p>
    <w:p w:rsidRPr="009D7DCF" w:rsidR="00300E39" w:rsidP="009D7DCF" w:rsidRDefault="00300E39" w14:paraId="4FE845C9" w14:textId="77777777">
      <w:pPr>
        <w:rPr>
          <w:b/>
          <w:bCs/>
        </w:rPr>
      </w:pPr>
    </w:p>
    <w:sectPr w:rsidRPr="009D7DCF" w:rsidR="00300E39" w:rsidSect="00AE39FC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6221" w14:textId="77777777" w:rsidR="00AC7F0B" w:rsidRDefault="00AC7F0B" w:rsidP="00AC7F0B">
      <w:r>
        <w:separator/>
      </w:r>
    </w:p>
  </w:endnote>
  <w:endnote w:type="continuationSeparator" w:id="0">
    <w:p w14:paraId="4E237B68" w14:textId="77777777" w:rsidR="00AC7F0B" w:rsidRDefault="00AC7F0B" w:rsidP="00AC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2AE2D" w14:textId="77777777" w:rsidR="00AC7F0B" w:rsidRDefault="00AC7F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7E9199" wp14:editId="49A4619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4A329" w14:textId="4803BDBF" w:rsidR="00AC7F0B" w:rsidRDefault="00AC7F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0420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E919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7344A329" w14:textId="4803BDBF" w:rsidR="00AC7F0B" w:rsidRDefault="00AC7F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0420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241A55E" wp14:editId="6B71DF1D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FE30" w14:textId="77777777" w:rsidR="00AC7F0B" w:rsidRDefault="00AC7F0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1A55E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297EFE30" w14:textId="77777777" w:rsidR="00AC7F0B" w:rsidRDefault="00AC7F0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CEF8" w14:textId="77777777" w:rsidR="002A1630" w:rsidRDefault="00AC7F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761528" wp14:editId="7A166C0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9611E" w14:textId="6CAD65A6" w:rsidR="002A1630" w:rsidRDefault="00AC7F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0420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152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1019611E" w14:textId="6CAD65A6" w:rsidR="002A1630" w:rsidRDefault="00AC7F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0420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3B5A34" wp14:editId="05005AEE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8919" w14:textId="77777777" w:rsidR="002A1630" w:rsidRDefault="00A04201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B5A34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57158919" w14:textId="77777777" w:rsidR="002A1630" w:rsidRDefault="0071025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6A22" w14:textId="77777777" w:rsidR="00AC7F0B" w:rsidRDefault="00AC7F0B" w:rsidP="00AC7F0B">
      <w:r>
        <w:separator/>
      </w:r>
    </w:p>
  </w:footnote>
  <w:footnote w:type="continuationSeparator" w:id="0">
    <w:p w14:paraId="65A98353" w14:textId="77777777" w:rsidR="00AC7F0B" w:rsidRDefault="00AC7F0B" w:rsidP="00AC7F0B">
      <w:r>
        <w:continuationSeparator/>
      </w:r>
    </w:p>
  </w:footnote>
  <w:footnote w:id="1">
    <w:p w14:paraId="331FF36D" w14:textId="77777777" w:rsidR="00AC7F0B" w:rsidRPr="002B21B2" w:rsidRDefault="00AC7F0B" w:rsidP="00AC7F0B">
      <w:pPr>
        <w:pStyle w:val="Voetnoottekst"/>
        <w:rPr>
          <w:rFonts w:ascii="Verdana" w:hAnsi="Verdana"/>
        </w:rPr>
      </w:pPr>
      <w:r w:rsidRPr="226D85B5">
        <w:rPr>
          <w:rStyle w:val="Voetnootmarkering"/>
          <w:rFonts w:ascii="Verdana" w:hAnsi="Verdana"/>
          <w:sz w:val="14"/>
          <w:szCs w:val="14"/>
        </w:rPr>
        <w:footnoteRef/>
      </w:r>
      <w:r w:rsidRPr="226D85B5">
        <w:rPr>
          <w:rFonts w:ascii="Verdana" w:hAnsi="Verdana"/>
          <w:sz w:val="14"/>
          <w:szCs w:val="14"/>
        </w:rPr>
        <w:t xml:space="preserve"> Voor een overzicht van behandelopties per type EU-voorstel, zie </w:t>
      </w:r>
      <w:hyperlink r:id="rId1" w:history="1">
        <w:r w:rsidRPr="226D85B5">
          <w:rPr>
            <w:rStyle w:val="Hyperlink"/>
            <w:rFonts w:ascii="Verdana" w:hAnsi="Verdana"/>
            <w:sz w:val="14"/>
            <w:szCs w:val="14"/>
          </w:rPr>
          <w:t>dit overzicht op Plein2</w:t>
        </w:r>
      </w:hyperlink>
      <w:r w:rsidRPr="226D85B5">
        <w:rPr>
          <w:rFonts w:ascii="Verdana" w:hAnsi="Verdana"/>
          <w:sz w:val="14"/>
          <w:szCs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9BD80" w14:textId="77777777" w:rsidR="00AC7F0B" w:rsidRDefault="00AC7F0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9807837" wp14:editId="70908316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7301CA2A" wp14:editId="26B5B21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7A4B" w14:textId="77777777" w:rsidR="002A1630" w:rsidRDefault="00AC7F0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5EA76" wp14:editId="59F08935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9A92C" w14:textId="77777777" w:rsidR="002A1630" w:rsidRDefault="00AC7F0B" w:rsidP="00AE39F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5EA7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5F99A92C" w14:textId="77777777" w:rsidR="002A1630" w:rsidRDefault="00AC7F0B" w:rsidP="00AE39F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BCC9602" wp14:editId="72A3D02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0716"/>
    <w:multiLevelType w:val="hybridMultilevel"/>
    <w:tmpl w:val="99C81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0B"/>
    <w:rsid w:val="00023AC7"/>
    <w:rsid w:val="00070064"/>
    <w:rsid w:val="00073B09"/>
    <w:rsid w:val="000B7680"/>
    <w:rsid w:val="000C63CA"/>
    <w:rsid w:val="000D4302"/>
    <w:rsid w:val="00136871"/>
    <w:rsid w:val="00154D19"/>
    <w:rsid w:val="001650EC"/>
    <w:rsid w:val="001E3B0A"/>
    <w:rsid w:val="001E7975"/>
    <w:rsid w:val="002259B5"/>
    <w:rsid w:val="002B3043"/>
    <w:rsid w:val="002F32C6"/>
    <w:rsid w:val="00300E39"/>
    <w:rsid w:val="003041D2"/>
    <w:rsid w:val="0037159D"/>
    <w:rsid w:val="003D315D"/>
    <w:rsid w:val="00400028"/>
    <w:rsid w:val="00417E32"/>
    <w:rsid w:val="004A3AF4"/>
    <w:rsid w:val="004F0227"/>
    <w:rsid w:val="005A2A53"/>
    <w:rsid w:val="005B5B1B"/>
    <w:rsid w:val="005E320A"/>
    <w:rsid w:val="006100AC"/>
    <w:rsid w:val="006655BA"/>
    <w:rsid w:val="006A6095"/>
    <w:rsid w:val="006A6957"/>
    <w:rsid w:val="00703617"/>
    <w:rsid w:val="00710252"/>
    <w:rsid w:val="00763AEA"/>
    <w:rsid w:val="007835CF"/>
    <w:rsid w:val="00875286"/>
    <w:rsid w:val="008C6693"/>
    <w:rsid w:val="009375B3"/>
    <w:rsid w:val="0098337D"/>
    <w:rsid w:val="009945CB"/>
    <w:rsid w:val="009D7DCF"/>
    <w:rsid w:val="009F1F5E"/>
    <w:rsid w:val="00A02494"/>
    <w:rsid w:val="00A04201"/>
    <w:rsid w:val="00AA672F"/>
    <w:rsid w:val="00AC7F0B"/>
    <w:rsid w:val="00AE63E5"/>
    <w:rsid w:val="00AF231E"/>
    <w:rsid w:val="00B07221"/>
    <w:rsid w:val="00B23A14"/>
    <w:rsid w:val="00B97B7B"/>
    <w:rsid w:val="00C030B6"/>
    <w:rsid w:val="00C629D4"/>
    <w:rsid w:val="00C821BB"/>
    <w:rsid w:val="00CB758C"/>
    <w:rsid w:val="00D5105D"/>
    <w:rsid w:val="00DB4937"/>
    <w:rsid w:val="00E53F85"/>
    <w:rsid w:val="00E86DB1"/>
    <w:rsid w:val="00EB06B5"/>
    <w:rsid w:val="00EB706E"/>
    <w:rsid w:val="00F20EED"/>
    <w:rsid w:val="00F83A8E"/>
    <w:rsid w:val="00FD0657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F8AB"/>
  <w15:chartTrackingRefBased/>
  <w15:docId w15:val="{9F041092-B4AF-4251-8B86-F6AEBC9F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7F0B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7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AC7F0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F0B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AC7F0B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AC7F0B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AC7F0B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AC7F0B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AC7F0B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AC7F0B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AC7F0B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AC7F0B"/>
    <w:pPr>
      <w:spacing w:before="90"/>
      <w:contextualSpacing w:val="0"/>
    </w:pPr>
  </w:style>
  <w:style w:type="character" w:styleId="Hyperlink">
    <w:name w:val="Hyperlink"/>
    <w:uiPriority w:val="99"/>
    <w:rsid w:val="00AC7F0B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AC7F0B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C7F0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AC7F0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C7F0B"/>
    <w:pPr>
      <w:ind w:left="720"/>
      <w:contextualSpacing/>
    </w:pPr>
  </w:style>
  <w:style w:type="paragraph" w:customStyle="1" w:styleId="Default">
    <w:name w:val="Default"/>
    <w:rsid w:val="00E53F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29D4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A024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259B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customStyle="1" w:styleId="footnotereference">
    <w:name w:val="footnotereference"/>
    <w:basedOn w:val="Standaardalinea-lettertype"/>
    <w:rsid w:val="00B0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ur-lex.europa.eu/legal-content/NL/TXT/?uri=COM%3A2022%3A391%3AFIN&amp;qid=1660120449089" TargetMode="External" Id="rId13" /><Relationship Type="http://schemas.openxmlformats.org/officeDocument/2006/relationships/footer" Target="footer2.xml" Id="rId18" /><Relationship Type="http://schemas.openxmlformats.org/officeDocument/2006/relationships/webSettings" Target="webSettings.xml" Id="rId7" /><Relationship Type="http://schemas.openxmlformats.org/officeDocument/2006/relationships/hyperlink" Target="https://eur-lex.europa.eu/legal-content/NL/TXT/?uri=COM%3A2022%3A389%3AFIN&amp;qid=1659955624140" TargetMode="Externa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HTML/?uri=CELEX:52022DC0316&amp;from=EN" TargetMode="Externa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eur-lex.europa.eu/legal-content/NL/TXT/HTML/?uri=CELEX:52022DC0317&amp;from=EN" TargetMode="External" Id="rId15" /><Relationship Type="http://schemas.openxmlformats.org/officeDocument/2006/relationships/header" Target="header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ur-lex.europa.eu/legal-content/NL/TXT/?uri=CELEX%3A52022DC0424&amp;qid=1661851958588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598</ap:Words>
  <ap:Characters>3293</ap:Characters>
  <ap:DocSecurity>4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2022-09-01T15:18:00.0000000Z</dcterms:created>
  <dcterms:modified xsi:type="dcterms:W3CDTF">2022-09-01T15:18:00.0000000Z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0x010100C17E33455A815440958516286A3A0F47</vt:lpwstr>
  </property>
</Properties>
</file>