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F0C18" w:rsidR="00CB3578" w:rsidTr="00F13442">
        <w:trPr>
          <w:cantSplit/>
        </w:trPr>
        <w:tc>
          <w:tcPr>
            <w:tcW w:w="9142" w:type="dxa"/>
            <w:gridSpan w:val="2"/>
            <w:tcBorders>
              <w:top w:val="nil"/>
              <w:left w:val="nil"/>
              <w:bottom w:val="nil"/>
              <w:right w:val="nil"/>
            </w:tcBorders>
          </w:tcPr>
          <w:p w:rsidRPr="00D554F2" w:rsidR="00CB3578" w:rsidP="00D554F2" w:rsidRDefault="00D554F2">
            <w:pPr>
              <w:pStyle w:val="Amendement"/>
              <w:rPr>
                <w:rFonts w:ascii="Times New Roman" w:hAnsi="Times New Roman" w:cs="Times New Roman"/>
                <w:b w:val="0"/>
              </w:rPr>
            </w:pPr>
            <w:r w:rsidRPr="00D554F2">
              <w:rPr>
                <w:rFonts w:ascii="Times New Roman" w:hAnsi="Times New Roman" w:cs="Times New Roman"/>
                <w:b w:val="0"/>
              </w:rPr>
              <w:t>Bijgewerkt t/m nr. 7 (</w:t>
            </w:r>
            <w:proofErr w:type="spellStart"/>
            <w:r w:rsidRPr="00D554F2">
              <w:rPr>
                <w:rFonts w:ascii="Times New Roman" w:hAnsi="Times New Roman" w:cs="Times New Roman"/>
                <w:b w:val="0"/>
              </w:rPr>
              <w:t>NvW</w:t>
            </w:r>
            <w:proofErr w:type="spellEnd"/>
            <w:r w:rsidRPr="00D554F2">
              <w:rPr>
                <w:rFonts w:ascii="Times New Roman" w:hAnsi="Times New Roman" w:cs="Times New Roman"/>
                <w:b w:val="0"/>
              </w:rPr>
              <w:t xml:space="preserve"> d.d. 6 juli 2022)</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tabs>
                <w:tab w:val="left" w:pos="-1440"/>
                <w:tab w:val="left" w:pos="-720"/>
              </w:tabs>
              <w:suppressAutoHyphens/>
              <w:rPr>
                <w:rFonts w:ascii="Times New Roman" w:hAnsi="Times New Roman"/>
                <w:b/>
                <w:bCs/>
                <w:sz w:val="24"/>
              </w:rPr>
            </w:pPr>
          </w:p>
        </w:tc>
      </w:tr>
      <w:tr w:rsidRPr="005F0C1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2A727C" w:rsidP="00F13442" w:rsidRDefault="005F0C18">
            <w:pPr>
              <w:rPr>
                <w:rFonts w:ascii="Times New Roman" w:hAnsi="Times New Roman"/>
                <w:b/>
                <w:sz w:val="24"/>
              </w:rPr>
            </w:pPr>
            <w:r w:rsidRPr="005F0C18">
              <w:rPr>
                <w:rFonts w:ascii="Times New Roman" w:hAnsi="Times New Roman"/>
                <w:b/>
                <w:sz w:val="24"/>
              </w:rPr>
              <w:t>36 105</w:t>
            </w:r>
          </w:p>
        </w:tc>
        <w:tc>
          <w:tcPr>
            <w:tcW w:w="6590" w:type="dxa"/>
            <w:tcBorders>
              <w:top w:val="nil"/>
              <w:left w:val="nil"/>
              <w:bottom w:val="nil"/>
              <w:right w:val="nil"/>
            </w:tcBorders>
          </w:tcPr>
          <w:p w:rsidRPr="005F0C18" w:rsidR="002A727C" w:rsidP="000D5BC4" w:rsidRDefault="005F0C18">
            <w:pPr>
              <w:rPr>
                <w:rFonts w:ascii="Times New Roman" w:hAnsi="Times New Roman"/>
                <w:b/>
                <w:sz w:val="24"/>
              </w:rPr>
            </w:pPr>
            <w:r w:rsidRPr="005F0C18">
              <w:rPr>
                <w:rFonts w:ascii="Times New Roman" w:hAnsi="Times New Roman"/>
                <w:b/>
                <w:sz w:val="24"/>
              </w:rPr>
              <w:t>Wijziging van de Wet op het financieel toezicht, de Faillissementswet en enige andere wetten ter uitvoering van Verordening (EU) 2021/23 betreffende een kader voor het herstel en de afwikkeling van centrale tegenpartijen (Uitvoeringswet verordening herstel en afwikkeling centrale tegenpartijen)</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r w:rsidRPr="005F0C18">
              <w:rPr>
                <w:rFonts w:ascii="Times New Roman" w:hAnsi="Times New Roman" w:cs="Times New Roman"/>
              </w:rPr>
              <w:t>Nr. 2</w:t>
            </w: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r w:rsidRPr="005F0C18">
              <w:rPr>
                <w:rFonts w:ascii="Times New Roman" w:hAnsi="Times New Roman" w:cs="Times New Roman"/>
              </w:rPr>
              <w:t>VOORSTEL VAN WET</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bl>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Wij Willem-Alexander, bij de gratie Gods, Koning der Nederlanden, Prins van Oranje-Nassau, enz. enz. enz.</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Allen, die deze zullen zien of horen lezen, saluut! doen te weten: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Alzo Wij in overweging genomen hebben, dat het noodzakelijk is om regels te stellen ter uitvoering van Verordening (EU) 2021/23 van het Europees Parlement en de Raad van 16 december 2020 betreffende een kader voor het herstel en de afwikkeling van centrale tegenpartijen en tot wijziging van de Verordeningen (EU) nr. 1095/2010, (EU) nr. 648/2012, (EU) nr. 600/2014, (EU) nr. 806/2014 en (EU) 201 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Zo is het, dat Wij, de Afdeling advisering van de Raad van State gehoord, en met gemeen overleg der Staten</w:t>
      </w:r>
      <w:r w:rsidRPr="005F0C18">
        <w:rPr>
          <w:rFonts w:ascii="Times New Roman" w:hAnsi="Times New Roman"/>
          <w:sz w:val="24"/>
        </w:rPr>
        <w:noBreakHyphen/>
        <w:t>Generaal, hebben goedgevonden en verstaan, gelijk Wij goedvinden en verstaan bij deze: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De </w:t>
      </w:r>
      <w:r w:rsidRPr="005F0C18">
        <w:rPr>
          <w:rFonts w:ascii="Times New Roman" w:hAnsi="Times New Roman"/>
          <w:bCs/>
          <w:sz w:val="24"/>
        </w:rPr>
        <w:t>Wet op het financieel toezicht</w:t>
      </w:r>
      <w:r w:rsidRPr="005F0C18">
        <w:rPr>
          <w:rFonts w:ascii="Times New Roman" w:hAnsi="Times New Roman"/>
          <w:b/>
          <w:bCs/>
          <w:sz w:val="24"/>
        </w:rPr>
        <w:t xml:space="preserve"> </w:t>
      </w:r>
      <w:r w:rsidRPr="005F0C18">
        <w:rPr>
          <w:rFonts w:ascii="Times New Roman" w:hAnsi="Times New Roman"/>
          <w:sz w:val="24"/>
        </w:rPr>
        <w:t>wordt als volgt gewijzigd: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1:1 worden in de alfabetische volgorde twee definities ingevoegd,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iCs/>
          <w:sz w:val="24"/>
        </w:rPr>
        <w:t xml:space="preserve">centrale tegenpartij: </w:t>
      </w:r>
      <w:r w:rsidRPr="005F0C18">
        <w:rPr>
          <w:rFonts w:ascii="Times New Roman" w:hAnsi="Times New Roman"/>
          <w:sz w:val="24"/>
        </w:rPr>
        <w:t>een centrale tegenpartij als bedoeld in artikel 2, onderdeel 1, van de EMIR-verordening;</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sz w:val="24"/>
        </w:rPr>
        <w:t xml:space="preserve">verordening herstel en afwikkeling centrale tegenpartijen: </w:t>
      </w:r>
      <w:r w:rsidRPr="005F0C18">
        <w:rPr>
          <w:rFonts w:ascii="Times New Roman" w:hAnsi="Times New Roman"/>
          <w:iCs/>
          <w:sz w:val="24"/>
        </w:rPr>
        <w:t>Ve</w:t>
      </w:r>
      <w:r w:rsidRPr="005F0C18">
        <w:rPr>
          <w:rFonts w:ascii="Times New Roman" w:hAnsi="Times New Roman"/>
          <w:sz w:val="24"/>
        </w:rPr>
        <w:t>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1:3a, tweede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2. De artikelen 1:75 en 1:76 zijn van overeenkomstige toepassing op de uitvoering en handhaving van de regels die zijn gesteld bij of krachtens de EMIR-verordening, de verordening centrale </w:t>
      </w:r>
      <w:proofErr w:type="spellStart"/>
      <w:r w:rsidRPr="005F0C18">
        <w:rPr>
          <w:rFonts w:ascii="Times New Roman" w:hAnsi="Times New Roman"/>
          <w:sz w:val="24"/>
        </w:rPr>
        <w:t>effectenbewaarinstellingen</w:t>
      </w:r>
      <w:proofErr w:type="spellEnd"/>
      <w:r w:rsidRPr="005F0C18">
        <w:rPr>
          <w:rFonts w:ascii="Times New Roman" w:hAnsi="Times New Roman"/>
          <w:sz w:val="24"/>
        </w:rPr>
        <w:t xml:space="preserve"> en de verordening herstel en afwikkeling </w:t>
      </w:r>
      <w:r w:rsidRPr="005F0C18">
        <w:rPr>
          <w:rFonts w:ascii="Times New Roman" w:hAnsi="Times New Roman"/>
          <w:sz w:val="24"/>
        </w:rPr>
        <w:lastRenderedPageBreak/>
        <w:t>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bookmarkStart w:name="_Hlk102138583" w:id="0"/>
      <w:r w:rsidRPr="005F0C18">
        <w:rPr>
          <w:rFonts w:ascii="Times New Roman" w:hAnsi="Times New Roman"/>
          <w:sz w:val="24"/>
        </w:rPr>
        <w:t>In artikel 3A:2, onderdeel a, wordt de zinsnede “</w:t>
      </w:r>
      <w:bookmarkStart w:name="_Hlk102733914" w:id="1"/>
      <w:r w:rsidRPr="005F0C18">
        <w:rPr>
          <w:rFonts w:ascii="Times New Roman" w:hAnsi="Times New Roman"/>
          <w:sz w:val="24"/>
        </w:rPr>
        <w:t>, met uitzondering van rechtspersonen waaraan ook een vergunning is verleend overeenkomstig artikel 14 van de EMIR-verordening</w:t>
      </w:r>
      <w:bookmarkEnd w:id="1"/>
      <w:r w:rsidRPr="005F0C18">
        <w:rPr>
          <w:rFonts w:ascii="Times New Roman" w:hAnsi="Times New Roman"/>
          <w:sz w:val="24"/>
        </w:rPr>
        <w:t>” toegevoegd.</w:t>
      </w:r>
    </w:p>
    <w:bookmarkEnd w:id="0"/>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3A:21, eerste lid, wordt gewijzigd als volgt:</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onderdeel b wordt “overgedragen aan” vervangen door “doen overgaan op” en wordt “waarbij de instemming van de verkrijger ingevolge artikel 3A:6, eerste lid, niet benodigd is” toegevoegd.</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 onderdeel c wordt “waaraan activa of passiva van die entiteit worden overgedragen” vervangen door “waarop activa of passiva van die entiteit overgaan”.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3A:44, eerste lid, wordt “waaraan activa of passiva van die entiteit worden overgedragen” vervangen door “waarop activa of passiva van die entiteit overgaan”.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F</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Aan het </w:t>
      </w:r>
      <w:r w:rsidRPr="005F0C18">
        <w:rPr>
          <w:rFonts w:ascii="Times New Roman" w:hAnsi="Times New Roman"/>
          <w:i/>
          <w:sz w:val="24"/>
        </w:rPr>
        <w:t xml:space="preserve">Deel Bijzondere maatregelen en voorzieningen betreffende financiële ondernemingen </w:t>
      </w:r>
      <w:r w:rsidRPr="005F0C18">
        <w:rPr>
          <w:rFonts w:ascii="Times New Roman" w:hAnsi="Times New Roman"/>
          <w:iCs/>
          <w:sz w:val="24"/>
        </w:rPr>
        <w:t xml:space="preserve">wordt </w:t>
      </w:r>
      <w:r w:rsidRPr="005F0C18">
        <w:rPr>
          <w:rFonts w:ascii="Times New Roman" w:hAnsi="Times New Roman"/>
          <w:sz w:val="24"/>
        </w:rPr>
        <w:t>na hoofdstuk 3A.2 een hoofdstuk toegevoegd, luidende:</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HOOFDSTUK 3A.3. AFWIKKELING VAN CENTRALE TEGENPARTIJEN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3A:139. Inleidende bepaling</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afwikkeling van een centrale tegenpartij overeenkomstig de verordening herstel en afwikkeling centrale tegenpartijen geschiedt met inachtneming van dit hoofdstuk.</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bCs/>
          <w:sz w:val="24"/>
        </w:rPr>
      </w:pPr>
      <w:r w:rsidRPr="005F0C18">
        <w:rPr>
          <w:rFonts w:ascii="Times New Roman" w:hAnsi="Times New Roman"/>
          <w:b/>
          <w:bCs/>
          <w:sz w:val="24"/>
        </w:rPr>
        <w:t>Artikel 3A:140. Definities</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dit hoofdstuk en de daarop berustende bepalingen wordt verstaan onder:</w:t>
      </w:r>
    </w:p>
    <w:p w:rsidRPr="005F0C18" w:rsidR="005F0C18" w:rsidP="005F0C18" w:rsidRDefault="005F0C18">
      <w:pPr>
        <w:widowControl w:val="0"/>
        <w:spacing w:line="240" w:lineRule="atLeast"/>
        <w:ind w:firstLine="284"/>
        <w:rPr>
          <w:rFonts w:ascii="Times New Roman" w:hAnsi="Times New Roman"/>
          <w:iCs/>
          <w:sz w:val="24"/>
        </w:rPr>
      </w:pPr>
      <w:r w:rsidRPr="005F0C18">
        <w:rPr>
          <w:rFonts w:ascii="Times New Roman" w:hAnsi="Times New Roman"/>
          <w:i/>
          <w:sz w:val="24"/>
        </w:rPr>
        <w:t>afwikkelingsinstrument</w:t>
      </w:r>
      <w:r w:rsidRPr="005F0C18">
        <w:rPr>
          <w:rFonts w:ascii="Times New Roman" w:hAnsi="Times New Roman"/>
          <w:iCs/>
          <w:sz w:val="24"/>
        </w:rPr>
        <w:t>: een instrument als bedoeld in artikel 27, eerste lid, van de verordening herstel en afwikkeling centrale tegenpartijen;</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i/>
          <w:sz w:val="24"/>
        </w:rPr>
        <w:t>afwikkelingsmaatregel</w:t>
      </w:r>
      <w:r w:rsidRPr="005F0C18">
        <w:rPr>
          <w:rFonts w:ascii="Times New Roman" w:hAnsi="Times New Roman"/>
          <w:sz w:val="24"/>
        </w:rPr>
        <w:t xml:space="preserve">: </w:t>
      </w:r>
      <w:r w:rsidRPr="005F0C18">
        <w:rPr>
          <w:rFonts w:ascii="Times New Roman" w:hAnsi="Times New Roman"/>
          <w:bCs/>
          <w:sz w:val="24"/>
        </w:rPr>
        <w:t>een overeenkomstig artikel 22 van de verordening herstel en afwikkeling centrale tegenpartijen genomen besluit om een centrale tegenpartij af te wikkelen, een afwikkelingsinstrument als bedoeld in artikel 27, eerste lid, van die verordening toe te passen of een of meer afwikkelingsbevoegdheden als bedoeld in de artikelen 48 tot en met 58 van die verordening uit te oefenen;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sz w:val="24"/>
        </w:rPr>
        <w:t>eigendomsinstrumenten</w:t>
      </w:r>
      <w:r w:rsidRPr="005F0C18">
        <w:rPr>
          <w:rFonts w:ascii="Times New Roman" w:hAnsi="Times New Roman"/>
          <w:sz w:val="24"/>
        </w:rPr>
        <w:t>: eigendomsinstrumenten als bedoeld in artikel 2, onderdeel 33,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3A:141. Procedures bij afwikkelingsmaatregelen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1. Een besluit tot het nemen van een afwikkelingsmaatregel van de Nederlandsche Bank op grond van de verordening herstel en afwikkeling centrale tegenpartijen, alsmede de voorbereiding en uitvoering van dat besluit, is niet onderworpen aan enig instemmingsvereiste ingevolge de wet, de statuten of tussen de centrale tegenpartij en haar aandeelhouders of leden overeengekomen regelingen ten aanzien van de besluitvorming door de algemene vergadering, met uitzondering van het vereiste van instemming van de verkrijger bij overdracht of overgang van eigendomsinstrumenten, activa of passiva.</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2. Onverminderd het bepaalde ingevolge de artikelen 41, 43 of hoofdstuk VI van de verordening herstel en afwikkeling centrale tegenpartijen, is een besluit tot het nemen van een afwikkelingsmaatregel alsmede de voorbereiding en uitvoering ervan, niet onderworpen aan enig kennisgevingsvereiste of procedureel voorschrift ingevolge een ander wettelijk voorschrift.</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3. D</w:t>
      </w:r>
      <w:r w:rsidRPr="005F0C18">
        <w:rPr>
          <w:rFonts w:ascii="Times New Roman" w:hAnsi="Times New Roman"/>
          <w:sz w:val="24"/>
          <w:shd w:val="clear" w:color="auto" w:fill="FFFFFF"/>
        </w:rPr>
        <w:t xml:space="preserve">e uitoefening van de bevoegdheden bedoeld in artikel 48 of 49 van de verordening herstel en afwikkeling centrale tegenpartijen is niet onderworpen aan enige andere beperking uit hoofde van de wet, statuten of overeenkomst. </w:t>
      </w:r>
    </w:p>
    <w:p w:rsidRPr="005F0C18" w:rsidR="005F0C18" w:rsidP="005F0C18" w:rsidRDefault="005F0C18">
      <w:pPr>
        <w:widowControl w:val="0"/>
        <w:spacing w:line="240" w:lineRule="atLeast"/>
        <w:ind w:firstLine="284"/>
        <w:rPr>
          <w:rFonts w:ascii="Times New Roman" w:hAnsi="Times New Roman"/>
          <w:sz w:val="24"/>
          <w:shd w:val="clear" w:color="auto" w:fill="FFFFFF"/>
        </w:rPr>
      </w:pPr>
      <w:r w:rsidRPr="005F0C18">
        <w:rPr>
          <w:rFonts w:ascii="Times New Roman" w:hAnsi="Times New Roman"/>
          <w:bCs/>
          <w:sz w:val="24"/>
        </w:rPr>
        <w:t>4</w:t>
      </w:r>
      <w:bookmarkStart w:name="_Hlk88227798" w:id="2"/>
      <w:r w:rsidRPr="005F0C18">
        <w:rPr>
          <w:rFonts w:ascii="Times New Roman" w:hAnsi="Times New Roman"/>
          <w:bCs/>
          <w:sz w:val="24"/>
        </w:rPr>
        <w:t>.</w:t>
      </w:r>
      <w:r w:rsidRPr="005F0C18">
        <w:rPr>
          <w:rFonts w:ascii="Times New Roman" w:hAnsi="Times New Roman"/>
          <w:sz w:val="24"/>
          <w:shd w:val="clear" w:color="auto" w:fill="FFFFFF"/>
        </w:rPr>
        <w:t xml:space="preserve"> Een besluit tot toepassing van een afwikkelingsinstrument vermeldt het tijdstip waarop het in werking treedt. De desbetreffende eigendomsinstrumenten, activa of passiva gaan over op dit tijdstip, tenzij in het besluit anders is bepaald.</w:t>
      </w:r>
    </w:p>
    <w:bookmarkEnd w:id="2"/>
    <w:p w:rsidRPr="005F0C18" w:rsidR="005F0C18" w:rsidP="005F0C18" w:rsidRDefault="005F0C18">
      <w:pPr>
        <w:spacing w:line="240" w:lineRule="atLeast"/>
        <w:rPr>
          <w:rFonts w:ascii="Times New Roman" w:hAnsi="Times New Roman"/>
          <w:sz w:val="24"/>
          <w:shd w:val="clear" w:color="auto" w:fill="FFFFFF"/>
        </w:rPr>
      </w:pPr>
    </w:p>
    <w:p w:rsidRPr="005F0C18" w:rsidR="005F0C18" w:rsidP="005F0C18" w:rsidRDefault="005F0C18">
      <w:pPr>
        <w:spacing w:line="240" w:lineRule="atLeast"/>
        <w:rPr>
          <w:rFonts w:ascii="Times New Roman" w:hAnsi="Times New Roman"/>
          <w:b/>
          <w:bCs/>
          <w:sz w:val="24"/>
          <w:shd w:val="clear" w:color="auto" w:fill="FFFFFF"/>
        </w:rPr>
      </w:pPr>
      <w:bookmarkStart w:name="_Hlk87452536" w:id="3"/>
      <w:r w:rsidRPr="005F0C18">
        <w:rPr>
          <w:rFonts w:ascii="Times New Roman" w:hAnsi="Times New Roman"/>
          <w:b/>
          <w:bCs/>
          <w:sz w:val="24"/>
          <w:shd w:val="clear" w:color="auto" w:fill="FFFFFF"/>
        </w:rPr>
        <w:t>Artikel 3A:142. Ingrijpen in handel in financiële instrumenten</w:t>
      </w:r>
    </w:p>
    <w:p w:rsidRPr="005F0C18" w:rsidR="005F0C18" w:rsidP="005F0C18" w:rsidRDefault="005F0C18">
      <w:pPr>
        <w:spacing w:line="240" w:lineRule="atLeast"/>
        <w:rPr>
          <w:rFonts w:ascii="Times New Roman" w:hAnsi="Times New Roman"/>
          <w:b/>
          <w:bCs/>
          <w:sz w:val="24"/>
          <w:shd w:val="clear" w:color="auto" w:fill="FFFFFF"/>
        </w:rPr>
      </w:pP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 xml:space="preserve">1. De Nederlandsche Bank kan degene die een handelsplatform exploiteert of een beleggingsonderneming met systematische interne afhandeling door middel van het geven van een aanwijzing verplichten om de toelating tot de handel in of de officiële notering van alle door een centrale tegenpartij overeenkomstig Richtlijn 2001/34/EG uitgegeven financiële instrumenten op te schorten of te onderbreken, indien door de Nederlandsche Bank ten aanzien van de centrale tegenpartij een in artikel 48, eerste lid, van de verordening herstel en afwikkeling centrale tegenpartijen bedoelde bevoegdheid wordt uitgeoefend. </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2. Indien de Nederlandsche Bank een aanwijzing geeft als bedoeld in het eerste lid doet zij hetzelfde voor afgeleide financiële instrumenten als bedoeld in de onderdelen d tot en met j van de definitie van financieel instrument in artikel 1:1 die verband houden met dat financiële instrument of daarnaar verwijzen, indien dit naar het oordeel van de Nederlandsche Bank passend is ter ondersteuning van het bereiken van de doelstelling van de opschorting of onderbreking van de handel in het onderliggende financieel instrument.</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3. De Autoriteit Financiële Markten verricht op instructie van de Nederlandsche Bank de noodzakelijke feitelijke handelingen om uitvoering te geven aan een besluit als bedoeld in het eerste en tweede lid.</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4. In afwijking van artikel 1:97 maakt de Autoriteit Financiële Markten een besluit ten aanzien waarvan zij een instructie als bedoeld in het derde lid heeft gekregen onverwijld openbaar en stelt zij de toezichthoudende instanties van de overige lidstaten van dat besluit in kennis.</w:t>
      </w:r>
    </w:p>
    <w:bookmarkEnd w:id="3"/>
    <w:p w:rsidRPr="005F0C18" w:rsidR="005F0C18" w:rsidP="005F0C18" w:rsidRDefault="005F0C18">
      <w:pPr>
        <w:spacing w:line="240" w:lineRule="atLeast"/>
        <w:rPr>
          <w:rFonts w:ascii="Times New Roman" w:hAnsi="Times New Roman"/>
          <w:b/>
          <w:bCs/>
          <w:sz w:val="24"/>
          <w:shd w:val="clear" w:color="auto" w:fill="FFFFFF"/>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3A:143. Uitsluiting vernietigbaarheid</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 xml:space="preserve">Artikel 45 van Boek 3 van het Burgerlijk Wetboek of de artikelen 42 tot en met 51 van de Faillissementswet zijn niet van toepassing op de </w:t>
      </w:r>
      <w:r w:rsidRPr="005F0C18">
        <w:rPr>
          <w:rFonts w:ascii="Times New Roman" w:hAnsi="Times New Roman"/>
          <w:sz w:val="24"/>
        </w:rPr>
        <w:t xml:space="preserve">overdracht van activa, rechten, </w:t>
      </w:r>
      <w:r w:rsidRPr="005F0C18">
        <w:rPr>
          <w:rFonts w:ascii="Times New Roman" w:hAnsi="Times New Roman"/>
          <w:sz w:val="24"/>
        </w:rPr>
        <w:lastRenderedPageBreak/>
        <w:t xml:space="preserve">verplichtingen of passiva </w:t>
      </w:r>
      <w:r w:rsidRPr="005F0C18">
        <w:rPr>
          <w:rFonts w:ascii="Times New Roman" w:hAnsi="Times New Roman"/>
          <w:bCs/>
          <w:sz w:val="24"/>
        </w:rPr>
        <w:t>als bedoeld in artikel 27, negende lid, van de verordening herstel en afwikkeling centrale tegenpartijen.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b/>
          <w:sz w:val="24"/>
        </w:rPr>
        <w:t>Artikel 3A:144. Bijzondere procedureregels</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afwijking van artikel 6:7 van de Algemene wet bestuursrecht, bedraagt de termijn voor het indienen van een beroepschrift tegen een besluit tot het nemen van een afwikkelingsmaatregel van de Nederlandsche Bank op grond van de verordening herstel en afwikkeling centrale tegenpartijen 10 dagen.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 afwijking van artikel 6:6 van de Algemene wet bestuursrecht, is het beroep niet-ontvankelijk indien niet is voldaan aan artikel 6:5, eerste lid, onderdeel d, van die wet.</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Na afloop van de termijn voor het instellen van beroep kunnen geen beroepsgronden meer worden aangevoerd.</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4. In afwijking van artikel 8:41, vijfde lid, van de Algemene wet bestuursrecht, bedraagt de termijn waarbinnen de bijschrijving of storting van het verschuldigde griffierecht dient plaats te vinden, twee weken.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5. De bestuursrechter behandelt de zaak op versnelde wijze overeenkomstig artikel 8:52, tweede lid, onderdelen b tot en met f, en derde lid, van de Algemene wet bestuursrecht. Afdeling 8.2.4 van die wet blijft buiten toepassing.</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6. De bestuursrechter doet uitspraak uiterlijk op de veertiende dag nadat het beroepschrift is ontvangen. Indien met toepassing van artikel 8:14, eerste lid, van de Algemene wet bestuursrecht twee of meer zaken gevoegd worden behandeld, doet de bestuursrechter uitspraak uiterlijk op de veertiende dag na ontvangst van het laatst ontvangen beroepschrift.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b/>
          <w:sz w:val="24"/>
        </w:rPr>
        <w:t>Artikel 3A:145. Rechtsvermoeden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Bij de beoordeling van een verzoek tot het treffen van een voorlopige voorziening als bedoeld in artikel 8:81 van de Algemene wet bestuursrecht met betrekking tot een besluit tot het nemen van een afwikkelingsmaatregel, gaat de voorzieningenrechter uit van het rechtsvermoeden dat opschorting van de uitvoering van het besluit tegen het algemeen belang indruist.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 xml:space="preserve">Artikel 3A:146. </w:t>
      </w:r>
      <w:proofErr w:type="spellStart"/>
      <w:r w:rsidRPr="005F0C18">
        <w:rPr>
          <w:rFonts w:ascii="Times New Roman" w:hAnsi="Times New Roman"/>
          <w:b/>
          <w:sz w:val="24"/>
        </w:rPr>
        <w:t>Instandlating</w:t>
      </w:r>
      <w:proofErr w:type="spellEnd"/>
      <w:r w:rsidRPr="005F0C18">
        <w:rPr>
          <w:rFonts w:ascii="Times New Roman" w:hAnsi="Times New Roman"/>
          <w:b/>
          <w:sz w:val="24"/>
        </w:rPr>
        <w:t xml:space="preserve"> rechtsgevolgen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bestuursrechter geeft, indien een beroep tegen een besluit tot het nemen van een afwikkelingsmaatregel gegrond wordt verklaard, toepassing aan artikel 8:72, derde lid, onderdeel a, van de Algemene wet bestuursrecht, indien dit noodzakelijk is ter bescherming van de belangen van te goeder trouw handelende derden die ingevolge het besluit andere eigendomsinstrumenten, activa, rechten of passiva van de centrale tegenpartij in afwikkeling hebben verkregen.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G</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5:71, eerste lid, onderdeel l, wordt “bank of verzekeraar” vervangen door “bank, verzekeraar of centrale tegenpartij” en wordt “artikel 3A:1, onderscheidenlijk artikel 3A:77” vervangen door “artikel 3A:1, onderscheidenlijk artikel 3A:77, onderscheidenlijk 3A:140”.</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 xml:space="preserve">ARTIKEL II </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Bankwet 1998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1, eerste lid, wordt onder vervanging van de punt aan het slot van onderdeel h door een puntkomma een onderdeel toegevoegd,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 verordening herstel en afwikkeling centrale tegenpartijen: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4a wordt na “verordening gemeenschappelijk afwikkelingsmechanisme” ingevoegd “ of artikel 21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12b, derde lid, wordt “3A:11” vervangen door “3A:11a” en wordt “en aan de artikelen 12, 15 en 16 van de verordening herstel en afwikkeling centrale tegenpartijen” toegevoegd.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III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2, tweede lid, onderdeel c, van de Wet bekostiging financieel toezicht 2019</w:t>
      </w:r>
      <w:r w:rsidRPr="005F0C18">
        <w:rPr>
          <w:rFonts w:ascii="Times New Roman" w:hAnsi="Times New Roman"/>
          <w:b/>
          <w:sz w:val="24"/>
        </w:rPr>
        <w:t xml:space="preserve"> </w:t>
      </w:r>
      <w:r w:rsidRPr="005F0C18">
        <w:rPr>
          <w:rFonts w:ascii="Times New Roman" w:hAnsi="Times New Roman"/>
          <w:sz w:val="24"/>
        </w:rPr>
        <w:t>wordt een subonderdeel toegevoegd,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bookmarkStart w:name="_Hlk94691846" w:id="4"/>
      <w:r w:rsidRPr="005F0C18">
        <w:rPr>
          <w:rFonts w:ascii="Times New Roman" w:hAnsi="Times New Roman"/>
          <w:b/>
          <w:sz w:val="24"/>
        </w:rPr>
        <w:t>ARTIKEL IV</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 xml:space="preserve">De </w:t>
      </w:r>
      <w:r w:rsidRPr="00D554F2">
        <w:rPr>
          <w:rFonts w:ascii="Times New Roman" w:hAnsi="Times New Roman"/>
          <w:sz w:val="24"/>
        </w:rPr>
        <w:t xml:space="preserve">Faillissementswet </w:t>
      </w:r>
      <w:r w:rsidRPr="005F0C18">
        <w:rPr>
          <w:rFonts w:ascii="Times New Roman" w:hAnsi="Times New Roman"/>
          <w:sz w:val="24"/>
        </w:rPr>
        <w:t>wordt gewijzigd als volgt:</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Artikel 212a, onderdeel c, komt te luiden:</w:t>
      </w: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 xml:space="preserve">c. centrale tegenpartij: </w:t>
      </w:r>
      <w:r w:rsidRPr="005F0C18">
        <w:rPr>
          <w:rFonts w:ascii="Times New Roman" w:hAnsi="Times New Roman"/>
          <w:bCs/>
          <w:sz w:val="24"/>
        </w:rPr>
        <w:t xml:space="preserve">een centrale tegenpartij als bedoeld in artikel 2, onderdeel 1, van de Verordening (EU) nr. 648/2012 van het Europees Parlement en de Raad van 4 juli 2012 betreffende </w:t>
      </w:r>
      <w:proofErr w:type="spellStart"/>
      <w:r w:rsidRPr="005F0C18">
        <w:rPr>
          <w:rFonts w:ascii="Times New Roman" w:hAnsi="Times New Roman"/>
          <w:bCs/>
          <w:sz w:val="24"/>
        </w:rPr>
        <w:t>otc</w:t>
      </w:r>
      <w:proofErr w:type="spellEnd"/>
      <w:r w:rsidRPr="005F0C18">
        <w:rPr>
          <w:rFonts w:ascii="Times New Roman" w:hAnsi="Times New Roman"/>
          <w:bCs/>
          <w:sz w:val="24"/>
        </w:rPr>
        <w:t>-derivaten, centrale tegenpartijen en transactieregisters (</w:t>
      </w:r>
      <w:proofErr w:type="spellStart"/>
      <w:r w:rsidRPr="005F0C18">
        <w:rPr>
          <w:rFonts w:ascii="Times New Roman" w:hAnsi="Times New Roman"/>
          <w:bCs/>
          <w:sz w:val="24"/>
        </w:rPr>
        <w:t>PbEU</w:t>
      </w:r>
      <w:proofErr w:type="spellEnd"/>
      <w:r w:rsidRPr="005F0C18">
        <w:rPr>
          <w:rFonts w:ascii="Times New Roman" w:hAnsi="Times New Roman"/>
          <w:bCs/>
          <w:sz w:val="24"/>
        </w:rPr>
        <w:t xml:space="preserve"> 2012, L 201)</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Aan Titel I</w:t>
      </w:r>
      <w:r w:rsidRPr="005F0C18">
        <w:rPr>
          <w:rFonts w:ascii="Times New Roman" w:hAnsi="Times New Roman"/>
          <w:b/>
          <w:bCs/>
          <w:sz w:val="24"/>
        </w:rPr>
        <w:t xml:space="preserve"> </w:t>
      </w:r>
      <w:r w:rsidRPr="005F0C18">
        <w:rPr>
          <w:rFonts w:ascii="Times New Roman" w:hAnsi="Times New Roman"/>
          <w:sz w:val="24"/>
        </w:rPr>
        <w:t>wordt een afdeling toegevoegd, luidende:</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AFDELING 11C. VAN HET FAILLISSEMENT VAN EEN CENTRALE TEGENPARTIJ</w:t>
      </w:r>
    </w:p>
    <w:p w:rsidRPr="005F0C18" w:rsidR="005F0C18" w:rsidP="005F0C18" w:rsidRDefault="005F0C18">
      <w:pPr>
        <w:spacing w:line="240" w:lineRule="atLeast"/>
        <w:rPr>
          <w:rFonts w:ascii="Times New Roman" w:hAnsi="Times New Roman"/>
          <w:b/>
          <w:sz w:val="24"/>
        </w:rPr>
      </w:pPr>
    </w:p>
    <w:p w:rsidRPr="005F0C18" w:rsidR="005F0C18" w:rsidP="005F0C18" w:rsidRDefault="005F0C18">
      <w:pPr>
        <w:spacing w:line="240" w:lineRule="atLeast"/>
        <w:rPr>
          <w:rFonts w:ascii="Times New Roman" w:hAnsi="Times New Roman"/>
          <w:b/>
          <w:sz w:val="24"/>
        </w:rPr>
      </w:pPr>
      <w:r w:rsidRPr="005F0C18">
        <w:rPr>
          <w:rFonts w:ascii="Times New Roman" w:hAnsi="Times New Roman"/>
          <w:b/>
          <w:sz w:val="24"/>
        </w:rPr>
        <w:t>Artikel 213ll</w:t>
      </w:r>
    </w:p>
    <w:p w:rsidRPr="005F0C18" w:rsidR="005F0C18" w:rsidP="005F0C18" w:rsidRDefault="005F0C18">
      <w:pPr>
        <w:spacing w:line="240" w:lineRule="atLeast"/>
        <w:rPr>
          <w:rFonts w:ascii="Times New Roman" w:hAnsi="Times New Roman"/>
          <w:b/>
          <w:sz w:val="24"/>
        </w:rPr>
      </w:pP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1. Voor de toepassing van deze afdeling wordt verstaan onder:</w:t>
      </w: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bCs/>
          <w:sz w:val="24"/>
        </w:rPr>
        <w:t xml:space="preserve">a. verordening centrale tegenpartijen: </w:t>
      </w:r>
      <w:r w:rsidRPr="005F0C18">
        <w:rPr>
          <w:rFonts w:ascii="Times New Roman" w:hAnsi="Times New Roman"/>
          <w:sz w:val="24"/>
        </w:rPr>
        <w:t xml:space="preserve">Verordening (EU) 648/2012 van het Europees Parlement en de Raad van 4 juli 2012 betreffende </w:t>
      </w:r>
      <w:proofErr w:type="spellStart"/>
      <w:r w:rsidRPr="005F0C18">
        <w:rPr>
          <w:rFonts w:ascii="Times New Roman" w:hAnsi="Times New Roman"/>
          <w:sz w:val="24"/>
        </w:rPr>
        <w:t>otc</w:t>
      </w:r>
      <w:proofErr w:type="spellEnd"/>
      <w:r w:rsidRPr="005F0C18">
        <w:rPr>
          <w:rFonts w:ascii="Times New Roman" w:hAnsi="Times New Roman"/>
          <w:sz w:val="24"/>
        </w:rPr>
        <w:t>-derivaten, centrale tegenpartijen en transactieregisters (</w:t>
      </w:r>
      <w:proofErr w:type="spellStart"/>
      <w:r w:rsidRPr="005F0C18">
        <w:rPr>
          <w:rFonts w:ascii="Times New Roman" w:hAnsi="Times New Roman"/>
          <w:sz w:val="24"/>
        </w:rPr>
        <w:t>PbEU</w:t>
      </w:r>
      <w:proofErr w:type="spellEnd"/>
      <w:r w:rsidRPr="005F0C18">
        <w:rPr>
          <w:rFonts w:ascii="Times New Roman" w:hAnsi="Times New Roman"/>
          <w:sz w:val="24"/>
        </w:rPr>
        <w:t xml:space="preserve"> 2012, L 201);</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b. centrale tegenpartij: een centrale tegenpartij als bedoeld in artikel 2, onderdeel 1, van de verordening centrale tegenpartijen;</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c. lidstaat: een staat die lid is van de Europese Unie alsmede een staat, niet zijnde een lidstaat van de Europese Unie, die partij is bij de overeenkomst betreffende de Europese Economische Ruimte (</w:t>
      </w:r>
      <w:proofErr w:type="spellStart"/>
      <w:r w:rsidRPr="005F0C18">
        <w:rPr>
          <w:rFonts w:ascii="Times New Roman" w:hAnsi="Times New Roman"/>
          <w:bCs/>
          <w:sz w:val="24"/>
        </w:rPr>
        <w:t>Trb</w:t>
      </w:r>
      <w:proofErr w:type="spellEnd"/>
      <w:r w:rsidRPr="005F0C18">
        <w:rPr>
          <w:rFonts w:ascii="Times New Roman" w:hAnsi="Times New Roman"/>
          <w:bCs/>
          <w:sz w:val="24"/>
        </w:rPr>
        <w:t>. 1992, 132);</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d. verordening herstel en afwikkeling centrale tegenpartijen: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bCs/>
          <w:sz w:val="24"/>
        </w:rPr>
        <w:t>PbEU</w:t>
      </w:r>
      <w:proofErr w:type="spellEnd"/>
      <w:r w:rsidRPr="005F0C18">
        <w:rPr>
          <w:rFonts w:ascii="Times New Roman" w:hAnsi="Times New Roman"/>
          <w:bCs/>
          <w:sz w:val="24"/>
        </w:rPr>
        <w:t xml:space="preserve"> 2021, L 22);</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e. afwikkelingsmaatregel: een overeenkomstig artikel 22 van de verordening herstel en afwikkeling centrale tegenpartijen genomen besluit om een centrale tegenpartij af te wikkelen, de toepassing van een afwikkelingsinstrument als bedoeld in artikel 27, eerste lid, van die verordening of de uitoefening van een of meer afwikkelingsbevoegdheden als bedoeld in de artikelen 48 tot en met 58 van die verordening;</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f. afwikkelingscollege: een college als bedoeld in artikel 4 van de verordening herstel en afwikkeling centrale tegenpartijen;</w:t>
      </w:r>
    </w:p>
    <w:p w:rsidRPr="005F0C18" w:rsidR="005F0C18" w:rsidP="005F0C18" w:rsidRDefault="005F0C18">
      <w:pPr>
        <w:spacing w:line="240" w:lineRule="atLeast"/>
        <w:ind w:firstLine="284"/>
        <w:jc w:val="both"/>
        <w:rPr>
          <w:rFonts w:ascii="Times New Roman" w:hAnsi="Times New Roman"/>
          <w:bCs/>
          <w:sz w:val="24"/>
        </w:rPr>
      </w:pPr>
      <w:r w:rsidRPr="005F0C18">
        <w:rPr>
          <w:rFonts w:ascii="Times New Roman" w:hAnsi="Times New Roman"/>
          <w:bCs/>
          <w:sz w:val="24"/>
        </w:rPr>
        <w:t>g. toezichtscollege: een college als bedoeld in artikel 18 van verordening centrale tegenpartijen.</w:t>
      </w:r>
    </w:p>
    <w:p w:rsidRPr="005F0C18" w:rsidR="005F0C18" w:rsidP="005F0C18" w:rsidRDefault="005F0C18">
      <w:pPr>
        <w:spacing w:line="240" w:lineRule="atLeast"/>
        <w:rPr>
          <w:rFonts w:ascii="Times New Roman" w:hAnsi="Times New Roman"/>
          <w:bCs/>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213mm</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afwijking van artikel 2, eerste lid, geschiedt de faillietverklaring van een in Nederland gevestigde centrale tegenpartij door de rechtbank Amsterdam.</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Een in een andere lidstaat dan Nederland gevestigde centrale tegenpartij die daar een vergunning heeft verkregen kan in Nederland niet in staat van faillissement worden verklaard.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213nn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De Nederlandsche Bank N.V. kan de rechtbank Amsterdam verzoeken ten aanzien van een centrale tegenpartij het faillissement uit te spreken indien is voldaan aan de voorwaarden bedoeld in artikel 22, eerste lid, onderdelen a en b, van de verordening herstel en afwikkeling centrale tegenpartijen, maar een afwikkelingsmaatregel niet in het algemeen belang, bedoeld in onderdeel c van dat artikel, is.</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De Nederlandsche Bank N.V. zendt een afschrift van het verzoekschrift aan de centrale tegenpartij, de leden van het toezichtscollege en de leden van het afwikkelingscollege.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3. Een ander dan De Nederlandsche Bank N.V. kan niet het faillissement van een centrale </w:t>
      </w:r>
      <w:r w:rsidRPr="005F0C18">
        <w:rPr>
          <w:rFonts w:ascii="Times New Roman" w:hAnsi="Times New Roman"/>
          <w:sz w:val="24"/>
        </w:rPr>
        <w:lastRenderedPageBreak/>
        <w:t xml:space="preserve">tegenpartij aanvragen. </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4. Een centrale tegenpartij kan aangifte doen van haar eigen faillissement. In dat geval stelt de rechtbank De Nederlandsche Bank N.V. in staat te worden gehoord alvorens te beslissen op de aangifte. De rechtbank spreekt het faillissement pas uit nadat is voldaan aan de voorwaarden bedoeld in artikel 75, derde lid, van de verordening herstel en afwikkeling centrale tegenpartijen. </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213oo</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De centrale tegenpartij kan, na in gelegenheid te zijn gesteld te worden gehoord, zich verweren tegen het oordeel van De Nederlandsche Bank N.V. dat is voldaan aan de voorwaarden bedoeld in artikel 213nn, eerste lid.</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Ingeval een centrale tegenpartij zich heeft verweerd tegen een oordeel als bedoeld in het eerste lid, verklaart de rechtbank dat verweer uitsluitend dan gegrond indien De Nederlandsche Bank N.V. in redelijkheid niet tot dat oordeel heeft kunnen komen.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213pp</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rechtbank spreekt het faillissement uit indien summierlijk blijkt dat is voldaan aan de voorwaarden, bedoeld in artikel 22, eerste lid, onderdelen a en b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213qq</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artikelen 212he, 212hga, eerste lid, en 212i zijn van overeenkomstige toepassing, met dien verstande dat voor “bank” gelezen moet worden “centrale tegenpartij”.</w:t>
      </w:r>
    </w:p>
    <w:bookmarkEnd w:id="4"/>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bCs/>
          <w:sz w:val="24"/>
        </w:rPr>
      </w:pPr>
      <w:r w:rsidRPr="005F0C18">
        <w:rPr>
          <w:rFonts w:ascii="Times New Roman" w:hAnsi="Times New Roman"/>
          <w:b/>
          <w:bCs/>
          <w:sz w:val="24"/>
        </w:rPr>
        <w:t>Artikel 213rr</w:t>
      </w:r>
    </w:p>
    <w:p w:rsidRPr="005F0C18" w:rsidR="005F0C18" w:rsidP="005F0C18" w:rsidRDefault="005F0C18">
      <w:pPr>
        <w:widowControl w:val="0"/>
        <w:spacing w:line="240" w:lineRule="atLeast"/>
        <w:rPr>
          <w:rFonts w:ascii="Times New Roman" w:hAnsi="Times New Roman"/>
          <w:b/>
          <w:bCs/>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10 is niet van toepassing.</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214, vierde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4. Surseance van betaling wordt niet verleend aan een natuurlijke persoon die geen zelfstandig beroep of bedrijf uitoefent, noch aan een bank als bedoeld in artikel 212g, eerste lid, onderdeel a, noch aan een beleggingsonderneming als bedoeld in artikel 212oo, tweede zin, noch aan een verzekeraar als bedoeld in artikel 213, noch aan een centrale tegenpartij als bedoeld in artikel 213ll, onderdeel 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284, vijfde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5. De schuldsaneringsregeling natuurlijke personen kan niet van toepassing worden verklaard op een bank als bedoeld in artikel 212g, onderdeel a, noch op een beleggingsonderneming als bedoeld in artikel 212oo, noch op een verzekeraar als bedoeld in artikel 213.</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 xml:space="preserve">In artikel 369, eerste lid, wordt na </w:t>
      </w:r>
      <w:r w:rsidRPr="005F0C18">
        <w:rPr>
          <w:rFonts w:ascii="Times New Roman" w:hAnsi="Times New Roman"/>
          <w:bCs/>
          <w:sz w:val="24"/>
        </w:rPr>
        <w:t>“</w:t>
      </w:r>
      <w:r w:rsidRPr="005F0C18">
        <w:rPr>
          <w:rFonts w:ascii="Times New Roman" w:hAnsi="Times New Roman"/>
          <w:sz w:val="24"/>
        </w:rPr>
        <w:t>noch op een bank als bedoeld in artikel 212g, onderdeel a,</w:t>
      </w:r>
      <w:r w:rsidRPr="005F0C18">
        <w:rPr>
          <w:rFonts w:ascii="Times New Roman" w:hAnsi="Times New Roman"/>
          <w:bCs/>
          <w:sz w:val="24"/>
        </w:rPr>
        <w:t xml:space="preserve">” </w:t>
      </w:r>
      <w:r w:rsidRPr="005F0C18">
        <w:rPr>
          <w:rFonts w:ascii="Times New Roman" w:hAnsi="Times New Roman"/>
          <w:sz w:val="24"/>
        </w:rPr>
        <w:t xml:space="preserve">het woord </w:t>
      </w:r>
      <w:r w:rsidRPr="005F0C18">
        <w:rPr>
          <w:rFonts w:ascii="Times New Roman" w:hAnsi="Times New Roman"/>
          <w:bCs/>
          <w:sz w:val="24"/>
        </w:rPr>
        <w:t>“of” vervangen door “</w:t>
      </w:r>
      <w:r w:rsidRPr="005F0C18">
        <w:rPr>
          <w:rFonts w:ascii="Times New Roman" w:hAnsi="Times New Roman"/>
          <w:sz w:val="24"/>
        </w:rPr>
        <w:t>noch op een beleggingsonderneming als bedoeld in artikel 212oo, tweede zin, noch op</w:t>
      </w:r>
      <w:r w:rsidRPr="005F0C18">
        <w:rPr>
          <w:rFonts w:ascii="Times New Roman" w:hAnsi="Times New Roman"/>
          <w:bCs/>
          <w:sz w:val="24"/>
        </w:rPr>
        <w:t>”</w:t>
      </w:r>
      <w:r w:rsidRPr="005F0C18">
        <w:rPr>
          <w:rFonts w:ascii="Times New Roman" w:hAnsi="Times New Roman"/>
          <w:sz w:val="24"/>
        </w:rPr>
        <w:t xml:space="preserve"> en wordt na </w:t>
      </w:r>
      <w:r w:rsidRPr="005F0C18">
        <w:rPr>
          <w:rFonts w:ascii="Times New Roman" w:hAnsi="Times New Roman"/>
          <w:bCs/>
          <w:sz w:val="24"/>
        </w:rPr>
        <w:t>“een verzekeraar als bedoeld in artikel 213, onderdeel a,” ingevoegd “</w:t>
      </w:r>
      <w:r w:rsidRPr="005F0C18">
        <w:rPr>
          <w:rFonts w:ascii="Times New Roman" w:hAnsi="Times New Roman"/>
          <w:sz w:val="24"/>
        </w:rPr>
        <w:t>noch op een centrale tegenpartij als bedoeld in artikel 213ll, onderdeel c,”.</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Algemene wet bestuursrecht</w:t>
      </w:r>
      <w:r w:rsidRPr="005F0C18">
        <w:rPr>
          <w:rFonts w:ascii="Times New Roman" w:hAnsi="Times New Roman"/>
          <w:b/>
          <w:sz w:val="24"/>
        </w:rPr>
        <w:t xml:space="preserve"> </w:t>
      </w:r>
      <w:r w:rsidRPr="005F0C18">
        <w:rPr>
          <w:rFonts w:ascii="Times New Roman" w:hAnsi="Times New Roman"/>
          <w:sz w:val="24"/>
        </w:rPr>
        <w:t>wordt gewijzigd als volgt:</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bijlage 1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 de artikelen 21 tot en met 58</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Bijlage 2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artikel 1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 de artikelen 21 tot en met 58, voor zover het betreft een weigering om een besluit te nemen of het niet tijdig nemen van een besluit</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 artikel 4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 de artikelen 21 tot en met 58</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In artikel 7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 met uitzondering van de artikelen 21 tot en met 58</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color w:val="000000"/>
          <w:sz w:val="24"/>
        </w:rPr>
      </w:pPr>
      <w:r w:rsidRPr="005F0C18">
        <w:rPr>
          <w:rFonts w:ascii="Times New Roman" w:hAnsi="Times New Roman"/>
          <w:sz w:val="24"/>
        </w:rPr>
        <w:t xml:space="preserve">4. In artikel 11 wordt in de alfabetische volgorde ingevoegd: Verordening (EU) 2021/23 van het Europees Parlement en de Raad van 16 december 2020 betreffende een kader voor het </w:t>
      </w:r>
      <w:r w:rsidRPr="005F0C18">
        <w:rPr>
          <w:rFonts w:ascii="Times New Roman" w:hAnsi="Times New Roman"/>
          <w:sz w:val="24"/>
        </w:rPr>
        <w:lastRenderedPageBreak/>
        <w:t>herstel en de afwikkeling van centrale tegenpartijen en tot wijziging van de Verordeningen (EU) nr. 1095/2010, (EU) nr. 648/2012, (EU) nr. 600/2014, (EU) nr. 806/2014 en (EU) 2015/2365, en de Richtlijnen 2002/47/EG, 2004/25/EG, 2007/36/EG, 2014/59/EU en (EU) 2017/1132 (</w:t>
      </w:r>
      <w:proofErr w:type="spellStart"/>
      <w:r w:rsidRPr="005F0C18">
        <w:rPr>
          <w:rFonts w:ascii="Times New Roman" w:hAnsi="Times New Roman"/>
          <w:sz w:val="24"/>
        </w:rPr>
        <w:t>PbEU</w:t>
      </w:r>
      <w:proofErr w:type="spellEnd"/>
      <w:r w:rsidRPr="005F0C18">
        <w:rPr>
          <w:rFonts w:ascii="Times New Roman" w:hAnsi="Times New Roman"/>
          <w:sz w:val="24"/>
        </w:rPr>
        <w:t xml:space="preserve"> 2021, L 22), met uitzondering van de artikelen de artikelen 21 tot en met 58</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Het Burgerlijk Wetboek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115 van Boek 2 wordt een vijfde lid toegevoegd, luidende:</w:t>
      </w:r>
    </w:p>
    <w:p w:rsidRPr="005F0C18" w:rsidR="005F0C18" w:rsidP="005F0C18" w:rsidRDefault="005F0C18">
      <w:pPr>
        <w:widowControl w:val="0"/>
        <w:spacing w:line="240" w:lineRule="atLeast"/>
        <w:ind w:firstLine="284"/>
        <w:rPr>
          <w:rFonts w:ascii="Times New Roman" w:hAnsi="Times New Roman"/>
          <w:b/>
          <w:sz w:val="24"/>
        </w:rPr>
      </w:pPr>
      <w:r w:rsidRPr="005F0C18">
        <w:rPr>
          <w:rFonts w:ascii="Times New Roman" w:hAnsi="Times New Roman"/>
          <w:sz w:val="24"/>
        </w:rPr>
        <w:t>5. Het derde en vierde lid zijn van overeenkomstige toepassing op de statuten van een centrale tegenpartij als bedoeld in artikel 1:1 van de Wet op het financieel toezicht, indien is voldaan aan de voorwaarden van artikel 18, eerste lid, aanhef van de verordening herstel en afwikkeling centrale tegenpartijen bedoeld in artikel 1:1 van de Wet op het financieel toezicht en de uitgifte van aandelen noodzakelijk is om te voorkomen dat aan de voorwaarden voor afwikkeling, bedoeld in artikel 22, eerste lid, van die verordening wordt voldaan.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80, tweede lid, van Boek 3 wordt na “artikel 334a van Boek 2” ingevoegd “, door een besluit tot overgang als bedoeld in artikel 3A:21, eerste lid, onderdeel b,” en wordt na “en 3A:77, onderdelen b, c en d, van de Wet op het financieel toezicht” ingevoegd “of artikel 27, eerste lid, van de verordening herstel en afwikkeling centrale tegenpartijen als bedoeld in artikel 1:1 van de Wet op het financieel toezicht”.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bookmarkStart w:name="_GoBack" w:id="5"/>
      <w:bookmarkEnd w:id="5"/>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VII</w:t>
      </w:r>
    </w:p>
    <w:p w:rsidRPr="005F0C18" w:rsidR="005F0C18" w:rsidP="005F0C18" w:rsidRDefault="005F0C18">
      <w:pPr>
        <w:widowControl w:val="0"/>
        <w:spacing w:line="240" w:lineRule="atLeast"/>
        <w:rPr>
          <w:rFonts w:ascii="Times New Roman" w:hAnsi="Times New Roman"/>
          <w:sz w:val="24"/>
        </w:rPr>
      </w:pPr>
    </w:p>
    <w:p w:rsidRPr="00E972BE" w:rsidR="00D554F2" w:rsidP="00D554F2" w:rsidRDefault="00D554F2">
      <w:pPr>
        <w:widowControl w:val="0"/>
        <w:tabs>
          <w:tab w:val="num" w:pos="720"/>
        </w:tabs>
        <w:ind w:firstLine="284"/>
        <w:rPr>
          <w:rFonts w:ascii="Times New Roman" w:hAnsi="Times New Roman"/>
          <w:sz w:val="24"/>
        </w:rPr>
      </w:pPr>
      <w:r w:rsidRPr="00E972BE">
        <w:rPr>
          <w:rFonts w:ascii="Times New Roman" w:hAnsi="Times New Roman"/>
          <w:sz w:val="24"/>
        </w:rPr>
        <w:t>Deze wet treedt in werking met ingang van de dag na de datum van uitgifte van het Staatsblad waarin zij wordt geplaatst.</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VIII</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Deze wet wordt aangehaald als: Uitvoeringswet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 xml:space="preserve">Gegeven </w:t>
      </w: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r w:rsidRPr="005F0C18">
        <w:rPr>
          <w:rFonts w:ascii="Times New Roman" w:hAnsi="Times New Roman"/>
          <w:sz w:val="24"/>
        </w:rPr>
        <w:t>De Minister van Financiën,</w:t>
      </w: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r w:rsidRPr="005F0C18">
        <w:rPr>
          <w:rFonts w:ascii="Times New Roman" w:hAnsi="Times New Roman"/>
          <w:sz w:val="24"/>
        </w:rPr>
        <w:t>De Minister voor Rechtsbescherming,</w:t>
      </w:r>
    </w:p>
    <w:p w:rsidRPr="005F0C18" w:rsidR="00CB3578" w:rsidP="00A11E73" w:rsidRDefault="00CB3578">
      <w:pPr>
        <w:tabs>
          <w:tab w:val="left" w:pos="284"/>
          <w:tab w:val="left" w:pos="567"/>
          <w:tab w:val="left" w:pos="851"/>
        </w:tabs>
        <w:ind w:right="1848"/>
        <w:rPr>
          <w:rFonts w:ascii="Times New Roman" w:hAnsi="Times New Roman"/>
          <w:sz w:val="24"/>
        </w:rPr>
      </w:pPr>
    </w:p>
    <w:sectPr w:rsidRPr="005F0C18"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C18" w:rsidRDefault="005F0C18">
      <w:pPr>
        <w:spacing w:line="20" w:lineRule="exact"/>
      </w:pPr>
    </w:p>
  </w:endnote>
  <w:endnote w:type="continuationSeparator" w:id="0">
    <w:p w:rsidR="005F0C18" w:rsidRDefault="005F0C18">
      <w:pPr>
        <w:pStyle w:val="Amendement"/>
      </w:pPr>
      <w:r>
        <w:rPr>
          <w:b w:val="0"/>
          <w:bCs w:val="0"/>
        </w:rPr>
        <w:t xml:space="preserve"> </w:t>
      </w:r>
    </w:p>
  </w:endnote>
  <w:endnote w:type="continuationNotice" w:id="1">
    <w:p w:rsidR="005F0C18" w:rsidRDefault="005F0C1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554F2">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C18" w:rsidRDefault="005F0C18">
      <w:pPr>
        <w:pStyle w:val="Amendement"/>
      </w:pPr>
      <w:r>
        <w:rPr>
          <w:b w:val="0"/>
          <w:bCs w:val="0"/>
        </w:rPr>
        <w:separator/>
      </w:r>
    </w:p>
  </w:footnote>
  <w:footnote w:type="continuationSeparator" w:id="0">
    <w:p w:rsidR="005F0C18" w:rsidRDefault="005F0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18"/>
    <w:rsid w:val="00012DBE"/>
    <w:rsid w:val="000A1D81"/>
    <w:rsid w:val="00111ED3"/>
    <w:rsid w:val="001C190E"/>
    <w:rsid w:val="002168F4"/>
    <w:rsid w:val="002A727C"/>
    <w:rsid w:val="005D2707"/>
    <w:rsid w:val="005F0C18"/>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4F2"/>
    <w:rsid w:val="00D55648"/>
    <w:rsid w:val="00DC0C9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5E6D7"/>
  <w15:docId w15:val="{1860BB40-61B5-4669-974B-1E84B3C2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554F2"/>
    <w:rPr>
      <w:rFonts w:ascii="Segoe UI" w:hAnsi="Segoe UI" w:cs="Segoe UI"/>
      <w:sz w:val="18"/>
      <w:szCs w:val="18"/>
    </w:rPr>
  </w:style>
  <w:style w:type="character" w:customStyle="1" w:styleId="BallontekstChar">
    <w:name w:val="Ballontekst Char"/>
    <w:basedOn w:val="Standaardalinea-lettertype"/>
    <w:link w:val="Ballontekst"/>
    <w:semiHidden/>
    <w:rsid w:val="00D554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3292</ap:Words>
  <ap:Characters>18936</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2022-07-06T10:29:00.0000000Z</lastPrinted>
  <dcterms:created xsi:type="dcterms:W3CDTF">2022-07-06T10:25:00.0000000Z</dcterms:created>
  <dcterms:modified xsi:type="dcterms:W3CDTF">2022-07-06T10:31:00.0000000Z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