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F0C18" w:rsidR="00CB3578" w:rsidTr="00F13442">
        <w:trPr>
          <w:cantSplit/>
        </w:trPr>
        <w:tc>
          <w:tcPr>
            <w:tcW w:w="9142" w:type="dxa"/>
            <w:gridSpan w:val="2"/>
            <w:tcBorders>
              <w:top w:val="nil"/>
              <w:left w:val="nil"/>
              <w:bottom w:val="nil"/>
              <w:right w:val="nil"/>
            </w:tcBorders>
          </w:tcPr>
          <w:p w:rsidRPr="00D554F2" w:rsidR="00CB3578" w:rsidP="00D554F2" w:rsidRDefault="00D554F2">
            <w:pPr>
              <w:pStyle w:val="Amendement"/>
              <w:rPr>
                <w:rFonts w:ascii="Times New Roman" w:hAnsi="Times New Roman" w:cs="Times New Roman"/>
                <w:b w:val="0"/>
              </w:rPr>
            </w:pPr>
            <w:r w:rsidRPr="00D554F2">
              <w:rPr>
                <w:rFonts w:ascii="Times New Roman" w:hAnsi="Times New Roman" w:cs="Times New Roman"/>
                <w:b w:val="0"/>
              </w:rPr>
              <w:t>Bijgewerkt t/m nr. 7 (</w:t>
            </w:r>
            <w:proofErr w:type="spellStart"/>
            <w:r w:rsidRPr="00D554F2">
              <w:rPr>
                <w:rFonts w:ascii="Times New Roman" w:hAnsi="Times New Roman" w:cs="Times New Roman"/>
                <w:b w:val="0"/>
              </w:rPr>
              <w:t>NvW</w:t>
            </w:r>
            <w:proofErr w:type="spellEnd"/>
            <w:r w:rsidRPr="00D554F2">
              <w:rPr>
                <w:rFonts w:ascii="Times New Roman" w:hAnsi="Times New Roman" w:cs="Times New Roman"/>
                <w:b w:val="0"/>
              </w:rPr>
              <w:t xml:space="preserve"> d.d. 6 juli 2022)</w:t>
            </w:r>
          </w:p>
        </w:tc>
      </w:tr>
      <w:tr w:rsidRPr="005F0C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F0C1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F0C18" w:rsidR="00CB3578" w:rsidRDefault="00CB3578">
            <w:pPr>
              <w:tabs>
                <w:tab w:val="left" w:pos="-1440"/>
                <w:tab w:val="left" w:pos="-720"/>
              </w:tabs>
              <w:suppressAutoHyphens/>
              <w:rPr>
                <w:rFonts w:ascii="Times New Roman" w:hAnsi="Times New Roman"/>
                <w:b/>
                <w:bCs/>
                <w:sz w:val="24"/>
              </w:rPr>
            </w:pPr>
          </w:p>
        </w:tc>
      </w:tr>
      <w:tr w:rsidRPr="005F0C18"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F0C18" w:rsidR="002A727C" w:rsidP="00F13442" w:rsidRDefault="005F0C18">
            <w:pPr>
              <w:rPr>
                <w:rFonts w:ascii="Times New Roman" w:hAnsi="Times New Roman"/>
                <w:b/>
                <w:sz w:val="24"/>
              </w:rPr>
            </w:pPr>
            <w:r w:rsidRPr="005F0C18">
              <w:rPr>
                <w:rFonts w:ascii="Times New Roman" w:hAnsi="Times New Roman"/>
                <w:b/>
                <w:sz w:val="24"/>
              </w:rPr>
              <w:t>36 105</w:t>
            </w:r>
          </w:p>
        </w:tc>
        <w:tc>
          <w:tcPr>
            <w:tcW w:w="6590" w:type="dxa"/>
            <w:tcBorders>
              <w:top w:val="nil"/>
              <w:left w:val="nil"/>
              <w:bottom w:val="nil"/>
              <w:right w:val="nil"/>
            </w:tcBorders>
          </w:tcPr>
          <w:p w:rsidRPr="005F0C18" w:rsidR="002A727C" w:rsidP="000D5BC4" w:rsidRDefault="005F0C18">
            <w:pPr>
              <w:rPr>
                <w:rFonts w:ascii="Times New Roman" w:hAnsi="Times New Roman"/>
                <w:b/>
                <w:sz w:val="24"/>
              </w:rPr>
            </w:pPr>
            <w:r w:rsidRPr="005F0C18">
              <w:rPr>
                <w:rFonts w:ascii="Times New Roman" w:hAnsi="Times New Roman"/>
                <w:b/>
                <w:sz w:val="24"/>
              </w:rPr>
              <w:t>Wijziging van de Wet op het financieel toezicht, de Faillissementswet en enige andere wetten ter uitvoering van Verordening (EU) 2021/23 betreffende een kader voor het herstel en de afwikkeling van centrale tegenpartijen (Uitvoeringswet verordening herstel en afwikkeling centrale tegenpartijen)</w:t>
            </w:r>
          </w:p>
        </w:tc>
      </w:tr>
      <w:tr w:rsidRPr="005F0C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F0C1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F0C18" w:rsidR="00CB3578" w:rsidRDefault="00CB3578">
            <w:pPr>
              <w:pStyle w:val="Amendement"/>
              <w:rPr>
                <w:rFonts w:ascii="Times New Roman" w:hAnsi="Times New Roman" w:cs="Times New Roman"/>
              </w:rPr>
            </w:pPr>
          </w:p>
        </w:tc>
      </w:tr>
      <w:tr w:rsidRPr="005F0C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F0C1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F0C18" w:rsidR="00CB3578" w:rsidRDefault="00CB3578">
            <w:pPr>
              <w:pStyle w:val="Amendement"/>
              <w:rPr>
                <w:rFonts w:ascii="Times New Roman" w:hAnsi="Times New Roman" w:cs="Times New Roman"/>
              </w:rPr>
            </w:pPr>
          </w:p>
        </w:tc>
      </w:tr>
      <w:tr w:rsidRPr="005F0C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F0C18" w:rsidR="00CB3578" w:rsidRDefault="00CB3578">
            <w:pPr>
              <w:pStyle w:val="Amendement"/>
              <w:rPr>
                <w:rFonts w:ascii="Times New Roman" w:hAnsi="Times New Roman" w:cs="Times New Roman"/>
              </w:rPr>
            </w:pPr>
            <w:r w:rsidRPr="005F0C18">
              <w:rPr>
                <w:rFonts w:ascii="Times New Roman" w:hAnsi="Times New Roman" w:cs="Times New Roman"/>
              </w:rPr>
              <w:t>Nr. 2</w:t>
            </w:r>
          </w:p>
        </w:tc>
        <w:tc>
          <w:tcPr>
            <w:tcW w:w="6590" w:type="dxa"/>
            <w:tcBorders>
              <w:top w:val="nil"/>
              <w:left w:val="nil"/>
              <w:bottom w:val="nil"/>
              <w:right w:val="nil"/>
            </w:tcBorders>
          </w:tcPr>
          <w:p w:rsidRPr="005F0C18" w:rsidR="00CB3578" w:rsidRDefault="00CB3578">
            <w:pPr>
              <w:pStyle w:val="Amendement"/>
              <w:rPr>
                <w:rFonts w:ascii="Times New Roman" w:hAnsi="Times New Roman" w:cs="Times New Roman"/>
              </w:rPr>
            </w:pPr>
            <w:r w:rsidRPr="005F0C18">
              <w:rPr>
                <w:rFonts w:ascii="Times New Roman" w:hAnsi="Times New Roman" w:cs="Times New Roman"/>
              </w:rPr>
              <w:t>VOORSTEL VAN WET</w:t>
            </w:r>
          </w:p>
        </w:tc>
      </w:tr>
      <w:tr w:rsidRPr="005F0C1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F0C1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F0C18" w:rsidR="00CB3578" w:rsidRDefault="00CB3578">
            <w:pPr>
              <w:pStyle w:val="Amendement"/>
              <w:rPr>
                <w:rFonts w:ascii="Times New Roman" w:hAnsi="Times New Roman" w:cs="Times New Roman"/>
              </w:rPr>
            </w:pPr>
          </w:p>
        </w:tc>
      </w:tr>
    </w:tbl>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Wij Willem-Alexander, bij de gratie Gods, Koning der Nederlanden, Prins van Oranje-Nassau, enz. enz. enz.</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Allen, die deze zullen zien of horen lezen, saluut! doen te weten:</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Alzo Wij in overweging genomen hebben, dat het noodzakelijk is om regels te stellen ter uitvoering van Verordening (EU) 2021/23 van het Europees Parlement en de Raad van 16 december 2020 betreffende een kader voor het herstel en de afwikkeling van centrale tegenpartijen en tot wijziging van de Verordeningen (EU) nr. 1095/2010, (EU) nr. 648/2012, (EU) nr. 600/2014, (EU) nr. 806/2014 en (EU) 201 5/2365, en de Richtlijnen 2002/47/EG, 2004/25/EG, 2007/36/EG, 2014/59/EU en (EU) 2017/1132 (</w:t>
      </w:r>
      <w:proofErr w:type="spellStart"/>
      <w:r w:rsidRPr="005F0C18">
        <w:rPr>
          <w:rFonts w:ascii="Times New Roman" w:hAnsi="Times New Roman"/>
          <w:sz w:val="24"/>
        </w:rPr>
        <w:t>PbEU</w:t>
      </w:r>
      <w:proofErr w:type="spellEnd"/>
      <w:r w:rsidRPr="005F0C18">
        <w:rPr>
          <w:rFonts w:ascii="Times New Roman" w:hAnsi="Times New Roman"/>
          <w:sz w:val="24"/>
        </w:rPr>
        <w:t xml:space="preserve"> 2021, L 22);</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Zo is het, dat Wij, de Afdeling advisering van de Raad van State gehoord, en met gemeen overleg der Staten</w:t>
      </w:r>
      <w:r w:rsidRPr="005F0C18">
        <w:rPr>
          <w:rFonts w:ascii="Times New Roman" w:hAnsi="Times New Roman"/>
          <w:sz w:val="24"/>
        </w:rPr>
        <w:noBreakHyphen/>
        <w:t>Generaal, hebben goedgevonden en verstaan, gelijk Wij goedvinden en verstaan bij deze:</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I</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 xml:space="preserve">De </w:t>
      </w:r>
      <w:r w:rsidRPr="005F0C18">
        <w:rPr>
          <w:rFonts w:ascii="Times New Roman" w:hAnsi="Times New Roman"/>
          <w:bCs/>
          <w:sz w:val="24"/>
        </w:rPr>
        <w:t>Wet op het financieel toezicht</w:t>
      </w:r>
      <w:r w:rsidRPr="005F0C18">
        <w:rPr>
          <w:rFonts w:ascii="Times New Roman" w:hAnsi="Times New Roman"/>
          <w:b/>
          <w:bCs/>
          <w:sz w:val="24"/>
        </w:rPr>
        <w:t xml:space="preserve"> </w:t>
      </w:r>
      <w:r w:rsidRPr="005F0C18">
        <w:rPr>
          <w:rFonts w:ascii="Times New Roman" w:hAnsi="Times New Roman"/>
          <w:sz w:val="24"/>
        </w:rPr>
        <w:t>wordt als volgt gewijzigd:</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A</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In artikel 1:1 worden in de alfabetische volgorde twee definities ingevoegd, luidende:</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i/>
          <w:iCs/>
          <w:sz w:val="24"/>
        </w:rPr>
        <w:t xml:space="preserve">centrale tegenpartij: </w:t>
      </w:r>
      <w:r w:rsidRPr="005F0C18">
        <w:rPr>
          <w:rFonts w:ascii="Times New Roman" w:hAnsi="Times New Roman"/>
          <w:sz w:val="24"/>
        </w:rPr>
        <w:t>een centrale tegenpartij als bedoeld in artikel 2, onderdeel 1, van de EMIR-verordening;</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i/>
          <w:sz w:val="24"/>
        </w:rPr>
        <w:t xml:space="preserve">verordening herstel en afwikkeling centrale tegenpartijen: </w:t>
      </w:r>
      <w:r w:rsidRPr="005F0C18">
        <w:rPr>
          <w:rFonts w:ascii="Times New Roman" w:hAnsi="Times New Roman"/>
          <w:iCs/>
          <w:sz w:val="24"/>
        </w:rPr>
        <w:t>Ve</w:t>
      </w:r>
      <w:r w:rsidRPr="005F0C18">
        <w:rPr>
          <w:rFonts w:ascii="Times New Roman" w:hAnsi="Times New Roman"/>
          <w:sz w:val="24"/>
        </w:rPr>
        <w:t>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w:t>
      </w:r>
      <w:proofErr w:type="spellStart"/>
      <w:r w:rsidRPr="005F0C18">
        <w:rPr>
          <w:rFonts w:ascii="Times New Roman" w:hAnsi="Times New Roman"/>
          <w:sz w:val="24"/>
        </w:rPr>
        <w:t>PbEU</w:t>
      </w:r>
      <w:proofErr w:type="spellEnd"/>
      <w:r w:rsidRPr="005F0C18">
        <w:rPr>
          <w:rFonts w:ascii="Times New Roman" w:hAnsi="Times New Roman"/>
          <w:sz w:val="24"/>
        </w:rPr>
        <w:t xml:space="preserve"> 2021, L 22);</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Pr>
          <w:rFonts w:ascii="Times New Roman" w:hAnsi="Times New Roman"/>
          <w:sz w:val="24"/>
        </w:rPr>
        <w:t>B</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Artikel 1:3a, tweede lid, komt te luiden:</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 xml:space="preserve">2. De artikelen 1:75 en 1:76 zijn van overeenkomstige toepassing op de uitvoering en handhaving van de regels die zijn gesteld bij of krachtens de EMIR-verordening, de verordening centrale </w:t>
      </w:r>
      <w:proofErr w:type="spellStart"/>
      <w:r w:rsidRPr="005F0C18">
        <w:rPr>
          <w:rFonts w:ascii="Times New Roman" w:hAnsi="Times New Roman"/>
          <w:sz w:val="24"/>
        </w:rPr>
        <w:t>effectenbewaarinstellingen</w:t>
      </w:r>
      <w:proofErr w:type="spellEnd"/>
      <w:r w:rsidRPr="005F0C18">
        <w:rPr>
          <w:rFonts w:ascii="Times New Roman" w:hAnsi="Times New Roman"/>
          <w:sz w:val="24"/>
        </w:rPr>
        <w:t xml:space="preserve"> en de verordening herstel en afwikkeling </w:t>
      </w:r>
      <w:r w:rsidRPr="005F0C18">
        <w:rPr>
          <w:rFonts w:ascii="Times New Roman" w:hAnsi="Times New Roman"/>
          <w:sz w:val="24"/>
        </w:rPr>
        <w:lastRenderedPageBreak/>
        <w:t>centrale tegenpartijen.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C</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bookmarkStart w:name="_Hlk102138583" w:id="0"/>
      <w:r w:rsidRPr="005F0C18">
        <w:rPr>
          <w:rFonts w:ascii="Times New Roman" w:hAnsi="Times New Roman"/>
          <w:sz w:val="24"/>
        </w:rPr>
        <w:t>In artikel 3A:2, onderdeel a, wordt de zinsnede “</w:t>
      </w:r>
      <w:bookmarkStart w:name="_Hlk102733914" w:id="1"/>
      <w:r w:rsidRPr="005F0C18">
        <w:rPr>
          <w:rFonts w:ascii="Times New Roman" w:hAnsi="Times New Roman"/>
          <w:sz w:val="24"/>
        </w:rPr>
        <w:t>, met uitzondering van rechtspersonen waaraan ook een vergunning is verleend overeenkomstig artikel 14 van de EMIR-verordening</w:t>
      </w:r>
      <w:bookmarkEnd w:id="1"/>
      <w:r w:rsidRPr="005F0C18">
        <w:rPr>
          <w:rFonts w:ascii="Times New Roman" w:hAnsi="Times New Roman"/>
          <w:sz w:val="24"/>
        </w:rPr>
        <w:t>” toegevoegd.</w:t>
      </w:r>
    </w:p>
    <w:bookmarkEnd w:id="0"/>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D</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Artikel 3A:21, eerste lid, wordt gewijzigd als volgt:</w:t>
      </w:r>
    </w:p>
    <w:p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1. In onderdeel b wordt “overgedragen aan” vervangen door “doen overgaan op” en wordt “waarbij de instemming van de verkrijger ingevolge artikel 3A:6, eerste lid, niet benodigd is” toegevoegd.</w:t>
      </w:r>
    </w:p>
    <w:p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2. In onderdeel c wordt “waaraan activa of passiva van die entiteit worden overgedragen” vervangen door “waarop activa of passiva van die entiteit overgaan”.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E</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In artikel 3A:44, eerste lid, wordt “waaraan activa of passiva van die entiteit worden overgedragen” vervangen door “waarop activa of passiva van die entiteit overgaan”.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F</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 xml:space="preserve">Aan het </w:t>
      </w:r>
      <w:r w:rsidRPr="005F0C18">
        <w:rPr>
          <w:rFonts w:ascii="Times New Roman" w:hAnsi="Times New Roman"/>
          <w:i/>
          <w:sz w:val="24"/>
        </w:rPr>
        <w:t xml:space="preserve">Deel Bijzondere maatregelen en voorzieningen betreffende financiële ondernemingen </w:t>
      </w:r>
      <w:r w:rsidRPr="005F0C18">
        <w:rPr>
          <w:rFonts w:ascii="Times New Roman" w:hAnsi="Times New Roman"/>
          <w:iCs/>
          <w:sz w:val="24"/>
        </w:rPr>
        <w:t xml:space="preserve">wordt </w:t>
      </w:r>
      <w:r w:rsidRPr="005F0C18">
        <w:rPr>
          <w:rFonts w:ascii="Times New Roman" w:hAnsi="Times New Roman"/>
          <w:sz w:val="24"/>
        </w:rPr>
        <w:t>na hoofdstuk 3A.2 een hoofdstuk toegevoegd, luidende:</w:t>
      </w:r>
    </w:p>
    <w:p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HOOFDSTUK 3A.3. AFWIKKELING VAN CENTRALE TEGENPARTIJEN</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3A:139. Inleidende bepaling</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De afwikkeling van een centrale tegenpartij overeenkomstig de verordening herstel en afwikkeling centrale tegenpartijen geschiedt met inachtneming van dit hoofdstuk.</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bCs/>
          <w:sz w:val="24"/>
        </w:rPr>
      </w:pPr>
      <w:r w:rsidRPr="005F0C18">
        <w:rPr>
          <w:rFonts w:ascii="Times New Roman" w:hAnsi="Times New Roman"/>
          <w:b/>
          <w:bCs/>
          <w:sz w:val="24"/>
        </w:rPr>
        <w:t>Artikel 3A:140. Definities</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In dit hoofdstuk en de daarop berustende bepalingen wordt verstaan onder:</w:t>
      </w:r>
    </w:p>
    <w:p w:rsidRPr="005F0C18" w:rsidR="005F0C18" w:rsidP="005F0C18" w:rsidRDefault="005F0C18">
      <w:pPr>
        <w:widowControl w:val="0"/>
        <w:spacing w:line="240" w:lineRule="atLeast"/>
        <w:ind w:firstLine="284"/>
        <w:rPr>
          <w:rFonts w:ascii="Times New Roman" w:hAnsi="Times New Roman"/>
          <w:iCs/>
          <w:sz w:val="24"/>
        </w:rPr>
      </w:pPr>
      <w:r w:rsidRPr="005F0C18">
        <w:rPr>
          <w:rFonts w:ascii="Times New Roman" w:hAnsi="Times New Roman"/>
          <w:i/>
          <w:sz w:val="24"/>
        </w:rPr>
        <w:t>afwikkelingsinstrument</w:t>
      </w:r>
      <w:r w:rsidRPr="005F0C18">
        <w:rPr>
          <w:rFonts w:ascii="Times New Roman" w:hAnsi="Times New Roman"/>
          <w:iCs/>
          <w:sz w:val="24"/>
        </w:rPr>
        <w:t>: een instrument als bedoeld in artikel 27, eerste lid, van de verordening herstel en afwikkeling centrale tegenpartijen;</w:t>
      </w:r>
    </w:p>
    <w:p w:rsidRPr="005F0C18" w:rsidR="005F0C18" w:rsidP="005F0C18" w:rsidRDefault="005F0C18">
      <w:pPr>
        <w:widowControl w:val="0"/>
        <w:spacing w:line="240" w:lineRule="atLeast"/>
        <w:ind w:firstLine="284"/>
        <w:rPr>
          <w:rFonts w:ascii="Times New Roman" w:hAnsi="Times New Roman"/>
          <w:bCs/>
          <w:sz w:val="24"/>
        </w:rPr>
      </w:pPr>
      <w:r w:rsidRPr="005F0C18">
        <w:rPr>
          <w:rFonts w:ascii="Times New Roman" w:hAnsi="Times New Roman"/>
          <w:i/>
          <w:sz w:val="24"/>
        </w:rPr>
        <w:t>afwikkelingsmaatregel</w:t>
      </w:r>
      <w:r w:rsidRPr="005F0C18">
        <w:rPr>
          <w:rFonts w:ascii="Times New Roman" w:hAnsi="Times New Roman"/>
          <w:sz w:val="24"/>
        </w:rPr>
        <w:t xml:space="preserve">: </w:t>
      </w:r>
      <w:r w:rsidRPr="005F0C18">
        <w:rPr>
          <w:rFonts w:ascii="Times New Roman" w:hAnsi="Times New Roman"/>
          <w:bCs/>
          <w:sz w:val="24"/>
        </w:rPr>
        <w:t>een overeenkomstig artikel 22 van de verordening herstel en afwikkeling centrale tegenpartijen genomen besluit om een centrale tegenpartij af te wikkelen, een afwikkelingsinstrument als bedoeld in artikel 27, eerste lid, van die verordening toe te passen of een of meer afwikkelingsbevoegdheden als bedoeld in de artikelen 48 tot en met 58 van die verordening uit te oefenen;</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i/>
          <w:sz w:val="24"/>
        </w:rPr>
        <w:t>eigendomsinstrumenten</w:t>
      </w:r>
      <w:r w:rsidRPr="005F0C18">
        <w:rPr>
          <w:rFonts w:ascii="Times New Roman" w:hAnsi="Times New Roman"/>
          <w:sz w:val="24"/>
        </w:rPr>
        <w:t>: eigendomsinstrumenten als bedoeld in artikel 2, onderdeel 33, van de verordening herstel en afwikkeling centrale tegenpartijen.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3A:141. Procedures bij afwikkelingsmaatregelen</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bCs/>
          <w:sz w:val="24"/>
        </w:rPr>
      </w:pPr>
      <w:r w:rsidRPr="005F0C18">
        <w:rPr>
          <w:rFonts w:ascii="Times New Roman" w:hAnsi="Times New Roman"/>
          <w:bCs/>
          <w:sz w:val="24"/>
        </w:rPr>
        <w:t>1. Een besluit tot het nemen van een afwikkelingsmaatregel van de Nederlandsche Bank op grond van de verordening herstel en afwikkeling centrale tegenpartijen, alsmede de voorbereiding en uitvoering van dat besluit, is niet onderworpen aan enig instemmingsvereiste ingevolge de wet, de statuten of tussen de centrale tegenpartij en haar aandeelhouders of leden overeengekomen regelingen ten aanzien van de besluitvorming door de algemene vergadering, met uitzondering van het vereiste van instemming van de verkrijger bij overdracht of overgang van eigendomsinstrumenten, activa of passiva.</w:t>
      </w:r>
    </w:p>
    <w:p w:rsidRPr="005F0C18" w:rsidR="005F0C18" w:rsidP="005F0C18" w:rsidRDefault="005F0C18">
      <w:pPr>
        <w:widowControl w:val="0"/>
        <w:spacing w:line="240" w:lineRule="atLeast"/>
        <w:ind w:firstLine="284"/>
        <w:rPr>
          <w:rFonts w:ascii="Times New Roman" w:hAnsi="Times New Roman"/>
          <w:bCs/>
          <w:sz w:val="24"/>
        </w:rPr>
      </w:pPr>
      <w:r w:rsidRPr="005F0C18">
        <w:rPr>
          <w:rFonts w:ascii="Times New Roman" w:hAnsi="Times New Roman"/>
          <w:bCs/>
          <w:sz w:val="24"/>
        </w:rPr>
        <w:t>2. Onverminderd het bepaalde ingevolge de artikelen 41, 43 of hoofdstuk VI van de verordening herstel en afwikkeling centrale tegenpartijen, is een besluit tot het nemen van een afwikkelingsmaatregel alsmede de voorbereiding en uitvoering ervan, niet onderworpen aan enig kennisgevingsvereiste of procedureel voorschrift ingevolge een ander wettelijk voorschrift.</w:t>
      </w:r>
    </w:p>
    <w:p w:rsidRPr="005F0C18" w:rsidR="005F0C18" w:rsidP="005F0C18" w:rsidRDefault="005F0C18">
      <w:pPr>
        <w:widowControl w:val="0"/>
        <w:spacing w:line="240" w:lineRule="atLeast"/>
        <w:ind w:firstLine="284"/>
        <w:rPr>
          <w:rFonts w:ascii="Times New Roman" w:hAnsi="Times New Roman"/>
          <w:bCs/>
          <w:sz w:val="24"/>
        </w:rPr>
      </w:pPr>
      <w:r w:rsidRPr="005F0C18">
        <w:rPr>
          <w:rFonts w:ascii="Times New Roman" w:hAnsi="Times New Roman"/>
          <w:bCs/>
          <w:sz w:val="24"/>
        </w:rPr>
        <w:t>3. D</w:t>
      </w:r>
      <w:r w:rsidRPr="005F0C18">
        <w:rPr>
          <w:rFonts w:ascii="Times New Roman" w:hAnsi="Times New Roman"/>
          <w:sz w:val="24"/>
          <w:shd w:val="clear" w:color="auto" w:fill="FFFFFF"/>
        </w:rPr>
        <w:t xml:space="preserve">e uitoefening van de bevoegdheden bedoeld in artikel 48 of 49 van de verordening herstel en afwikkeling centrale tegenpartijen is niet onderworpen aan enige andere beperking uit hoofde van de wet, statuten of overeenkomst. </w:t>
      </w:r>
    </w:p>
    <w:p w:rsidRPr="005F0C18" w:rsidR="005F0C18" w:rsidP="005F0C18" w:rsidRDefault="005F0C18">
      <w:pPr>
        <w:widowControl w:val="0"/>
        <w:spacing w:line="240" w:lineRule="atLeast"/>
        <w:ind w:firstLine="284"/>
        <w:rPr>
          <w:rFonts w:ascii="Times New Roman" w:hAnsi="Times New Roman"/>
          <w:sz w:val="24"/>
          <w:shd w:val="clear" w:color="auto" w:fill="FFFFFF"/>
        </w:rPr>
      </w:pPr>
      <w:r w:rsidRPr="005F0C18">
        <w:rPr>
          <w:rFonts w:ascii="Times New Roman" w:hAnsi="Times New Roman"/>
          <w:bCs/>
          <w:sz w:val="24"/>
        </w:rPr>
        <w:t>4</w:t>
      </w:r>
      <w:bookmarkStart w:name="_Hlk88227798" w:id="2"/>
      <w:r w:rsidRPr="005F0C18">
        <w:rPr>
          <w:rFonts w:ascii="Times New Roman" w:hAnsi="Times New Roman"/>
          <w:bCs/>
          <w:sz w:val="24"/>
        </w:rPr>
        <w:t>.</w:t>
      </w:r>
      <w:r w:rsidRPr="005F0C18">
        <w:rPr>
          <w:rFonts w:ascii="Times New Roman" w:hAnsi="Times New Roman"/>
          <w:sz w:val="24"/>
          <w:shd w:val="clear" w:color="auto" w:fill="FFFFFF"/>
        </w:rPr>
        <w:t xml:space="preserve"> Een besluit tot toepassing van een afwikkelingsinstrument vermeldt het tijdstip waarop het in werking treedt. De desbetreffende eigendomsinstrumenten, activa of passiva gaan over op dit tijdstip, tenzij in het besluit anders is bepaald.</w:t>
      </w:r>
    </w:p>
    <w:bookmarkEnd w:id="2"/>
    <w:p w:rsidRPr="005F0C18" w:rsidR="005F0C18" w:rsidP="005F0C18" w:rsidRDefault="005F0C18">
      <w:pPr>
        <w:spacing w:line="240" w:lineRule="atLeast"/>
        <w:rPr>
          <w:rFonts w:ascii="Times New Roman" w:hAnsi="Times New Roman"/>
          <w:sz w:val="24"/>
          <w:shd w:val="clear" w:color="auto" w:fill="FFFFFF"/>
        </w:rPr>
      </w:pPr>
    </w:p>
    <w:p w:rsidRPr="005F0C18" w:rsidR="005F0C18" w:rsidP="005F0C18" w:rsidRDefault="005F0C18">
      <w:pPr>
        <w:spacing w:line="240" w:lineRule="atLeast"/>
        <w:rPr>
          <w:rFonts w:ascii="Times New Roman" w:hAnsi="Times New Roman"/>
          <w:b/>
          <w:bCs/>
          <w:sz w:val="24"/>
          <w:shd w:val="clear" w:color="auto" w:fill="FFFFFF"/>
        </w:rPr>
      </w:pPr>
      <w:bookmarkStart w:name="_Hlk87452536" w:id="3"/>
      <w:r w:rsidRPr="005F0C18">
        <w:rPr>
          <w:rFonts w:ascii="Times New Roman" w:hAnsi="Times New Roman"/>
          <w:b/>
          <w:bCs/>
          <w:sz w:val="24"/>
          <w:shd w:val="clear" w:color="auto" w:fill="FFFFFF"/>
        </w:rPr>
        <w:t>Artikel 3A:142. Ingrijpen in handel in financiële instrumenten</w:t>
      </w:r>
    </w:p>
    <w:p w:rsidRPr="005F0C18" w:rsidR="005F0C18" w:rsidP="005F0C18" w:rsidRDefault="005F0C18">
      <w:pPr>
        <w:spacing w:line="240" w:lineRule="atLeast"/>
        <w:rPr>
          <w:rFonts w:ascii="Times New Roman" w:hAnsi="Times New Roman"/>
          <w:b/>
          <w:bCs/>
          <w:sz w:val="24"/>
          <w:shd w:val="clear" w:color="auto" w:fill="FFFFFF"/>
        </w:rPr>
      </w:pPr>
    </w:p>
    <w:p w:rsidRPr="005F0C18" w:rsidR="005F0C18" w:rsidP="005F0C18" w:rsidRDefault="005F0C18">
      <w:pPr>
        <w:spacing w:line="240" w:lineRule="atLeast"/>
        <w:ind w:firstLine="284"/>
        <w:rPr>
          <w:rFonts w:ascii="Times New Roman" w:hAnsi="Times New Roman"/>
          <w:sz w:val="24"/>
          <w:shd w:val="clear" w:color="auto" w:fill="FFFFFF"/>
        </w:rPr>
      </w:pPr>
      <w:r w:rsidRPr="005F0C18">
        <w:rPr>
          <w:rFonts w:ascii="Times New Roman" w:hAnsi="Times New Roman"/>
          <w:sz w:val="24"/>
          <w:shd w:val="clear" w:color="auto" w:fill="FFFFFF"/>
        </w:rPr>
        <w:t xml:space="preserve">1. De Nederlandsche Bank kan degene die een handelsplatform exploiteert of een beleggingsonderneming met systematische interne afhandeling door middel van het geven van een aanwijzing verplichten om de toelating tot de handel in of de officiële notering van alle door een centrale tegenpartij overeenkomstig Richtlijn 2001/34/EG uitgegeven financiële instrumenten op te schorten of te onderbreken, indien door de Nederlandsche Bank ten aanzien van de centrale tegenpartij een in artikel 48, eerste lid, van de verordening herstel en afwikkeling centrale tegenpartijen bedoelde bevoegdheid wordt uitgeoefend. </w:t>
      </w:r>
    </w:p>
    <w:p w:rsidRPr="005F0C18" w:rsidR="005F0C18" w:rsidP="005F0C18" w:rsidRDefault="005F0C18">
      <w:pPr>
        <w:spacing w:line="240" w:lineRule="atLeast"/>
        <w:ind w:firstLine="284"/>
        <w:rPr>
          <w:rFonts w:ascii="Times New Roman" w:hAnsi="Times New Roman"/>
          <w:sz w:val="24"/>
          <w:shd w:val="clear" w:color="auto" w:fill="FFFFFF"/>
        </w:rPr>
      </w:pPr>
      <w:r w:rsidRPr="005F0C18">
        <w:rPr>
          <w:rFonts w:ascii="Times New Roman" w:hAnsi="Times New Roman"/>
          <w:sz w:val="24"/>
          <w:shd w:val="clear" w:color="auto" w:fill="FFFFFF"/>
        </w:rPr>
        <w:t>2. Indien de Nederlandsche Bank een aanwijzing geeft als bedoeld in het eerste lid doet zij hetzelfde voor afgeleide financiële instrumenten als bedoeld in de onderdelen d tot en met j van de definitie van financieel instrument in artikel 1:1 die verband houden met dat financiële instrument of daarnaar verwijzen, indien dit naar het oordeel van de Nederlandsche Bank passend is ter ondersteuning van het bereiken van de doelstelling van de opschorting of onderbreking van de handel in het onderliggende financieel instrument.</w:t>
      </w:r>
    </w:p>
    <w:p w:rsidRPr="005F0C18" w:rsidR="005F0C18" w:rsidP="005F0C18" w:rsidRDefault="005F0C18">
      <w:pPr>
        <w:spacing w:line="240" w:lineRule="atLeast"/>
        <w:ind w:firstLine="284"/>
        <w:rPr>
          <w:rFonts w:ascii="Times New Roman" w:hAnsi="Times New Roman"/>
          <w:sz w:val="24"/>
          <w:shd w:val="clear" w:color="auto" w:fill="FFFFFF"/>
        </w:rPr>
      </w:pPr>
      <w:r w:rsidRPr="005F0C18">
        <w:rPr>
          <w:rFonts w:ascii="Times New Roman" w:hAnsi="Times New Roman"/>
          <w:sz w:val="24"/>
          <w:shd w:val="clear" w:color="auto" w:fill="FFFFFF"/>
        </w:rPr>
        <w:t>3. De Autoriteit Financiële Markten verricht op instructie van de Nederlandsche Bank de noodzakelijke feitelijke handelingen om uitvoering te geven aan een besluit als bedoeld in het eerste en tweede lid.</w:t>
      </w:r>
    </w:p>
    <w:p w:rsidRPr="005F0C18" w:rsidR="005F0C18" w:rsidP="005F0C18" w:rsidRDefault="005F0C18">
      <w:pPr>
        <w:spacing w:line="240" w:lineRule="atLeast"/>
        <w:ind w:firstLine="284"/>
        <w:rPr>
          <w:rFonts w:ascii="Times New Roman" w:hAnsi="Times New Roman"/>
          <w:sz w:val="24"/>
          <w:shd w:val="clear" w:color="auto" w:fill="FFFFFF"/>
        </w:rPr>
      </w:pPr>
      <w:r w:rsidRPr="005F0C18">
        <w:rPr>
          <w:rFonts w:ascii="Times New Roman" w:hAnsi="Times New Roman"/>
          <w:sz w:val="24"/>
          <w:shd w:val="clear" w:color="auto" w:fill="FFFFFF"/>
        </w:rPr>
        <w:t>4. In afwijking van artikel 1:97 maakt de Autoriteit Financiële Markten een besluit ten aanzien waarvan zij een instructie als bedoeld in het derde lid heeft gekregen onverwijld openbaar en stelt zij de toezichthoudende instanties van de overige lidstaten van dat besluit in kennis.</w:t>
      </w:r>
    </w:p>
    <w:bookmarkEnd w:id="3"/>
    <w:p w:rsidRPr="005F0C18" w:rsidR="005F0C18" w:rsidP="005F0C18" w:rsidRDefault="005F0C18">
      <w:pPr>
        <w:spacing w:line="240" w:lineRule="atLeast"/>
        <w:rPr>
          <w:rFonts w:ascii="Times New Roman" w:hAnsi="Times New Roman"/>
          <w:b/>
          <w:bCs/>
          <w:sz w:val="24"/>
          <w:shd w:val="clear" w:color="auto" w:fill="FFFFFF"/>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3A:143. Uitsluiting vernietigbaarheid</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bCs/>
          <w:sz w:val="24"/>
        </w:rPr>
      </w:pPr>
      <w:r w:rsidRPr="005F0C18">
        <w:rPr>
          <w:rFonts w:ascii="Times New Roman" w:hAnsi="Times New Roman"/>
          <w:bCs/>
          <w:sz w:val="24"/>
        </w:rPr>
        <w:t xml:space="preserve">Artikel 45 van Boek 3 van het Burgerlijk Wetboek of de artikelen 42 tot en met 51 van de Faillissementswet zijn niet van toepassing op de </w:t>
      </w:r>
      <w:r w:rsidRPr="005F0C18">
        <w:rPr>
          <w:rFonts w:ascii="Times New Roman" w:hAnsi="Times New Roman"/>
          <w:sz w:val="24"/>
        </w:rPr>
        <w:t xml:space="preserve">overdracht van activa, rechten, </w:t>
      </w:r>
      <w:r w:rsidRPr="005F0C18">
        <w:rPr>
          <w:rFonts w:ascii="Times New Roman" w:hAnsi="Times New Roman"/>
          <w:sz w:val="24"/>
        </w:rPr>
        <w:lastRenderedPageBreak/>
        <w:t xml:space="preserve">verplichtingen of passiva </w:t>
      </w:r>
      <w:r w:rsidRPr="005F0C18">
        <w:rPr>
          <w:rFonts w:ascii="Times New Roman" w:hAnsi="Times New Roman"/>
          <w:bCs/>
          <w:sz w:val="24"/>
        </w:rPr>
        <w:t>als bedoeld in artikel 27, negende lid, van de verordening herstel en afwikkeling centrale tegenpartijen.</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b/>
          <w:sz w:val="24"/>
        </w:rPr>
        <w:t>Artikel 3A:144. Bijzondere procedureregels</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1. In afwijking van artikel 6:7 van de Algemene wet bestuursrecht, bedraagt de termijn voor het indienen van een beroepschrift tegen een besluit tot het nemen van een afwikkelingsmaatregel van de Nederlandsche Bank op grond van de verordening herstel en afwikkeling centrale tegenpartijen 10 dagen.</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2. In afwijking van artikel 6:6 van de Algemene wet bestuursrecht, is het beroep niet-ontvankelijk indien niet is voldaan aan artikel 6:5, eerste lid, onderdeel d, van die wet.</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3. Na afloop van de termijn voor het instellen van beroep kunnen geen beroepsgronden meer worden aangevoerd.</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4. In afwijking van artikel 8:41, vijfde lid, van de Algemene wet bestuursrecht, bedraagt de termijn waarbinnen de bijschrijving of storting van het verschuldigde griffierecht dient plaats te vinden, twee weken.</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5. De bestuursrechter behandelt de zaak op versnelde wijze overeenkomstig artikel 8:52, tweede lid, onderdelen b tot en met f, en derde lid, van de Algemene wet bestuursrecht. Afdeling 8.2.4 van die wet blijft buiten toepassing.</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6. De bestuursrechter doet uitspraak uiterlijk op de veertiende dag nadat het beroepschrift is ontvangen. Indien met toepassing van artikel 8:14, eerste lid, van de Algemene wet bestuursrecht twee of meer zaken gevoegd worden behandeld, doet de bestuursrechter uitspraak uiterlijk op de veertiende dag na ontvangst van het laatst ontvangen beroepschrift.</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b/>
          <w:sz w:val="24"/>
        </w:rPr>
        <w:t>Artikel 3A:145. Rechtsvermoeden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Bij de beoordeling van een verzoek tot het treffen van een voorlopige voorziening als bedoeld in artikel 8:81 van de Algemene wet bestuursrecht met betrekking tot een besluit tot het nemen van een afwikkelingsmaatregel, gaat de voorzieningenrechter uit van het rechtsvermoeden dat opschorting van de uitvoering van het besluit tegen het algemeen belang indruist.</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 xml:space="preserve">Artikel 3A:146. </w:t>
      </w:r>
      <w:proofErr w:type="spellStart"/>
      <w:r w:rsidRPr="005F0C18">
        <w:rPr>
          <w:rFonts w:ascii="Times New Roman" w:hAnsi="Times New Roman"/>
          <w:b/>
          <w:sz w:val="24"/>
        </w:rPr>
        <w:t>Instandlating</w:t>
      </w:r>
      <w:proofErr w:type="spellEnd"/>
      <w:r w:rsidRPr="005F0C18">
        <w:rPr>
          <w:rFonts w:ascii="Times New Roman" w:hAnsi="Times New Roman"/>
          <w:b/>
          <w:sz w:val="24"/>
        </w:rPr>
        <w:t xml:space="preserve"> rechtsgevolgen</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De bestuursrechter geeft, indien een beroep tegen een besluit tot het nemen van een afwikkelingsmaatregel gegrond wordt verklaard, toepassing aan artikel 8:72, derde lid, onderdeel a, van de Algemene wet bestuursrecht, indien dit noodzakelijk is ter bescherming van de belangen van te goeder trouw handelende derden die ingevolge het besluit andere eigendomsinstrumenten, activa, rechten of passiva van de centrale tegenpartij in afwikkeling hebben verkregen.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G</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In artikel 5:71, eerste lid, onderdeel l, wordt “bank of verzekeraar” vervangen door “bank, verzekeraar of centrale tegenpartij” en wordt “artikel 3A:1, onderscheidenlijk artikel 3A:77” vervangen door “artikel 3A:1, onderscheidenlijk artikel 3A:77, onderscheidenlijk 3A:140”.</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 xml:space="preserve">ARTIKEL II </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De Bankwet 1998 wordt gewijzigd als volgt:</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A</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Aan artikel 1, eerste lid, wordt onder vervanging van de punt aan het slot van onderdeel h door een puntkomma een onderdeel toegevoegd, luidende:</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 verordening herstel en afwikkeling centrale tegenpartijen: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w:t>
      </w:r>
      <w:proofErr w:type="spellStart"/>
      <w:r w:rsidRPr="005F0C18">
        <w:rPr>
          <w:rFonts w:ascii="Times New Roman" w:hAnsi="Times New Roman"/>
          <w:sz w:val="24"/>
        </w:rPr>
        <w:t>PbEU</w:t>
      </w:r>
      <w:proofErr w:type="spellEnd"/>
      <w:r w:rsidRPr="005F0C18">
        <w:rPr>
          <w:rFonts w:ascii="Times New Roman" w:hAnsi="Times New Roman"/>
          <w:sz w:val="24"/>
        </w:rPr>
        <w:t xml:space="preserve"> 2021, L 22).</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B</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In artikel 4a wordt na “verordening gemeenschappelijk afwikkelingsmechanisme” ingevoegd “ of artikel 21 van de verordening herstel en afwikkeling centrale tegenpartijen”.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C</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In artikel 12b, derde lid, wordt “3A:11” vervangen door “3A:11a” en wordt “en aan de artikelen 12, 15 en 16 van de verordening herstel en afwikkeling centrale tegenpartijen” toegevoegd.</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III</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Aan artikel 2, tweede lid, onderdeel c, van de Wet bekostiging financieel toezicht 2019</w:t>
      </w:r>
      <w:r w:rsidRPr="005F0C18">
        <w:rPr>
          <w:rFonts w:ascii="Times New Roman" w:hAnsi="Times New Roman"/>
          <w:b/>
          <w:sz w:val="24"/>
        </w:rPr>
        <w:t xml:space="preserve"> </w:t>
      </w:r>
      <w:r w:rsidRPr="005F0C18">
        <w:rPr>
          <w:rFonts w:ascii="Times New Roman" w:hAnsi="Times New Roman"/>
          <w:sz w:val="24"/>
        </w:rPr>
        <w:t>wordt een subonderdeel toegevoegd, luidende:</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3°.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w:t>
      </w:r>
      <w:proofErr w:type="spellStart"/>
      <w:r w:rsidRPr="005F0C18">
        <w:rPr>
          <w:rFonts w:ascii="Times New Roman" w:hAnsi="Times New Roman"/>
          <w:sz w:val="24"/>
        </w:rPr>
        <w:t>PbEU</w:t>
      </w:r>
      <w:proofErr w:type="spellEnd"/>
      <w:r w:rsidRPr="005F0C18">
        <w:rPr>
          <w:rFonts w:ascii="Times New Roman" w:hAnsi="Times New Roman"/>
          <w:sz w:val="24"/>
        </w:rPr>
        <w:t xml:space="preserve"> 2021, L 22);</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b/>
          <w:sz w:val="24"/>
        </w:rPr>
      </w:pPr>
      <w:bookmarkStart w:name="_Hlk94691846" w:id="4"/>
      <w:r w:rsidRPr="005F0C18">
        <w:rPr>
          <w:rFonts w:ascii="Times New Roman" w:hAnsi="Times New Roman"/>
          <w:b/>
          <w:sz w:val="24"/>
        </w:rPr>
        <w:t>ARTIKEL IV</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spacing w:line="240" w:lineRule="atLeast"/>
        <w:rPr>
          <w:rFonts w:ascii="Times New Roman" w:hAnsi="Times New Roman"/>
          <w:sz w:val="24"/>
        </w:rPr>
      </w:pPr>
      <w:r w:rsidRPr="005F0C18">
        <w:rPr>
          <w:rFonts w:ascii="Times New Roman" w:hAnsi="Times New Roman"/>
          <w:sz w:val="24"/>
        </w:rPr>
        <w:t xml:space="preserve">De </w:t>
      </w:r>
      <w:r w:rsidRPr="00D554F2">
        <w:rPr>
          <w:rFonts w:ascii="Times New Roman" w:hAnsi="Times New Roman"/>
          <w:sz w:val="24"/>
        </w:rPr>
        <w:t xml:space="preserve">Faillissementswet </w:t>
      </w:r>
      <w:r w:rsidRPr="005F0C18">
        <w:rPr>
          <w:rFonts w:ascii="Times New Roman" w:hAnsi="Times New Roman"/>
          <w:sz w:val="24"/>
        </w:rPr>
        <w:t>wordt gewijzigd als volgt:</w:t>
      </w:r>
    </w:p>
    <w:p w:rsidRPr="005F0C18" w:rsidR="005F0C18" w:rsidP="005F0C18" w:rsidRDefault="005F0C18">
      <w:pPr>
        <w:spacing w:line="240" w:lineRule="atLeast"/>
        <w:rPr>
          <w:rFonts w:ascii="Times New Roman" w:hAnsi="Times New Roman"/>
          <w:sz w:val="24"/>
        </w:rPr>
      </w:pPr>
    </w:p>
    <w:p w:rsidRPr="005F0C18" w:rsidR="005F0C18" w:rsidP="005F0C18" w:rsidRDefault="005F0C18">
      <w:pPr>
        <w:spacing w:line="240" w:lineRule="atLeast"/>
        <w:rPr>
          <w:rFonts w:ascii="Times New Roman" w:hAnsi="Times New Roman"/>
          <w:sz w:val="24"/>
        </w:rPr>
      </w:pPr>
      <w:r w:rsidRPr="005F0C18">
        <w:rPr>
          <w:rFonts w:ascii="Times New Roman" w:hAnsi="Times New Roman"/>
          <w:sz w:val="24"/>
        </w:rPr>
        <w:t>A</w:t>
      </w:r>
    </w:p>
    <w:p w:rsidRPr="005F0C18" w:rsidR="005F0C18" w:rsidP="005F0C18" w:rsidRDefault="005F0C18">
      <w:pPr>
        <w:spacing w:line="240" w:lineRule="atLeast"/>
        <w:rPr>
          <w:rFonts w:ascii="Times New Roman" w:hAnsi="Times New Roman"/>
          <w:sz w:val="24"/>
        </w:rPr>
      </w:pPr>
    </w:p>
    <w:p w:rsidRPr="005F0C18" w:rsidR="005F0C18" w:rsidP="005F0C18" w:rsidRDefault="005F0C18">
      <w:pPr>
        <w:spacing w:line="240" w:lineRule="atLeast"/>
        <w:ind w:firstLine="284"/>
        <w:rPr>
          <w:rFonts w:ascii="Times New Roman" w:hAnsi="Times New Roman"/>
          <w:sz w:val="24"/>
        </w:rPr>
      </w:pPr>
      <w:r w:rsidRPr="005F0C18">
        <w:rPr>
          <w:rFonts w:ascii="Times New Roman" w:hAnsi="Times New Roman"/>
          <w:sz w:val="24"/>
        </w:rPr>
        <w:t>Artikel 212a, onderdeel c, komt te luiden:</w:t>
      </w:r>
    </w:p>
    <w:p w:rsidRPr="005F0C18" w:rsidR="005F0C18" w:rsidP="005F0C18" w:rsidRDefault="005F0C18">
      <w:pPr>
        <w:spacing w:line="240" w:lineRule="atLeast"/>
        <w:ind w:firstLine="284"/>
        <w:rPr>
          <w:rFonts w:ascii="Times New Roman" w:hAnsi="Times New Roman"/>
          <w:sz w:val="24"/>
        </w:rPr>
      </w:pPr>
      <w:r w:rsidRPr="005F0C18">
        <w:rPr>
          <w:rFonts w:ascii="Times New Roman" w:hAnsi="Times New Roman"/>
          <w:sz w:val="24"/>
        </w:rPr>
        <w:t xml:space="preserve">c. centrale tegenpartij: </w:t>
      </w:r>
      <w:r w:rsidRPr="005F0C18">
        <w:rPr>
          <w:rFonts w:ascii="Times New Roman" w:hAnsi="Times New Roman"/>
          <w:bCs/>
          <w:sz w:val="24"/>
        </w:rPr>
        <w:t xml:space="preserve">een centrale tegenpartij als bedoeld in artikel 2, onderdeel 1, van de Verordening (EU) nr. 648/2012 van het Europees Parlement en de Raad van 4 juli 2012 betreffende </w:t>
      </w:r>
      <w:proofErr w:type="spellStart"/>
      <w:r w:rsidRPr="005F0C18">
        <w:rPr>
          <w:rFonts w:ascii="Times New Roman" w:hAnsi="Times New Roman"/>
          <w:bCs/>
          <w:sz w:val="24"/>
        </w:rPr>
        <w:t>otc</w:t>
      </w:r>
      <w:proofErr w:type="spellEnd"/>
      <w:r w:rsidRPr="005F0C18">
        <w:rPr>
          <w:rFonts w:ascii="Times New Roman" w:hAnsi="Times New Roman"/>
          <w:bCs/>
          <w:sz w:val="24"/>
        </w:rPr>
        <w:t>-derivaten, centrale tegenpartijen en transactieregisters (</w:t>
      </w:r>
      <w:proofErr w:type="spellStart"/>
      <w:r w:rsidRPr="005F0C18">
        <w:rPr>
          <w:rFonts w:ascii="Times New Roman" w:hAnsi="Times New Roman"/>
          <w:bCs/>
          <w:sz w:val="24"/>
        </w:rPr>
        <w:t>PbEU</w:t>
      </w:r>
      <w:proofErr w:type="spellEnd"/>
      <w:r w:rsidRPr="005F0C18">
        <w:rPr>
          <w:rFonts w:ascii="Times New Roman" w:hAnsi="Times New Roman"/>
          <w:bCs/>
          <w:sz w:val="24"/>
        </w:rPr>
        <w:t xml:space="preserve"> 2012, L 201)</w:t>
      </w:r>
    </w:p>
    <w:p w:rsidRPr="005F0C18" w:rsidR="005F0C18" w:rsidP="005F0C18" w:rsidRDefault="005F0C18">
      <w:pPr>
        <w:spacing w:line="240" w:lineRule="atLeast"/>
        <w:rPr>
          <w:rFonts w:ascii="Times New Roman" w:hAnsi="Times New Roman"/>
          <w:sz w:val="24"/>
        </w:rPr>
      </w:pPr>
    </w:p>
    <w:p w:rsidRPr="005F0C18" w:rsidR="005F0C18" w:rsidP="005F0C18" w:rsidRDefault="005F0C18">
      <w:pPr>
        <w:spacing w:line="240" w:lineRule="atLeast"/>
        <w:rPr>
          <w:rFonts w:ascii="Times New Roman" w:hAnsi="Times New Roman"/>
          <w:sz w:val="24"/>
        </w:rPr>
      </w:pPr>
      <w:r w:rsidRPr="005F0C18">
        <w:rPr>
          <w:rFonts w:ascii="Times New Roman" w:hAnsi="Times New Roman"/>
          <w:sz w:val="24"/>
        </w:rPr>
        <w:t>B</w:t>
      </w:r>
    </w:p>
    <w:p w:rsidRPr="005F0C18" w:rsidR="005F0C18" w:rsidP="005F0C18" w:rsidRDefault="005F0C18">
      <w:pPr>
        <w:spacing w:line="240" w:lineRule="atLeast"/>
        <w:rPr>
          <w:rFonts w:ascii="Times New Roman" w:hAnsi="Times New Roman"/>
          <w:sz w:val="24"/>
        </w:rPr>
      </w:pPr>
    </w:p>
    <w:p w:rsidRPr="005F0C18" w:rsidR="005F0C18" w:rsidP="005F0C18" w:rsidRDefault="005F0C18">
      <w:pPr>
        <w:spacing w:line="240" w:lineRule="atLeast"/>
        <w:ind w:firstLine="284"/>
        <w:rPr>
          <w:rFonts w:ascii="Times New Roman" w:hAnsi="Times New Roman"/>
          <w:sz w:val="24"/>
        </w:rPr>
      </w:pPr>
      <w:r w:rsidRPr="005F0C18">
        <w:rPr>
          <w:rFonts w:ascii="Times New Roman" w:hAnsi="Times New Roman"/>
          <w:sz w:val="24"/>
        </w:rPr>
        <w:t>Aan Titel I</w:t>
      </w:r>
      <w:r w:rsidRPr="005F0C18">
        <w:rPr>
          <w:rFonts w:ascii="Times New Roman" w:hAnsi="Times New Roman"/>
          <w:b/>
          <w:bCs/>
          <w:sz w:val="24"/>
        </w:rPr>
        <w:t xml:space="preserve"> </w:t>
      </w:r>
      <w:r w:rsidRPr="005F0C18">
        <w:rPr>
          <w:rFonts w:ascii="Times New Roman" w:hAnsi="Times New Roman"/>
          <w:sz w:val="24"/>
        </w:rPr>
        <w:t>wordt een afdeling toegevoegd, luidende:</w:t>
      </w:r>
    </w:p>
    <w:p w:rsidRPr="005F0C18" w:rsidR="005F0C18" w:rsidP="005F0C18" w:rsidRDefault="005F0C18">
      <w:pPr>
        <w:spacing w:line="240" w:lineRule="atLeast"/>
        <w:rPr>
          <w:rFonts w:ascii="Times New Roman" w:hAnsi="Times New Roman"/>
          <w:sz w:val="24"/>
        </w:rPr>
      </w:pPr>
    </w:p>
    <w:p w:rsidRPr="005F0C18" w:rsidR="005F0C18" w:rsidP="005F0C18" w:rsidRDefault="005F0C18">
      <w:pPr>
        <w:spacing w:line="240" w:lineRule="atLeast"/>
        <w:rPr>
          <w:rFonts w:ascii="Times New Roman" w:hAnsi="Times New Roman"/>
          <w:sz w:val="24"/>
        </w:rPr>
      </w:pPr>
      <w:r w:rsidRPr="005F0C18">
        <w:rPr>
          <w:rFonts w:ascii="Times New Roman" w:hAnsi="Times New Roman"/>
          <w:sz w:val="24"/>
        </w:rPr>
        <w:t>AFDELING 11C. VAN HET FAILLISSEMENT VAN EEN CENTRALE TEGENPARTIJ</w:t>
      </w:r>
    </w:p>
    <w:p w:rsidRPr="005F0C18" w:rsidR="005F0C18" w:rsidP="005F0C18" w:rsidRDefault="005F0C18">
      <w:pPr>
        <w:spacing w:line="240" w:lineRule="atLeast"/>
        <w:rPr>
          <w:rFonts w:ascii="Times New Roman" w:hAnsi="Times New Roman"/>
          <w:b/>
          <w:sz w:val="24"/>
        </w:rPr>
      </w:pPr>
    </w:p>
    <w:p w:rsidRPr="005F0C18" w:rsidR="005F0C18" w:rsidP="005F0C18" w:rsidRDefault="005F0C18">
      <w:pPr>
        <w:spacing w:line="240" w:lineRule="atLeast"/>
        <w:rPr>
          <w:rFonts w:ascii="Times New Roman" w:hAnsi="Times New Roman"/>
          <w:b/>
          <w:sz w:val="24"/>
        </w:rPr>
      </w:pPr>
      <w:r w:rsidRPr="005F0C18">
        <w:rPr>
          <w:rFonts w:ascii="Times New Roman" w:hAnsi="Times New Roman"/>
          <w:b/>
          <w:sz w:val="24"/>
        </w:rPr>
        <w:t>Artikel 213ll</w:t>
      </w:r>
    </w:p>
    <w:p w:rsidRPr="005F0C18" w:rsidR="005F0C18" w:rsidP="005F0C18" w:rsidRDefault="005F0C18">
      <w:pPr>
        <w:spacing w:line="240" w:lineRule="atLeast"/>
        <w:rPr>
          <w:rFonts w:ascii="Times New Roman" w:hAnsi="Times New Roman"/>
          <w:b/>
          <w:sz w:val="24"/>
        </w:rPr>
      </w:pPr>
    </w:p>
    <w:p w:rsidRPr="005F0C18" w:rsidR="005F0C18" w:rsidP="005F0C18" w:rsidRDefault="005F0C18">
      <w:pPr>
        <w:spacing w:line="240" w:lineRule="atLeast"/>
        <w:ind w:firstLine="284"/>
        <w:rPr>
          <w:rFonts w:ascii="Times New Roman" w:hAnsi="Times New Roman"/>
          <w:bCs/>
          <w:sz w:val="24"/>
        </w:rPr>
      </w:pPr>
      <w:r w:rsidRPr="005F0C18">
        <w:rPr>
          <w:rFonts w:ascii="Times New Roman" w:hAnsi="Times New Roman"/>
          <w:bCs/>
          <w:sz w:val="24"/>
        </w:rPr>
        <w:t>1. Voor de toepassing van deze afdeling wordt verstaan onder:</w:t>
      </w:r>
    </w:p>
    <w:p w:rsidRPr="005F0C18" w:rsidR="005F0C18" w:rsidP="005F0C18" w:rsidRDefault="005F0C18">
      <w:pPr>
        <w:spacing w:line="240" w:lineRule="atLeast"/>
        <w:ind w:firstLine="284"/>
        <w:rPr>
          <w:rFonts w:ascii="Times New Roman" w:hAnsi="Times New Roman"/>
          <w:sz w:val="24"/>
        </w:rPr>
      </w:pPr>
      <w:r w:rsidRPr="005F0C18">
        <w:rPr>
          <w:rFonts w:ascii="Times New Roman" w:hAnsi="Times New Roman"/>
          <w:bCs/>
          <w:sz w:val="24"/>
        </w:rPr>
        <w:t xml:space="preserve">a. verordening centrale tegenpartijen: </w:t>
      </w:r>
      <w:r w:rsidRPr="005F0C18">
        <w:rPr>
          <w:rFonts w:ascii="Times New Roman" w:hAnsi="Times New Roman"/>
          <w:sz w:val="24"/>
        </w:rPr>
        <w:t xml:space="preserve">Verordening (EU) 648/2012 van het Europees Parlement en de Raad van 4 juli 2012 betreffende </w:t>
      </w:r>
      <w:proofErr w:type="spellStart"/>
      <w:r w:rsidRPr="005F0C18">
        <w:rPr>
          <w:rFonts w:ascii="Times New Roman" w:hAnsi="Times New Roman"/>
          <w:sz w:val="24"/>
        </w:rPr>
        <w:t>otc</w:t>
      </w:r>
      <w:proofErr w:type="spellEnd"/>
      <w:r w:rsidRPr="005F0C18">
        <w:rPr>
          <w:rFonts w:ascii="Times New Roman" w:hAnsi="Times New Roman"/>
          <w:sz w:val="24"/>
        </w:rPr>
        <w:t>-derivaten, centrale tegenpartijen en transactieregisters (</w:t>
      </w:r>
      <w:proofErr w:type="spellStart"/>
      <w:r w:rsidRPr="005F0C18">
        <w:rPr>
          <w:rFonts w:ascii="Times New Roman" w:hAnsi="Times New Roman"/>
          <w:sz w:val="24"/>
        </w:rPr>
        <w:t>PbEU</w:t>
      </w:r>
      <w:proofErr w:type="spellEnd"/>
      <w:r w:rsidRPr="005F0C18">
        <w:rPr>
          <w:rFonts w:ascii="Times New Roman" w:hAnsi="Times New Roman"/>
          <w:sz w:val="24"/>
        </w:rPr>
        <w:t xml:space="preserve"> 2012, L 201);</w:t>
      </w:r>
    </w:p>
    <w:p w:rsidRPr="005F0C18" w:rsidR="005F0C18" w:rsidP="005F0C18" w:rsidRDefault="005F0C18">
      <w:pPr>
        <w:spacing w:line="240" w:lineRule="atLeast"/>
        <w:ind w:firstLine="284"/>
        <w:rPr>
          <w:rFonts w:ascii="Times New Roman" w:hAnsi="Times New Roman"/>
          <w:bCs/>
          <w:sz w:val="24"/>
        </w:rPr>
      </w:pPr>
      <w:r w:rsidRPr="005F0C18">
        <w:rPr>
          <w:rFonts w:ascii="Times New Roman" w:hAnsi="Times New Roman"/>
          <w:bCs/>
          <w:sz w:val="24"/>
        </w:rPr>
        <w:t>b. centrale tegenpartij: een centrale tegenpartij als bedoeld in artikel 2, onderdeel 1, van de verordening centrale tegenpartijen;</w:t>
      </w:r>
    </w:p>
    <w:p w:rsidRPr="005F0C18" w:rsidR="005F0C18" w:rsidP="005F0C18" w:rsidRDefault="005F0C18">
      <w:pPr>
        <w:spacing w:line="240" w:lineRule="atLeast"/>
        <w:ind w:firstLine="284"/>
        <w:rPr>
          <w:rFonts w:ascii="Times New Roman" w:hAnsi="Times New Roman"/>
          <w:bCs/>
          <w:sz w:val="24"/>
        </w:rPr>
      </w:pPr>
      <w:r w:rsidRPr="005F0C18">
        <w:rPr>
          <w:rFonts w:ascii="Times New Roman" w:hAnsi="Times New Roman"/>
          <w:bCs/>
          <w:sz w:val="24"/>
        </w:rPr>
        <w:t>c. lidstaat: een staat die lid is van de Europese Unie alsmede een staat, niet zijnde een lidstaat van de Europese Unie, die partij is bij de overeenkomst betreffende de Europese Economische Ruimte (</w:t>
      </w:r>
      <w:proofErr w:type="spellStart"/>
      <w:r w:rsidRPr="005F0C18">
        <w:rPr>
          <w:rFonts w:ascii="Times New Roman" w:hAnsi="Times New Roman"/>
          <w:bCs/>
          <w:sz w:val="24"/>
        </w:rPr>
        <w:t>Trb</w:t>
      </w:r>
      <w:proofErr w:type="spellEnd"/>
      <w:r w:rsidRPr="005F0C18">
        <w:rPr>
          <w:rFonts w:ascii="Times New Roman" w:hAnsi="Times New Roman"/>
          <w:bCs/>
          <w:sz w:val="24"/>
        </w:rPr>
        <w:t>. 1992, 132);</w:t>
      </w:r>
    </w:p>
    <w:p w:rsidRPr="005F0C18" w:rsidR="005F0C18" w:rsidP="005F0C18" w:rsidRDefault="005F0C18">
      <w:pPr>
        <w:spacing w:line="240" w:lineRule="atLeast"/>
        <w:ind w:firstLine="284"/>
        <w:rPr>
          <w:rFonts w:ascii="Times New Roman" w:hAnsi="Times New Roman"/>
          <w:bCs/>
          <w:sz w:val="24"/>
        </w:rPr>
      </w:pPr>
      <w:r w:rsidRPr="005F0C18">
        <w:rPr>
          <w:rFonts w:ascii="Times New Roman" w:hAnsi="Times New Roman"/>
          <w:bCs/>
          <w:sz w:val="24"/>
        </w:rPr>
        <w:t>d. verordening herstel en afwikkeling centrale tegenpartijen: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w:t>
      </w:r>
      <w:proofErr w:type="spellStart"/>
      <w:r w:rsidRPr="005F0C18">
        <w:rPr>
          <w:rFonts w:ascii="Times New Roman" w:hAnsi="Times New Roman"/>
          <w:bCs/>
          <w:sz w:val="24"/>
        </w:rPr>
        <w:t>PbEU</w:t>
      </w:r>
      <w:proofErr w:type="spellEnd"/>
      <w:r w:rsidRPr="005F0C18">
        <w:rPr>
          <w:rFonts w:ascii="Times New Roman" w:hAnsi="Times New Roman"/>
          <w:bCs/>
          <w:sz w:val="24"/>
        </w:rPr>
        <w:t xml:space="preserve"> 2021, L 22);</w:t>
      </w:r>
    </w:p>
    <w:p w:rsidRPr="005F0C18" w:rsidR="005F0C18" w:rsidP="005F0C18" w:rsidRDefault="005F0C18">
      <w:pPr>
        <w:spacing w:line="240" w:lineRule="atLeast"/>
        <w:ind w:firstLine="284"/>
        <w:rPr>
          <w:rFonts w:ascii="Times New Roman" w:hAnsi="Times New Roman"/>
          <w:bCs/>
          <w:sz w:val="24"/>
        </w:rPr>
      </w:pPr>
      <w:r w:rsidRPr="005F0C18">
        <w:rPr>
          <w:rFonts w:ascii="Times New Roman" w:hAnsi="Times New Roman"/>
          <w:bCs/>
          <w:sz w:val="24"/>
        </w:rPr>
        <w:t>e. afwikkelingsmaatregel: een overeenkomstig artikel 22 van de verordening herstel en afwikkeling centrale tegenpartijen genomen besluit om een centrale tegenpartij af te wikkelen, de toepassing van een afwikkelingsinstrument als bedoeld in artikel 27, eerste lid, van die verordening of de uitoefening van een of meer afwikkelingsbevoegdheden als bedoeld in de artikelen 48 tot en met 58 van die verordening;</w:t>
      </w:r>
    </w:p>
    <w:p w:rsidRPr="005F0C18" w:rsidR="005F0C18" w:rsidP="005F0C18" w:rsidRDefault="005F0C18">
      <w:pPr>
        <w:spacing w:line="240" w:lineRule="atLeast"/>
        <w:ind w:firstLine="284"/>
        <w:rPr>
          <w:rFonts w:ascii="Times New Roman" w:hAnsi="Times New Roman"/>
          <w:bCs/>
          <w:sz w:val="24"/>
        </w:rPr>
      </w:pPr>
      <w:r w:rsidRPr="005F0C18">
        <w:rPr>
          <w:rFonts w:ascii="Times New Roman" w:hAnsi="Times New Roman"/>
          <w:bCs/>
          <w:sz w:val="24"/>
        </w:rPr>
        <w:t>f. afwikkelingscollege: een college als bedoeld in artikel 4 van de verordening herstel en afwikkeling centrale tegenpartijen;</w:t>
      </w:r>
    </w:p>
    <w:p w:rsidRPr="005F0C18" w:rsidR="005F0C18" w:rsidP="005F0C18" w:rsidRDefault="005F0C18">
      <w:pPr>
        <w:spacing w:line="240" w:lineRule="atLeast"/>
        <w:ind w:firstLine="284"/>
        <w:jc w:val="both"/>
        <w:rPr>
          <w:rFonts w:ascii="Times New Roman" w:hAnsi="Times New Roman"/>
          <w:bCs/>
          <w:sz w:val="24"/>
        </w:rPr>
      </w:pPr>
      <w:r w:rsidRPr="005F0C18">
        <w:rPr>
          <w:rFonts w:ascii="Times New Roman" w:hAnsi="Times New Roman"/>
          <w:bCs/>
          <w:sz w:val="24"/>
        </w:rPr>
        <w:t>g. toezichtscollege: een college als bedoeld in artikel 18 van verordening centrale tegenpartijen.</w:t>
      </w:r>
    </w:p>
    <w:p w:rsidRPr="005F0C18" w:rsidR="005F0C18" w:rsidP="005F0C18" w:rsidRDefault="005F0C18">
      <w:pPr>
        <w:spacing w:line="240" w:lineRule="atLeast"/>
        <w:rPr>
          <w:rFonts w:ascii="Times New Roman" w:hAnsi="Times New Roman"/>
          <w:bCs/>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213mm</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1. In afwijking van artikel 2, eerste lid, geschiedt de faillietverklaring van een in Nederland gevestigde centrale tegenpartij door de rechtbank Amsterdam.</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2. Een in een andere lidstaat dan Nederland gevestigde centrale tegenpartij die daar een vergunning heeft verkregen kan in Nederland niet in staat van faillissement worden verklaard.</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213nn</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1. De Nederlandsche Bank N.V. kan de rechtbank Amsterdam verzoeken ten aanzien van een centrale tegenpartij het faillissement uit te spreken indien is voldaan aan de voorwaarden bedoeld in artikel 22, eerste lid, onderdelen a en b, van de verordening herstel en afwikkeling centrale tegenpartijen, maar een afwikkelingsmaatregel niet in het algemeen belang, bedoeld in onderdeel c van dat artikel, is.</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2. De Nederlandsche Bank N.V. zendt een afschrift van het verzoekschrift aan de centrale tegenpartij, de leden van het toezichtscollege en de leden van het afwikkelingscollege.</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 xml:space="preserve">3. Een ander dan De Nederlandsche Bank N.V. kan niet het faillissement van een centrale </w:t>
      </w:r>
      <w:r w:rsidRPr="005F0C18">
        <w:rPr>
          <w:rFonts w:ascii="Times New Roman" w:hAnsi="Times New Roman"/>
          <w:sz w:val="24"/>
        </w:rPr>
        <w:lastRenderedPageBreak/>
        <w:t xml:space="preserve">tegenpartij aanvragen. </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 xml:space="preserve">4. Een centrale tegenpartij kan aangifte doen van haar eigen faillissement. In dat geval stelt de rechtbank De Nederlandsche Bank N.V. in staat te worden gehoord alvorens te beslissen op de aangifte. De rechtbank spreekt het faillissement pas uit nadat is voldaan aan de voorwaarden bedoeld in artikel 75, derde lid, van de verordening herstel en afwikkeling centrale tegenpartijen. </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213oo</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1. De centrale tegenpartij kan, na in gelegenheid te zijn gesteld te worden gehoord, zich verweren tegen het oordeel van De Nederlandsche Bank N.V. dat is voldaan aan de voorwaarden bedoeld in artikel 213nn, eerste lid.</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2. Ingeval een centrale tegenpartij zich heeft verweerd tegen een oordeel als bedoeld in het eerste lid, verklaart de rechtbank dat verweer uitsluitend dan gegrond indien De Nederlandsche Bank N.V. in redelijkheid niet tot dat oordeel heeft kunnen komen.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213pp</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De rechtbank spreekt het faillissement uit indien summierlijk blijkt dat is voldaan aan de voorwaarden, bedoeld in artikel 22, eerste lid, onderdelen a en b van de verordening herstel en afwikkeling centrale tegenpartijen.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213qq</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De artikelen 212he, 212hga, eerste lid, en 212i zijn van overeenkomstige toepassing, met dien verstande dat voor “bank” gelezen moet worden “centrale tegenpartij”.</w:t>
      </w:r>
    </w:p>
    <w:bookmarkEnd w:id="4"/>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bCs/>
          <w:sz w:val="24"/>
        </w:rPr>
      </w:pPr>
      <w:r w:rsidRPr="005F0C18">
        <w:rPr>
          <w:rFonts w:ascii="Times New Roman" w:hAnsi="Times New Roman"/>
          <w:b/>
          <w:bCs/>
          <w:sz w:val="24"/>
        </w:rPr>
        <w:t>Artikel 213rr</w:t>
      </w:r>
    </w:p>
    <w:p w:rsidRPr="005F0C18" w:rsidR="005F0C18" w:rsidP="005F0C18" w:rsidRDefault="005F0C18">
      <w:pPr>
        <w:widowControl w:val="0"/>
        <w:spacing w:line="240" w:lineRule="atLeast"/>
        <w:rPr>
          <w:rFonts w:ascii="Times New Roman" w:hAnsi="Times New Roman"/>
          <w:b/>
          <w:bCs/>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Artikel 10 is niet van toepassing.</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C</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Artikel 214, vierde lid, komt te luiden:</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4. Surseance van betaling wordt niet verleend aan een natuurlijke persoon die geen zelfstandig beroep of bedrijf uitoefent, noch aan een bank als bedoeld in artikel 212g, eerste lid, onderdeel a, noch aan een beleggingsonderneming als bedoeld in artikel 212oo, tweede zin, noch aan een verzekeraar als bedoeld in artikel 213, noch aan een centrale tegenpartij als bedoeld in artikel 213ll, onderdeel b.</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D</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Artikel 284, vijfde lid, komt te luiden:</w:t>
      </w: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5. De schuldsaneringsregeling natuurlijke personen kan niet van toepassing worden verklaard op een bank als bedoeld in artikel 212g, onderdeel a, noch op een beleggingsonderneming als bedoeld in artikel 212oo, noch op een verzekeraar als bedoeld in artikel 213.</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E</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spacing w:line="240" w:lineRule="atLeast"/>
        <w:ind w:firstLine="284"/>
        <w:rPr>
          <w:rFonts w:ascii="Times New Roman" w:hAnsi="Times New Roman"/>
          <w:sz w:val="24"/>
        </w:rPr>
      </w:pPr>
      <w:r w:rsidRPr="005F0C18">
        <w:rPr>
          <w:rFonts w:ascii="Times New Roman" w:hAnsi="Times New Roman"/>
          <w:sz w:val="24"/>
        </w:rPr>
        <w:t xml:space="preserve">In artikel 369, eerste lid, wordt na </w:t>
      </w:r>
      <w:r w:rsidRPr="005F0C18">
        <w:rPr>
          <w:rFonts w:ascii="Times New Roman" w:hAnsi="Times New Roman"/>
          <w:bCs/>
          <w:sz w:val="24"/>
        </w:rPr>
        <w:t>“</w:t>
      </w:r>
      <w:r w:rsidRPr="005F0C18">
        <w:rPr>
          <w:rFonts w:ascii="Times New Roman" w:hAnsi="Times New Roman"/>
          <w:sz w:val="24"/>
        </w:rPr>
        <w:t>noch op een bank als bedoeld in artikel 212g, onderdeel a,</w:t>
      </w:r>
      <w:r w:rsidRPr="005F0C18">
        <w:rPr>
          <w:rFonts w:ascii="Times New Roman" w:hAnsi="Times New Roman"/>
          <w:bCs/>
          <w:sz w:val="24"/>
        </w:rPr>
        <w:t xml:space="preserve">” </w:t>
      </w:r>
      <w:r w:rsidRPr="005F0C18">
        <w:rPr>
          <w:rFonts w:ascii="Times New Roman" w:hAnsi="Times New Roman"/>
          <w:sz w:val="24"/>
        </w:rPr>
        <w:t xml:space="preserve">het woord </w:t>
      </w:r>
      <w:r w:rsidRPr="005F0C18">
        <w:rPr>
          <w:rFonts w:ascii="Times New Roman" w:hAnsi="Times New Roman"/>
          <w:bCs/>
          <w:sz w:val="24"/>
        </w:rPr>
        <w:t>“of” vervangen door “</w:t>
      </w:r>
      <w:r w:rsidRPr="005F0C18">
        <w:rPr>
          <w:rFonts w:ascii="Times New Roman" w:hAnsi="Times New Roman"/>
          <w:sz w:val="24"/>
        </w:rPr>
        <w:t>noch op een beleggingsonderneming als bedoeld in artikel 212oo, tweede zin, noch op</w:t>
      </w:r>
      <w:r w:rsidRPr="005F0C18">
        <w:rPr>
          <w:rFonts w:ascii="Times New Roman" w:hAnsi="Times New Roman"/>
          <w:bCs/>
          <w:sz w:val="24"/>
        </w:rPr>
        <w:t>”</w:t>
      </w:r>
      <w:r w:rsidRPr="005F0C18">
        <w:rPr>
          <w:rFonts w:ascii="Times New Roman" w:hAnsi="Times New Roman"/>
          <w:sz w:val="24"/>
        </w:rPr>
        <w:t xml:space="preserve"> en wordt na </w:t>
      </w:r>
      <w:r w:rsidRPr="005F0C18">
        <w:rPr>
          <w:rFonts w:ascii="Times New Roman" w:hAnsi="Times New Roman"/>
          <w:bCs/>
          <w:sz w:val="24"/>
        </w:rPr>
        <w:t>“een verzekeraar als bedoeld in artikel 213, onderdeel a,” ingevoegd “</w:t>
      </w:r>
      <w:r w:rsidRPr="005F0C18">
        <w:rPr>
          <w:rFonts w:ascii="Times New Roman" w:hAnsi="Times New Roman"/>
          <w:sz w:val="24"/>
        </w:rPr>
        <w:t>noch op een centrale tegenpartij als bedoeld in artikel 213ll, onderdeel c,”.</w:t>
      </w:r>
    </w:p>
    <w:p w:rsidRPr="005F0C18" w:rsidR="005F0C18" w:rsidP="005F0C18" w:rsidRDefault="005F0C18">
      <w:pPr>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V</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De Algemene wet bestuursrecht</w:t>
      </w:r>
      <w:r w:rsidRPr="005F0C18">
        <w:rPr>
          <w:rFonts w:ascii="Times New Roman" w:hAnsi="Times New Roman"/>
          <w:b/>
          <w:sz w:val="24"/>
        </w:rPr>
        <w:t xml:space="preserve"> </w:t>
      </w:r>
      <w:r w:rsidRPr="005F0C18">
        <w:rPr>
          <w:rFonts w:ascii="Times New Roman" w:hAnsi="Times New Roman"/>
          <w:sz w:val="24"/>
        </w:rPr>
        <w:t>wordt gewijzigd als volgt:</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A</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In bijlage 1 wordt in de alfabetische volgorde ingevoegd: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w:t>
      </w:r>
      <w:proofErr w:type="spellStart"/>
      <w:r w:rsidRPr="005F0C18">
        <w:rPr>
          <w:rFonts w:ascii="Times New Roman" w:hAnsi="Times New Roman"/>
          <w:sz w:val="24"/>
        </w:rPr>
        <w:t>PbEU</w:t>
      </w:r>
      <w:proofErr w:type="spellEnd"/>
      <w:r w:rsidRPr="005F0C18">
        <w:rPr>
          <w:rFonts w:ascii="Times New Roman" w:hAnsi="Times New Roman"/>
          <w:sz w:val="24"/>
        </w:rPr>
        <w:t xml:space="preserve"> 2021, L 22): de artikelen 21 tot en met 58</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B</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Bijlage 2 wordt gewijzigd als volgt:</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1. In artikel 1 wordt in de alfabetische volgorde ingevoegd: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w:t>
      </w:r>
      <w:proofErr w:type="spellStart"/>
      <w:r w:rsidRPr="005F0C18">
        <w:rPr>
          <w:rFonts w:ascii="Times New Roman" w:hAnsi="Times New Roman"/>
          <w:sz w:val="24"/>
        </w:rPr>
        <w:t>PbEU</w:t>
      </w:r>
      <w:proofErr w:type="spellEnd"/>
      <w:r w:rsidRPr="005F0C18">
        <w:rPr>
          <w:rFonts w:ascii="Times New Roman" w:hAnsi="Times New Roman"/>
          <w:sz w:val="24"/>
        </w:rPr>
        <w:t xml:space="preserve"> 2021, L 22): de artikelen 21 tot en met 58, voor zover het betreft een weigering om een besluit te nemen of het niet tijdig nemen van een besluit</w:t>
      </w:r>
    </w:p>
    <w:p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2. In artikel 4 wordt in de alfabetische volgorde ingevoegd: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w:t>
      </w:r>
      <w:proofErr w:type="spellStart"/>
      <w:r w:rsidRPr="005F0C18">
        <w:rPr>
          <w:rFonts w:ascii="Times New Roman" w:hAnsi="Times New Roman"/>
          <w:sz w:val="24"/>
        </w:rPr>
        <w:t>PbEU</w:t>
      </w:r>
      <w:proofErr w:type="spellEnd"/>
      <w:r w:rsidRPr="005F0C18">
        <w:rPr>
          <w:rFonts w:ascii="Times New Roman" w:hAnsi="Times New Roman"/>
          <w:sz w:val="24"/>
        </w:rPr>
        <w:t xml:space="preserve"> 2021, L 22): de artikelen 21 tot en met 58</w:t>
      </w:r>
    </w:p>
    <w:p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3. In artikel 7 wordt in de alfabetische volgorde ingevoegd: Verordening (EU) 2021/23 van het Europees Parlement en de Raad 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w:t>
      </w:r>
      <w:proofErr w:type="spellStart"/>
      <w:r w:rsidRPr="005F0C18">
        <w:rPr>
          <w:rFonts w:ascii="Times New Roman" w:hAnsi="Times New Roman"/>
          <w:sz w:val="24"/>
        </w:rPr>
        <w:t>PbEU</w:t>
      </w:r>
      <w:proofErr w:type="spellEnd"/>
      <w:r w:rsidRPr="005F0C18">
        <w:rPr>
          <w:rFonts w:ascii="Times New Roman" w:hAnsi="Times New Roman"/>
          <w:sz w:val="24"/>
        </w:rPr>
        <w:t xml:space="preserve"> 2021, L 22), met uitzondering van de artikelen 21 tot en met 58</w:t>
      </w:r>
    </w:p>
    <w:p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color w:val="000000"/>
          <w:sz w:val="24"/>
        </w:rPr>
      </w:pPr>
      <w:r w:rsidRPr="005F0C18">
        <w:rPr>
          <w:rFonts w:ascii="Times New Roman" w:hAnsi="Times New Roman"/>
          <w:sz w:val="24"/>
        </w:rPr>
        <w:t xml:space="preserve">4. In artikel 11 wordt in de alfabetische volgorde ingevoegd: Verordening (EU) 2021/23 van het Europees Parlement en de Raad van 16 december 2020 betreffende een kader voor het </w:t>
      </w:r>
      <w:r w:rsidRPr="005F0C18">
        <w:rPr>
          <w:rFonts w:ascii="Times New Roman" w:hAnsi="Times New Roman"/>
          <w:sz w:val="24"/>
        </w:rPr>
        <w:lastRenderedPageBreak/>
        <w:t>herstel en de afwikkeling van centrale tegenpartijen en tot wijziging van de Verordeningen (EU) nr. 1095/2010, (EU) nr. 648/2012, (EU) nr. 600/2014, (EU) nr. 806/2014 en (EU) 2015/2365, en de Richtlijnen 2002/47/EG, 2004/25/EG, 2007/36/EG, 2014/59/EU en (EU) 2017/1132 (</w:t>
      </w:r>
      <w:proofErr w:type="spellStart"/>
      <w:r w:rsidRPr="005F0C18">
        <w:rPr>
          <w:rFonts w:ascii="Times New Roman" w:hAnsi="Times New Roman"/>
          <w:sz w:val="24"/>
        </w:rPr>
        <w:t>PbEU</w:t>
      </w:r>
      <w:proofErr w:type="spellEnd"/>
      <w:r w:rsidRPr="005F0C18">
        <w:rPr>
          <w:rFonts w:ascii="Times New Roman" w:hAnsi="Times New Roman"/>
          <w:sz w:val="24"/>
        </w:rPr>
        <w:t xml:space="preserve"> 2021, L 22), met uitzondering van de artikelen de artikelen 21 tot en met 58</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VI</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Het Burgerlijk Wetboek wordt gewijzigd als volgt:</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A</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Aan artikel 115 van Boek 2 wordt een vijfde lid toegevoegd, luidende:</w:t>
      </w:r>
    </w:p>
    <w:p w:rsidRPr="005F0C18" w:rsidR="005F0C18" w:rsidP="005F0C18" w:rsidRDefault="005F0C18">
      <w:pPr>
        <w:widowControl w:val="0"/>
        <w:spacing w:line="240" w:lineRule="atLeast"/>
        <w:ind w:firstLine="284"/>
        <w:rPr>
          <w:rFonts w:ascii="Times New Roman" w:hAnsi="Times New Roman"/>
          <w:b/>
          <w:sz w:val="24"/>
        </w:rPr>
      </w:pPr>
      <w:r w:rsidRPr="005F0C18">
        <w:rPr>
          <w:rFonts w:ascii="Times New Roman" w:hAnsi="Times New Roman"/>
          <w:sz w:val="24"/>
        </w:rPr>
        <w:t>5. Het derde en vierde lid zijn van overeenkomstige toepassing op de statuten van een centrale tegenpartij als bedoeld in artikel 1:1 van de Wet op het financieel toezicht, indien is voldaan aan de voorwaarden van artikel 18, eerste lid, aanhef van de verordening herstel en afwikkeling centrale tegenpartijen bedoeld in artikel 1:1 van de Wet op het financieel toezicht en de uitgifte van aandelen noodzakelijk is om te voorkomen dat aan de voorwaarden voor afwikkeling, bedoeld in artikel 22, eerste lid, van die verordening wordt voldaan.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Pr>
          <w:rFonts w:ascii="Times New Roman" w:hAnsi="Times New Roman"/>
          <w:sz w:val="24"/>
        </w:rPr>
        <w:t>B</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In artikel 80, tweede lid, van Boek 3 wordt na “artikel 334a van Boek 2” ingevoegd “, door een besluit tot overgang als bedoeld in artikel 3A:21, eerste lid, onderdeel b,” en wordt na “en 3A:77, onderdelen b, c en d, van de Wet op het financieel toezicht” ingevoegd “of artikel 27, eerste lid, van de verordening herstel en afwikkeling centrale tegenpartijen als bedoeld in artikel 1:1 van de Wet op het financieel toezicht”.</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b/>
          <w:sz w:val="24"/>
        </w:rPr>
      </w:pPr>
      <w:bookmarkStart w:name="_GoBack" w:id="5"/>
      <w:bookmarkEnd w:id="5"/>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VII</w:t>
      </w:r>
    </w:p>
    <w:p w:rsidRPr="005F0C18" w:rsidR="005F0C18" w:rsidP="005F0C18" w:rsidRDefault="005F0C18">
      <w:pPr>
        <w:widowControl w:val="0"/>
        <w:spacing w:line="240" w:lineRule="atLeast"/>
        <w:rPr>
          <w:rFonts w:ascii="Times New Roman" w:hAnsi="Times New Roman"/>
          <w:sz w:val="24"/>
        </w:rPr>
      </w:pPr>
    </w:p>
    <w:p w:rsidRPr="00E972BE" w:rsidR="00D554F2" w:rsidP="00D554F2" w:rsidRDefault="00D554F2">
      <w:pPr>
        <w:widowControl w:val="0"/>
        <w:tabs>
          <w:tab w:val="num" w:pos="720"/>
        </w:tabs>
        <w:ind w:firstLine="284"/>
        <w:rPr>
          <w:rFonts w:ascii="Times New Roman" w:hAnsi="Times New Roman"/>
          <w:sz w:val="24"/>
        </w:rPr>
      </w:pPr>
      <w:r w:rsidRPr="00E972BE">
        <w:rPr>
          <w:rFonts w:ascii="Times New Roman" w:hAnsi="Times New Roman"/>
          <w:sz w:val="24"/>
        </w:rPr>
        <w:t>Deze wet treedt in werking met ingang van de dag na de datum van uitgifte van het Staatsblad waarin zij wordt geplaatst.</w:t>
      </w: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b/>
          <w:sz w:val="24"/>
        </w:rPr>
      </w:pPr>
    </w:p>
    <w:p w:rsidRPr="005F0C18" w:rsidR="005F0C18" w:rsidP="005F0C18" w:rsidRDefault="005F0C18">
      <w:pPr>
        <w:widowControl w:val="0"/>
        <w:spacing w:line="240" w:lineRule="atLeast"/>
        <w:rPr>
          <w:rFonts w:ascii="Times New Roman" w:hAnsi="Times New Roman"/>
          <w:b/>
          <w:sz w:val="24"/>
        </w:rPr>
      </w:pPr>
      <w:r w:rsidRPr="005F0C18">
        <w:rPr>
          <w:rFonts w:ascii="Times New Roman" w:hAnsi="Times New Roman"/>
          <w:b/>
          <w:sz w:val="24"/>
        </w:rPr>
        <w:t>ARTIKEL VIII</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Deze wet wordt aangehaald als: Uitvoeringswet verordening herstel en afwikkeling centrale tegenpartijen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ind w:firstLine="284"/>
        <w:rPr>
          <w:rFonts w:ascii="Times New Roman" w:hAnsi="Times New Roman"/>
          <w:sz w:val="24"/>
        </w:rPr>
      </w:pPr>
      <w:r w:rsidRPr="005F0C1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p>
    <w:p w:rsidRPr="005F0C18" w:rsidR="005F0C18" w:rsidP="005F0C18" w:rsidRDefault="005F0C18">
      <w:pPr>
        <w:widowControl w:val="0"/>
        <w:spacing w:line="240" w:lineRule="atLeast"/>
        <w:rPr>
          <w:rFonts w:ascii="Times New Roman" w:hAnsi="Times New Roman"/>
          <w:sz w:val="24"/>
        </w:rPr>
      </w:pPr>
      <w:r w:rsidRPr="005F0C18">
        <w:rPr>
          <w:rFonts w:ascii="Times New Roman" w:hAnsi="Times New Roman"/>
          <w:sz w:val="24"/>
        </w:rPr>
        <w:t xml:space="preserve">Gegeven </w:t>
      </w: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005F0C18" w:rsidP="005F0C18" w:rsidRDefault="005F0C18">
      <w:pPr>
        <w:widowControl w:val="0"/>
        <w:tabs>
          <w:tab w:val="num" w:pos="720"/>
        </w:tabs>
        <w:spacing w:line="240" w:lineRule="atLeast"/>
        <w:rPr>
          <w:rFonts w:ascii="Times New Roman" w:hAnsi="Times New Roman"/>
          <w:sz w:val="24"/>
        </w:rPr>
      </w:pPr>
    </w:p>
    <w:p w:rsidR="005F0C18" w:rsidP="005F0C18" w:rsidRDefault="005F0C18">
      <w:pPr>
        <w:widowControl w:val="0"/>
        <w:tabs>
          <w:tab w:val="num" w:pos="720"/>
        </w:tabs>
        <w:spacing w:line="240" w:lineRule="atLeast"/>
        <w:rPr>
          <w:rFonts w:ascii="Times New Roman" w:hAnsi="Times New Roman"/>
          <w:sz w:val="24"/>
        </w:rPr>
      </w:pPr>
    </w:p>
    <w:p w:rsidR="005F0C18" w:rsidP="005F0C18" w:rsidRDefault="005F0C18">
      <w:pPr>
        <w:widowControl w:val="0"/>
        <w:tabs>
          <w:tab w:val="num" w:pos="720"/>
        </w:tabs>
        <w:spacing w:line="240" w:lineRule="atLeast"/>
        <w:rPr>
          <w:rFonts w:ascii="Times New Roman" w:hAnsi="Times New Roman"/>
          <w:sz w:val="24"/>
        </w:rPr>
      </w:pPr>
    </w:p>
    <w:p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r w:rsidRPr="005F0C18">
        <w:rPr>
          <w:rFonts w:ascii="Times New Roman" w:hAnsi="Times New Roman"/>
          <w:sz w:val="24"/>
        </w:rPr>
        <w:t>De Minister van Financiën,</w:t>
      </w: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p>
    <w:p w:rsidRPr="005F0C18" w:rsidR="005F0C18" w:rsidP="005F0C18" w:rsidRDefault="005F0C18">
      <w:pPr>
        <w:widowControl w:val="0"/>
        <w:tabs>
          <w:tab w:val="num" w:pos="720"/>
        </w:tabs>
        <w:spacing w:line="240" w:lineRule="atLeast"/>
        <w:rPr>
          <w:rFonts w:ascii="Times New Roman" w:hAnsi="Times New Roman"/>
          <w:sz w:val="24"/>
        </w:rPr>
      </w:pPr>
      <w:r w:rsidRPr="005F0C18">
        <w:rPr>
          <w:rFonts w:ascii="Times New Roman" w:hAnsi="Times New Roman"/>
          <w:sz w:val="24"/>
        </w:rPr>
        <w:t>De Minister voor Rechtsbescherming,</w:t>
      </w:r>
    </w:p>
    <w:p w:rsidRPr="005F0C18" w:rsidR="00CB3578" w:rsidP="00A11E73" w:rsidRDefault="00CB3578">
      <w:pPr>
        <w:tabs>
          <w:tab w:val="left" w:pos="284"/>
          <w:tab w:val="left" w:pos="567"/>
          <w:tab w:val="left" w:pos="851"/>
        </w:tabs>
        <w:ind w:right="1848"/>
        <w:rPr>
          <w:rFonts w:ascii="Times New Roman" w:hAnsi="Times New Roman"/>
          <w:sz w:val="24"/>
        </w:rPr>
      </w:pPr>
    </w:p>
    <w:sectPr w:rsidRPr="005F0C18"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C18" w:rsidRDefault="005F0C18">
      <w:pPr>
        <w:spacing w:line="20" w:lineRule="exact"/>
      </w:pPr>
    </w:p>
  </w:endnote>
  <w:endnote w:type="continuationSeparator" w:id="0">
    <w:p w:rsidR="005F0C18" w:rsidRDefault="005F0C18">
      <w:pPr>
        <w:pStyle w:val="Amendement"/>
      </w:pPr>
      <w:r>
        <w:rPr>
          <w:b w:val="0"/>
          <w:bCs w:val="0"/>
        </w:rPr>
        <w:t xml:space="preserve"> </w:t>
      </w:r>
    </w:p>
  </w:endnote>
  <w:endnote w:type="continuationNotice" w:id="1">
    <w:p w:rsidR="005F0C18" w:rsidRDefault="005F0C1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554F2">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C18" w:rsidRDefault="005F0C18">
      <w:pPr>
        <w:pStyle w:val="Amendement"/>
      </w:pPr>
      <w:r>
        <w:rPr>
          <w:b w:val="0"/>
          <w:bCs w:val="0"/>
        </w:rPr>
        <w:separator/>
      </w:r>
    </w:p>
  </w:footnote>
  <w:footnote w:type="continuationSeparator" w:id="0">
    <w:p w:rsidR="005F0C18" w:rsidRDefault="005F0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C18"/>
    <w:rsid w:val="00012DBE"/>
    <w:rsid w:val="000A1D81"/>
    <w:rsid w:val="00111ED3"/>
    <w:rsid w:val="001C190E"/>
    <w:rsid w:val="002168F4"/>
    <w:rsid w:val="002A727C"/>
    <w:rsid w:val="005D2707"/>
    <w:rsid w:val="005F0C18"/>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4F2"/>
    <w:rsid w:val="00D55648"/>
    <w:rsid w:val="00DC0C90"/>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5E6D7"/>
  <w15:docId w15:val="{1860BB40-61B5-4669-974B-1E84B3C2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D554F2"/>
    <w:rPr>
      <w:rFonts w:ascii="Segoe UI" w:hAnsi="Segoe UI" w:cs="Segoe UI"/>
      <w:sz w:val="18"/>
      <w:szCs w:val="18"/>
    </w:rPr>
  </w:style>
  <w:style w:type="character" w:customStyle="1" w:styleId="BallontekstChar">
    <w:name w:val="Ballontekst Char"/>
    <w:basedOn w:val="Standaardalinea-lettertype"/>
    <w:link w:val="Ballontekst"/>
    <w:semiHidden/>
    <w:rsid w:val="00D55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3292</ap:Words>
  <ap:Characters>18936</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2022-07-06T10:29:00.0000000Z</lastPrinted>
  <dcterms:created xsi:type="dcterms:W3CDTF">2022-07-06T10:25:00.0000000Z</dcterms:created>
  <dcterms:modified xsi:type="dcterms:W3CDTF">2022-07-06T10:31:00.0000000Z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