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="003F75A1" w:rsidTr="00A05B98" w14:paraId="309F7D32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RDefault="003F75A1" w14:paraId="33BC4DD4" w14:textId="77777777">
            <w:pPr>
              <w:rPr>
                <w:b/>
              </w:rPr>
            </w:pPr>
            <w:bookmarkStart w:name="_GoBack" w:id="0"/>
            <w:bookmarkEnd w:id="0"/>
            <w:r>
              <w:rPr>
                <w:b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5A029874" w14:textId="77777777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3F75A1" w:rsidTr="00A05B98" w14:paraId="4D722071" w14:textId="77777777">
        <w:tc>
          <w:tcPr>
            <w:tcW w:w="3614" w:type="dxa"/>
          </w:tcPr>
          <w:p w:rsidR="003F75A1" w:rsidRDefault="003F75A1" w14:paraId="7192C5F2" w14:textId="77777777"/>
        </w:tc>
        <w:tc>
          <w:tcPr>
            <w:tcW w:w="5596" w:type="dxa"/>
          </w:tcPr>
          <w:p w:rsidR="003F75A1" w:rsidRDefault="003F75A1" w14:paraId="26C0CC80" w14:textId="77777777"/>
        </w:tc>
      </w:tr>
      <w:tr w:rsidR="003F75A1" w:rsidTr="00A05B98" w14:paraId="62009EC1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P="008B5770" w:rsidRDefault="003F75A1" w14:paraId="2E537601" w14:textId="77777777">
            <w:r>
              <w:t>Vergaderjaar 20</w:t>
            </w:r>
            <w:r w:rsidR="0052735F">
              <w:t>2</w:t>
            </w:r>
            <w:r w:rsidR="008B5770">
              <w:t>1</w:t>
            </w:r>
            <w:r>
              <w:t>-20</w:t>
            </w:r>
            <w:r w:rsidR="009D3567">
              <w:t>2</w:t>
            </w:r>
            <w:r w:rsidR="008B5770">
              <w:t>2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52E2CDDE" w14:textId="77777777"/>
        </w:tc>
      </w:tr>
      <w:tr w:rsidR="003F75A1" w:rsidTr="00A05B98" w14:paraId="2E7B3CB6" w14:textId="77777777">
        <w:tc>
          <w:tcPr>
            <w:tcW w:w="3614" w:type="dxa"/>
          </w:tcPr>
          <w:p w:rsidR="003F75A1" w:rsidRDefault="003F75A1" w14:paraId="4CD73B89" w14:textId="77777777"/>
        </w:tc>
        <w:tc>
          <w:tcPr>
            <w:tcW w:w="5596" w:type="dxa"/>
          </w:tcPr>
          <w:p w:rsidR="003F75A1" w:rsidRDefault="003F75A1" w14:paraId="7813E669" w14:textId="77777777"/>
        </w:tc>
      </w:tr>
      <w:tr w:rsidR="003F75A1" w:rsidTr="00A05B98" w14:paraId="1A0B9C54" w14:textId="77777777">
        <w:tc>
          <w:tcPr>
            <w:tcW w:w="3614" w:type="dxa"/>
          </w:tcPr>
          <w:p w:rsidR="003F75A1" w:rsidP="009F5536" w:rsidRDefault="008167B9" w14:paraId="48D4E19E" w14:textId="7DB49928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5596" w:type="dxa"/>
          </w:tcPr>
          <w:p w:rsidRPr="00FC536C" w:rsidR="003F75A1" w:rsidP="0083437E" w:rsidRDefault="008167B9" w14:paraId="29E03986" w14:textId="577F12A2">
            <w:pPr>
              <w:rPr>
                <w:b/>
              </w:rPr>
            </w:pPr>
            <w:r w:rsidRPr="008167B9">
              <w:rPr>
                <w:b/>
              </w:rPr>
              <w:t>Belastingdienst</w:t>
            </w:r>
          </w:p>
        </w:tc>
      </w:tr>
      <w:tr w:rsidR="003F75A1" w:rsidTr="00A05B98" w14:paraId="362841BC" w14:textId="77777777">
        <w:tc>
          <w:tcPr>
            <w:tcW w:w="3614" w:type="dxa"/>
          </w:tcPr>
          <w:p w:rsidR="003F75A1" w:rsidRDefault="003F75A1" w14:paraId="4A790367" w14:textId="77777777"/>
        </w:tc>
        <w:tc>
          <w:tcPr>
            <w:tcW w:w="5596" w:type="dxa"/>
          </w:tcPr>
          <w:p w:rsidR="003F75A1" w:rsidRDefault="003F75A1" w14:paraId="1F846BCC" w14:textId="77777777"/>
        </w:tc>
      </w:tr>
      <w:tr w:rsidR="003F75A1" w:rsidTr="00A05B98" w14:paraId="74230167" w14:textId="77777777">
        <w:tc>
          <w:tcPr>
            <w:tcW w:w="3614" w:type="dxa"/>
          </w:tcPr>
          <w:p w:rsidR="003F75A1" w:rsidRDefault="003F75A1" w14:paraId="416E8DDB" w14:textId="77777777"/>
        </w:tc>
        <w:tc>
          <w:tcPr>
            <w:tcW w:w="5596" w:type="dxa"/>
          </w:tcPr>
          <w:p w:rsidR="003F75A1" w:rsidRDefault="003F75A1" w14:paraId="4944EC1D" w14:textId="77777777"/>
        </w:tc>
      </w:tr>
      <w:tr w:rsidR="003F75A1" w:rsidTr="00A05B98" w14:paraId="23EE770E" w14:textId="77777777">
        <w:tc>
          <w:tcPr>
            <w:tcW w:w="3614" w:type="dxa"/>
          </w:tcPr>
          <w:p w:rsidR="003F75A1" w:rsidRDefault="003F75A1" w14:paraId="7DF9C9B2" w14:textId="77777777"/>
        </w:tc>
        <w:tc>
          <w:tcPr>
            <w:tcW w:w="5596" w:type="dxa"/>
          </w:tcPr>
          <w:p w:rsidR="003F75A1" w:rsidRDefault="003F75A1" w14:paraId="72BBA679" w14:textId="77777777"/>
        </w:tc>
      </w:tr>
      <w:tr w:rsidR="003F75A1" w:rsidTr="00A05B98" w14:paraId="4CF3B0F2" w14:textId="77777777">
        <w:tc>
          <w:tcPr>
            <w:tcW w:w="3614" w:type="dxa"/>
          </w:tcPr>
          <w:p w:rsidR="003F75A1" w:rsidRDefault="003F75A1" w14:paraId="0E5A1AB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5596" w:type="dxa"/>
          </w:tcPr>
          <w:p w:rsidR="003F75A1" w:rsidP="000A62D1" w:rsidRDefault="000A62D1" w14:paraId="31C0CFE1" w14:textId="77777777">
            <w:pPr>
              <w:pStyle w:val="Kop1"/>
            </w:pPr>
            <w:r>
              <w:t>LIJST VAN VRAGEN EN ANTWOORDEN</w:t>
            </w:r>
          </w:p>
        </w:tc>
      </w:tr>
      <w:tr w:rsidR="003F75A1" w:rsidTr="00A05B98" w14:paraId="5E659D5D" w14:textId="77777777">
        <w:tc>
          <w:tcPr>
            <w:tcW w:w="3614" w:type="dxa"/>
          </w:tcPr>
          <w:p w:rsidR="003F75A1" w:rsidRDefault="003F75A1" w14:paraId="3BD81552" w14:textId="77777777"/>
        </w:tc>
        <w:tc>
          <w:tcPr>
            <w:tcW w:w="5596" w:type="dxa"/>
          </w:tcPr>
          <w:p w:rsidR="003F75A1" w:rsidP="003D0E87" w:rsidRDefault="009C508A" w14:paraId="6BB6C9B9" w14:textId="67695638">
            <w:pPr>
              <w:pStyle w:val="Kop1"/>
              <w:rPr>
                <w:b w:val="0"/>
              </w:rPr>
            </w:pPr>
            <w:r>
              <w:rPr>
                <w:b w:val="0"/>
              </w:rPr>
              <w:t>Vastgesteld</w:t>
            </w:r>
            <w:r w:rsidR="007C3403">
              <w:rPr>
                <w:b w:val="0"/>
              </w:rPr>
              <w:t xml:space="preserve"> </w:t>
            </w:r>
            <w:r w:rsidR="008167B9">
              <w:rPr>
                <w:b w:val="0"/>
              </w:rPr>
              <w:t>…</w:t>
            </w:r>
            <w:r>
              <w:rPr>
                <w:b w:val="0"/>
              </w:rPr>
              <w:t xml:space="preserve"> 20</w:t>
            </w:r>
            <w:r w:rsidR="00EF0554">
              <w:rPr>
                <w:b w:val="0"/>
              </w:rPr>
              <w:t>2</w:t>
            </w:r>
            <w:r w:rsidR="003D0E87">
              <w:rPr>
                <w:b w:val="0"/>
              </w:rPr>
              <w:t>2</w:t>
            </w:r>
          </w:p>
        </w:tc>
      </w:tr>
      <w:tr w:rsidR="003F75A1" w:rsidTr="00A05B98" w14:paraId="358DA62A" w14:textId="77777777">
        <w:tc>
          <w:tcPr>
            <w:tcW w:w="3614" w:type="dxa"/>
          </w:tcPr>
          <w:p w:rsidR="003F75A1" w:rsidRDefault="003F75A1" w14:paraId="7B52ECFF" w14:textId="77777777"/>
        </w:tc>
        <w:tc>
          <w:tcPr>
            <w:tcW w:w="5596" w:type="dxa"/>
          </w:tcPr>
          <w:p w:rsidR="003F75A1" w:rsidRDefault="003F75A1" w14:paraId="375AE846" w14:textId="77777777">
            <w:pPr>
              <w:pStyle w:val="Kop1"/>
            </w:pPr>
          </w:p>
        </w:tc>
      </w:tr>
      <w:tr w:rsidR="003F75A1" w:rsidTr="00A05B98" w14:paraId="6E5DB431" w14:textId="77777777">
        <w:tc>
          <w:tcPr>
            <w:tcW w:w="3614" w:type="dxa"/>
          </w:tcPr>
          <w:p w:rsidR="003F75A1" w:rsidRDefault="003F75A1" w14:paraId="162C5FD8" w14:textId="77777777"/>
        </w:tc>
        <w:tc>
          <w:tcPr>
            <w:tcW w:w="5596" w:type="dxa"/>
          </w:tcPr>
          <w:p w:rsidRPr="0002288D" w:rsidR="00FC536C" w:rsidP="0052735F" w:rsidRDefault="00C15562" w14:paraId="37AB129A" w14:textId="32A7EB9C">
            <w:pPr>
              <w:rPr>
                <w:szCs w:val="22"/>
              </w:rPr>
            </w:pPr>
            <w:r w:rsidRPr="00EF0554">
              <w:t xml:space="preserve">De vaste commissie voor Financiën heeft over </w:t>
            </w:r>
            <w:r w:rsidR="0052735F">
              <w:t>een brie</w:t>
            </w:r>
            <w:r w:rsidR="003D0E87">
              <w:t>f</w:t>
            </w:r>
            <w:r w:rsidR="0052735F">
              <w:t xml:space="preserve"> </w:t>
            </w:r>
            <w:r w:rsidRPr="00EF0554" w:rsidR="0052735F">
              <w:t xml:space="preserve">van de staatssecretaris van Financiën </w:t>
            </w:r>
            <w:r w:rsidR="008167B9">
              <w:t xml:space="preserve">inzake </w:t>
            </w:r>
            <w:r w:rsidRPr="009B6145" w:rsidR="009B6145">
              <w:rPr>
                <w:szCs w:val="22"/>
              </w:rPr>
              <w:t>Reactie op het verzoek van het lid Omtzigt, gedaan tijdens de Regeling van Werkzaamheden van 17 mei 2022, over het rapport ‘Handleidingen aan de Poort 2-1’</w:t>
            </w:r>
            <w:r w:rsidR="0002288D">
              <w:rPr>
                <w:szCs w:val="22"/>
              </w:rPr>
              <w:t xml:space="preserve"> </w:t>
            </w:r>
            <w:r w:rsidRPr="00EF0554" w:rsidR="00BB3A65">
              <w:t>(</w:t>
            </w:r>
            <w:r w:rsidR="008167B9">
              <w:t>Kamerstuk 31066, nr. 1061</w:t>
            </w:r>
            <w:r w:rsidR="0052735F">
              <w:t>)</w:t>
            </w:r>
            <w:r w:rsidRPr="00EF0554" w:rsidR="0083437E">
              <w:t xml:space="preserve"> </w:t>
            </w:r>
            <w:r w:rsidRPr="00EF0554">
              <w:t>de navolgende vragen ter beantwoording aan</w:t>
            </w:r>
            <w:r w:rsidRPr="00EF0554" w:rsidR="00107826">
              <w:t xml:space="preserve"> de </w:t>
            </w:r>
            <w:r w:rsidRPr="00EF0554" w:rsidR="009F5536">
              <w:t>staatssecretaris</w:t>
            </w:r>
            <w:r w:rsidRPr="00EF0554">
              <w:t xml:space="preserve"> voorgelegd.</w:t>
            </w:r>
            <w:r w:rsidRPr="00EF0554" w:rsidR="00FC536C">
              <w:t xml:space="preserve"> </w:t>
            </w:r>
          </w:p>
          <w:p w:rsidRPr="00EF0554" w:rsidR="009F5536" w:rsidP="00FC536C" w:rsidRDefault="009F5536" w14:paraId="38F57EFA" w14:textId="77777777"/>
          <w:p w:rsidRPr="00EF0554" w:rsidR="003F75A1" w:rsidP="009B6145" w:rsidRDefault="009F5536" w14:paraId="3D151F47" w14:textId="77777777">
            <w:r w:rsidRPr="00EF0554">
              <w:t xml:space="preserve">De vragen zijn op </w:t>
            </w:r>
            <w:r w:rsidR="009B6145">
              <w:t>5 juli</w:t>
            </w:r>
            <w:r w:rsidRPr="00EF0554" w:rsidR="00EF0554">
              <w:t xml:space="preserve"> 202</w:t>
            </w:r>
            <w:r w:rsidR="003D0E87">
              <w:t>2</w:t>
            </w:r>
            <w:r w:rsidRPr="00EF0554">
              <w:t xml:space="preserve"> aan de staatssecretaris gezonden en bij </w:t>
            </w:r>
            <w:r w:rsidRPr="00EF0554" w:rsidR="00C15562">
              <w:t>brief van ... beantwoord.</w:t>
            </w:r>
          </w:p>
        </w:tc>
      </w:tr>
      <w:tr w:rsidR="003B7B12" w:rsidTr="00A05B98" w14:paraId="768A8D1A" w14:textId="77777777">
        <w:tc>
          <w:tcPr>
            <w:tcW w:w="3614" w:type="dxa"/>
          </w:tcPr>
          <w:p w:rsidR="003B7B12" w:rsidRDefault="003B7B12" w14:paraId="1BD6ADFE" w14:textId="77777777"/>
        </w:tc>
        <w:tc>
          <w:tcPr>
            <w:tcW w:w="5596" w:type="dxa"/>
          </w:tcPr>
          <w:p w:rsidR="003B7B12" w:rsidRDefault="003B7B12" w14:paraId="15DDBC39" w14:textId="77777777">
            <w:pPr>
              <w:pStyle w:val="Kop1"/>
              <w:rPr>
                <w:b w:val="0"/>
              </w:rPr>
            </w:pPr>
          </w:p>
        </w:tc>
      </w:tr>
      <w:tr w:rsidR="003F75A1" w:rsidTr="00A05B98" w14:paraId="5B2F415A" w14:textId="77777777">
        <w:tc>
          <w:tcPr>
            <w:tcW w:w="3614" w:type="dxa"/>
          </w:tcPr>
          <w:p w:rsidR="003F75A1" w:rsidRDefault="003F75A1" w14:paraId="3C5419B4" w14:textId="77777777"/>
        </w:tc>
        <w:tc>
          <w:tcPr>
            <w:tcW w:w="5596" w:type="dxa"/>
          </w:tcPr>
          <w:p w:rsidR="003F75A1" w:rsidRDefault="003F75A1" w14:paraId="016AE097" w14:textId="77777777">
            <w:pPr>
              <w:pStyle w:val="Kop1"/>
              <w:rPr>
                <w:b w:val="0"/>
              </w:rPr>
            </w:pPr>
            <w:r>
              <w:rPr>
                <w:b w:val="0"/>
              </w:rPr>
              <w:t>De voorzitter van de commissie,</w:t>
            </w:r>
          </w:p>
          <w:p w:rsidR="003F75A1" w:rsidRDefault="00037DD2" w14:paraId="7C36BE4B" w14:textId="77777777">
            <w:r>
              <w:t>Tielen</w:t>
            </w:r>
          </w:p>
        </w:tc>
      </w:tr>
      <w:tr w:rsidR="003F75A1" w:rsidTr="00A05B98" w14:paraId="6EDDBC38" w14:textId="77777777">
        <w:tc>
          <w:tcPr>
            <w:tcW w:w="3614" w:type="dxa"/>
          </w:tcPr>
          <w:p w:rsidR="003F75A1" w:rsidRDefault="003F75A1" w14:paraId="3EEAF3AF" w14:textId="77777777"/>
        </w:tc>
        <w:tc>
          <w:tcPr>
            <w:tcW w:w="5596" w:type="dxa"/>
          </w:tcPr>
          <w:p w:rsidR="003F75A1" w:rsidRDefault="003F75A1" w14:paraId="5693602F" w14:textId="77777777">
            <w:pPr>
              <w:pStyle w:val="Kop1"/>
              <w:rPr>
                <w:b w:val="0"/>
              </w:rPr>
            </w:pPr>
          </w:p>
        </w:tc>
      </w:tr>
      <w:tr w:rsidR="003F75A1" w:rsidTr="00A05B98" w14:paraId="3B8774B7" w14:textId="77777777">
        <w:tc>
          <w:tcPr>
            <w:tcW w:w="3614" w:type="dxa"/>
          </w:tcPr>
          <w:p w:rsidR="003F75A1" w:rsidRDefault="003F75A1" w14:paraId="4B8AA5AE" w14:textId="77777777"/>
        </w:tc>
        <w:tc>
          <w:tcPr>
            <w:tcW w:w="5596" w:type="dxa"/>
          </w:tcPr>
          <w:p w:rsidR="003F75A1" w:rsidRDefault="003F75A1" w14:paraId="2102EF6F" w14:textId="070952C4">
            <w:pPr>
              <w:pStyle w:val="Kop1"/>
              <w:rPr>
                <w:b w:val="0"/>
              </w:rPr>
            </w:pPr>
            <w:r>
              <w:rPr>
                <w:b w:val="0"/>
              </w:rPr>
              <w:t>De</w:t>
            </w:r>
            <w:r w:rsidR="00212AB8">
              <w:rPr>
                <w:b w:val="0"/>
              </w:rPr>
              <w:t xml:space="preserve"> </w:t>
            </w:r>
            <w:r w:rsidR="008167B9">
              <w:rPr>
                <w:b w:val="0"/>
              </w:rPr>
              <w:t>adjunct-</w:t>
            </w:r>
            <w:r>
              <w:rPr>
                <w:b w:val="0"/>
              </w:rPr>
              <w:t>griffier van de commissie,</w:t>
            </w:r>
          </w:p>
          <w:p w:rsidR="003F75A1" w:rsidRDefault="008167B9" w14:paraId="08A84C65" w14:textId="1E8D0E79">
            <w:r>
              <w:t>Schukkink</w:t>
            </w:r>
          </w:p>
        </w:tc>
      </w:tr>
    </w:tbl>
    <w:p w:rsidRPr="009F5536" w:rsidR="009F5536" w:rsidP="009F5536" w:rsidRDefault="009F5536" w14:paraId="569568E5" w14:textId="77777777">
      <w:pPr>
        <w:autoSpaceDE w:val="0"/>
        <w:autoSpaceDN w:val="0"/>
        <w:adjustRightInd w:val="0"/>
        <w:rPr>
          <w:rFonts w:ascii="FCJOE D+ Univers" w:hAnsi="FCJOE D+ Univers" w:cs="FCJOE D+ Univers"/>
          <w:color w:val="000000"/>
          <w:sz w:val="24"/>
          <w:szCs w:val="24"/>
        </w:rPr>
      </w:pPr>
    </w:p>
    <w:p w:rsidR="003F75A1" w:rsidP="009F5536" w:rsidRDefault="003F75A1" w14:paraId="3CE5FFEB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8167B9" w:rsidR="008167B9" w:rsidTr="00A01C1C" w14:paraId="0F72B0E6" w14:textId="77777777">
        <w:trPr>
          <w:cantSplit/>
        </w:trPr>
        <w:tc>
          <w:tcPr>
            <w:tcW w:w="567" w:type="dxa"/>
          </w:tcPr>
          <w:p w:rsidRPr="008167B9" w:rsidR="008167B9" w:rsidP="00A01C1C" w:rsidRDefault="008167B9" w14:paraId="3EC73042" w14:textId="77777777">
            <w:pPr>
              <w:rPr>
                <w:b/>
              </w:rPr>
            </w:pPr>
            <w:r w:rsidRPr="008167B9">
              <w:rPr>
                <w:b/>
              </w:rPr>
              <w:t>Nr</w:t>
            </w:r>
          </w:p>
        </w:tc>
        <w:tc>
          <w:tcPr>
            <w:tcW w:w="6521" w:type="dxa"/>
          </w:tcPr>
          <w:p w:rsidRPr="008167B9" w:rsidR="008167B9" w:rsidP="00A01C1C" w:rsidRDefault="008167B9" w14:paraId="7A932233" w14:textId="77777777">
            <w:pPr>
              <w:rPr>
                <w:b/>
              </w:rPr>
            </w:pPr>
            <w:r w:rsidRPr="008167B9">
              <w:rPr>
                <w:b/>
              </w:rPr>
              <w:t>Vraag</w:t>
            </w:r>
          </w:p>
        </w:tc>
        <w:tc>
          <w:tcPr>
            <w:tcW w:w="850" w:type="dxa"/>
          </w:tcPr>
          <w:p w:rsidRPr="008167B9" w:rsidR="008167B9" w:rsidP="00A01C1C" w:rsidRDefault="008167B9" w14:paraId="7993F0A4" w14:textId="77777777">
            <w:pPr>
              <w:jc w:val="right"/>
              <w:rPr>
                <w:b/>
              </w:rPr>
            </w:pPr>
            <w:r w:rsidRPr="008167B9">
              <w:rPr>
                <w:b/>
              </w:rPr>
              <w:t>Bijlage</w:t>
            </w:r>
          </w:p>
        </w:tc>
        <w:tc>
          <w:tcPr>
            <w:tcW w:w="992" w:type="dxa"/>
          </w:tcPr>
          <w:p w:rsidRPr="008167B9" w:rsidR="008167B9" w:rsidP="00A01C1C" w:rsidRDefault="008167B9" w14:paraId="3B83B5FF" w14:textId="77777777">
            <w:pPr>
              <w:jc w:val="right"/>
              <w:rPr>
                <w:b/>
              </w:rPr>
            </w:pPr>
            <w:r w:rsidRPr="008167B9">
              <w:rPr>
                <w:b/>
              </w:rPr>
              <w:t>Blz. (van)</w:t>
            </w:r>
          </w:p>
        </w:tc>
        <w:tc>
          <w:tcPr>
            <w:tcW w:w="567" w:type="dxa"/>
          </w:tcPr>
          <w:p w:rsidRPr="008167B9" w:rsidR="008167B9" w:rsidP="00A01C1C" w:rsidRDefault="008167B9" w14:paraId="46E9B933" w14:textId="77777777">
            <w:pPr>
              <w:jc w:val="center"/>
              <w:rPr>
                <w:b/>
              </w:rPr>
            </w:pPr>
            <w:r w:rsidRPr="008167B9">
              <w:rPr>
                <w:b/>
              </w:rPr>
              <w:t>t/m</w:t>
            </w:r>
          </w:p>
        </w:tc>
      </w:tr>
      <w:tr w:rsidR="008167B9" w:rsidTr="00A01C1C" w14:paraId="19EC2768" w14:textId="77777777">
        <w:tc>
          <w:tcPr>
            <w:tcW w:w="567" w:type="dxa"/>
          </w:tcPr>
          <w:p w:rsidR="008167B9" w:rsidP="00A01C1C" w:rsidRDefault="008167B9" w14:paraId="3DF91317" w14:textId="77777777">
            <w:r>
              <w:t>1</w:t>
            </w:r>
          </w:p>
        </w:tc>
        <w:tc>
          <w:tcPr>
            <w:tcW w:w="6521" w:type="dxa"/>
          </w:tcPr>
          <w:p w:rsidR="008167B9" w:rsidP="008167B9" w:rsidRDefault="008167B9" w14:paraId="175E214A" w14:textId="3A74387C">
            <w:r>
              <w:t>Welke projecten heeft de Broedkamer, waarover de ambtsvoorganger van de staatssecretaris eerder meldde</w:t>
            </w:r>
            <w:r>
              <w:rPr>
                <w:rStyle w:val="Voetnootmarkering"/>
              </w:rPr>
              <w:footnoteReference w:id="1"/>
            </w:r>
            <w:r>
              <w:t xml:space="preserve"> dat er 140 wiskundigen en econometristen aan het werk zijn, ten behoeve van de Poort uitgevoerd?</w:t>
            </w:r>
          </w:p>
        </w:tc>
        <w:tc>
          <w:tcPr>
            <w:tcW w:w="850" w:type="dxa"/>
          </w:tcPr>
          <w:p w:rsidR="008167B9" w:rsidP="00A01C1C" w:rsidRDefault="008167B9" w14:paraId="112FD5BF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7327CD4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58FA6B1D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3F403BD0" w14:textId="77777777">
        <w:tc>
          <w:tcPr>
            <w:tcW w:w="567" w:type="dxa"/>
          </w:tcPr>
          <w:p w:rsidR="008167B9" w:rsidP="00A01C1C" w:rsidRDefault="008167B9" w14:paraId="13B07B87" w14:textId="77777777">
            <w:r>
              <w:t>2</w:t>
            </w:r>
          </w:p>
        </w:tc>
        <w:tc>
          <w:tcPr>
            <w:tcW w:w="6521" w:type="dxa"/>
          </w:tcPr>
          <w:p w:rsidR="008167B9" w:rsidP="00A01C1C" w:rsidRDefault="008167B9" w14:paraId="747FAD1A" w14:textId="77777777">
            <w:r>
              <w:t>Welke andere projecten heeft de Broedkamer uitgevoerd?</w:t>
            </w:r>
          </w:p>
        </w:tc>
        <w:tc>
          <w:tcPr>
            <w:tcW w:w="850" w:type="dxa"/>
          </w:tcPr>
          <w:p w:rsidR="008167B9" w:rsidP="00A01C1C" w:rsidRDefault="008167B9" w14:paraId="6120AE16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3DC374B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0E61211E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6BEA4242" w14:textId="77777777">
        <w:tc>
          <w:tcPr>
            <w:tcW w:w="567" w:type="dxa"/>
          </w:tcPr>
          <w:p w:rsidR="008167B9" w:rsidP="00A01C1C" w:rsidRDefault="008167B9" w14:paraId="1E437215" w14:textId="77777777">
            <w:r>
              <w:t>3</w:t>
            </w:r>
          </w:p>
        </w:tc>
        <w:tc>
          <w:tcPr>
            <w:tcW w:w="6521" w:type="dxa"/>
          </w:tcPr>
          <w:p w:rsidR="008167B9" w:rsidP="00A01C1C" w:rsidRDefault="008167B9" w14:paraId="1C7C491A" w14:textId="754C50A2">
            <w:r>
              <w:t>Welke risicomodellen en/of -profielen en/of selectie- of fraudeanalysehulpmiddelen heeft dat opgeleverd en worden deze nog gebruikt? Met welke organisaties zijn ze uitgewisseld?</w:t>
            </w:r>
          </w:p>
        </w:tc>
        <w:tc>
          <w:tcPr>
            <w:tcW w:w="850" w:type="dxa"/>
          </w:tcPr>
          <w:p w:rsidR="008167B9" w:rsidP="00A01C1C" w:rsidRDefault="008167B9" w14:paraId="670D2A22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7F16435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1421B35A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71A2F123" w14:textId="77777777">
        <w:tc>
          <w:tcPr>
            <w:tcW w:w="567" w:type="dxa"/>
          </w:tcPr>
          <w:p w:rsidR="008167B9" w:rsidP="00A01C1C" w:rsidRDefault="008167B9" w14:paraId="14FCD185" w14:textId="77777777">
            <w:r>
              <w:t>4</w:t>
            </w:r>
          </w:p>
        </w:tc>
        <w:tc>
          <w:tcPr>
            <w:tcW w:w="6521" w:type="dxa"/>
          </w:tcPr>
          <w:p w:rsidR="008167B9" w:rsidP="008167B9" w:rsidRDefault="008167B9" w14:paraId="41FE9264" w14:textId="28C845B9">
            <w:r>
              <w:t>Kunnen de door Broedkamer ontwikkelde risicomodellen en/of -profielen en/of selectie- of fraudeanalysehulpmiddelen ter beschikking worden gesteld?</w:t>
            </w:r>
          </w:p>
        </w:tc>
        <w:tc>
          <w:tcPr>
            <w:tcW w:w="850" w:type="dxa"/>
          </w:tcPr>
          <w:p w:rsidR="008167B9" w:rsidP="00A01C1C" w:rsidRDefault="008167B9" w14:paraId="5E42CD35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43C7640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5354A74C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388DBFEA" w14:textId="77777777">
        <w:tc>
          <w:tcPr>
            <w:tcW w:w="567" w:type="dxa"/>
          </w:tcPr>
          <w:p w:rsidR="008167B9" w:rsidP="00A01C1C" w:rsidRDefault="008167B9" w14:paraId="1309C673" w14:textId="77777777">
            <w:r>
              <w:t>5</w:t>
            </w:r>
          </w:p>
        </w:tc>
        <w:tc>
          <w:tcPr>
            <w:tcW w:w="6521" w:type="dxa"/>
          </w:tcPr>
          <w:p w:rsidR="008167B9" w:rsidP="008167B9" w:rsidRDefault="008167B9" w14:paraId="790EF1A1" w14:textId="68518CCC">
            <w:r>
              <w:t>In de handleiding staat vermeld dat in het kader van Green Lane een bijdrage wordt verleend via analyse van incidentele query’s; welke analyses en incidentele query’s betrof dit?</w:t>
            </w:r>
          </w:p>
        </w:tc>
        <w:tc>
          <w:tcPr>
            <w:tcW w:w="850" w:type="dxa"/>
          </w:tcPr>
          <w:p w:rsidR="008167B9" w:rsidP="00A01C1C" w:rsidRDefault="008167B9" w14:paraId="4D58B51C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5F28C4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3A004CC4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4CA11AC3" w14:textId="77777777">
        <w:tc>
          <w:tcPr>
            <w:tcW w:w="567" w:type="dxa"/>
          </w:tcPr>
          <w:p w:rsidR="008167B9" w:rsidP="00A01C1C" w:rsidRDefault="008167B9" w14:paraId="31083D24" w14:textId="77777777">
            <w:r>
              <w:t>6</w:t>
            </w:r>
          </w:p>
        </w:tc>
        <w:tc>
          <w:tcPr>
            <w:tcW w:w="6521" w:type="dxa"/>
          </w:tcPr>
          <w:p w:rsidR="008167B9" w:rsidP="008167B9" w:rsidRDefault="008167B9" w14:paraId="241E4C58" w14:textId="6D9E90F9">
            <w:r>
              <w:t>In de handleiding staat vermeld dat op de kamer van een niet genoemd persoon een overzicht van de maandelijks te ontvangen query’s hangt en de analist invult welke query’s hij/zij oppakt en voltooit; kunnen deze overzichten ter beschikking worden gesteld?</w:t>
            </w:r>
          </w:p>
        </w:tc>
        <w:tc>
          <w:tcPr>
            <w:tcW w:w="850" w:type="dxa"/>
          </w:tcPr>
          <w:p w:rsidR="008167B9" w:rsidP="00A01C1C" w:rsidRDefault="008167B9" w14:paraId="3963A3A3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3E896B9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38F29093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607808F6" w14:textId="77777777">
        <w:tc>
          <w:tcPr>
            <w:tcW w:w="567" w:type="dxa"/>
          </w:tcPr>
          <w:p w:rsidR="008167B9" w:rsidP="00A01C1C" w:rsidRDefault="008167B9" w14:paraId="5B8C8FFE" w14:textId="77777777">
            <w:r>
              <w:t>7</w:t>
            </w:r>
          </w:p>
        </w:tc>
        <w:tc>
          <w:tcPr>
            <w:tcW w:w="6521" w:type="dxa"/>
          </w:tcPr>
          <w:p w:rsidR="008167B9" w:rsidP="008167B9" w:rsidRDefault="008167B9" w14:paraId="3A7CE55B" w14:textId="2660900D">
            <w:r>
              <w:t>Maandelijks werden aan de projectleider systeemfraude IH 1043 de resultaten van het analysewerk, inclusief de financiële resultaten gerapporteerd; kunnen deze rapportages ter beschikking worden gesteld?</w:t>
            </w:r>
          </w:p>
        </w:tc>
        <w:tc>
          <w:tcPr>
            <w:tcW w:w="850" w:type="dxa"/>
          </w:tcPr>
          <w:p w:rsidR="008167B9" w:rsidP="00A01C1C" w:rsidRDefault="008167B9" w14:paraId="6477A4FB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5D01119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0D0DAB79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3F5111AF" w14:textId="77777777">
        <w:tc>
          <w:tcPr>
            <w:tcW w:w="567" w:type="dxa"/>
          </w:tcPr>
          <w:p w:rsidR="008167B9" w:rsidP="00A01C1C" w:rsidRDefault="008167B9" w14:paraId="77FCB48F" w14:textId="77777777">
            <w:r>
              <w:lastRenderedPageBreak/>
              <w:t>8</w:t>
            </w:r>
          </w:p>
        </w:tc>
        <w:tc>
          <w:tcPr>
            <w:tcW w:w="6521" w:type="dxa"/>
          </w:tcPr>
          <w:p w:rsidR="008167B9" w:rsidP="00FA6EA0" w:rsidRDefault="00FA6EA0" w14:paraId="34A7C112" w14:textId="5C24857B">
            <w:r>
              <w:t>Sub</w:t>
            </w:r>
            <w:r w:rsidR="008167B9">
              <w:t xml:space="preserve"> </w:t>
            </w:r>
            <w:r>
              <w:t>‘</w:t>
            </w:r>
            <w:r w:rsidR="008167B9">
              <w:t>2. Overzicht (fraude) query’s</w:t>
            </w:r>
            <w:r>
              <w:t>’</w:t>
            </w:r>
            <w:r>
              <w:rPr>
                <w:rStyle w:val="Voetnootmarkering"/>
              </w:rPr>
              <w:footnoteReference w:id="2"/>
            </w:r>
            <w:r w:rsidR="008167B9">
              <w:t xml:space="preserve"> wordt onder 2013/7 t/m 2013/10 DA 2013 Special vermeld, maar </w:t>
            </w:r>
            <w:r w:rsidR="0026219F">
              <w:t xml:space="preserve">hier </w:t>
            </w:r>
            <w:r w:rsidR="008167B9">
              <w:t>zijn de persoonsgegevens weggelakt. Wat voor persoonsge</w:t>
            </w:r>
            <w:r>
              <w:t>gevens betrof dit? Welke risico</w:t>
            </w:r>
            <w:r w:rsidR="008167B9">
              <w:t>kenmerken waren hierop van toepassing? Op welke wijze zijn deze personen geselecteerd?</w:t>
            </w:r>
          </w:p>
        </w:tc>
        <w:tc>
          <w:tcPr>
            <w:tcW w:w="850" w:type="dxa"/>
          </w:tcPr>
          <w:p w:rsidR="008167B9" w:rsidP="00A01C1C" w:rsidRDefault="008167B9" w14:paraId="22A69167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6B24E94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0216CA07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12330F59" w14:textId="77777777">
        <w:tc>
          <w:tcPr>
            <w:tcW w:w="567" w:type="dxa"/>
          </w:tcPr>
          <w:p w:rsidR="008167B9" w:rsidP="00A01C1C" w:rsidRDefault="008167B9" w14:paraId="242047B0" w14:textId="77777777">
            <w:r>
              <w:t>9</w:t>
            </w:r>
          </w:p>
        </w:tc>
        <w:tc>
          <w:tcPr>
            <w:tcW w:w="6521" w:type="dxa"/>
          </w:tcPr>
          <w:p w:rsidR="008167B9" w:rsidP="00FA6EA0" w:rsidRDefault="008167B9" w14:paraId="056ADEA4" w14:textId="359A2A7A">
            <w:r>
              <w:t xml:space="preserve">Welke </w:t>
            </w:r>
            <w:r w:rsidR="00FA6EA0">
              <w:t>query’s sub</w:t>
            </w:r>
            <w:r>
              <w:t xml:space="preserve"> </w:t>
            </w:r>
            <w:r w:rsidR="00FA6EA0">
              <w:t>‘</w:t>
            </w:r>
            <w:r>
              <w:t>2. Overzicht (fraude) query’s</w:t>
            </w:r>
            <w:r w:rsidR="00FA6EA0">
              <w:t>’ worden onder AKI</w:t>
            </w:r>
            <w:r>
              <w:t>2012 begrepen?</w:t>
            </w:r>
          </w:p>
        </w:tc>
        <w:tc>
          <w:tcPr>
            <w:tcW w:w="850" w:type="dxa"/>
          </w:tcPr>
          <w:p w:rsidR="008167B9" w:rsidP="00A01C1C" w:rsidRDefault="008167B9" w14:paraId="6FEBF9CA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4ADAADC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42495447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3F67975F" w14:textId="77777777">
        <w:tc>
          <w:tcPr>
            <w:tcW w:w="567" w:type="dxa"/>
          </w:tcPr>
          <w:p w:rsidR="008167B9" w:rsidP="00A01C1C" w:rsidRDefault="008167B9" w14:paraId="4BE07DDB" w14:textId="77777777">
            <w:r>
              <w:t>10</w:t>
            </w:r>
          </w:p>
        </w:tc>
        <w:tc>
          <w:tcPr>
            <w:tcW w:w="6521" w:type="dxa"/>
          </w:tcPr>
          <w:p w:rsidR="008167B9" w:rsidP="00A01C1C" w:rsidRDefault="008167B9" w14:paraId="7E49210F" w14:textId="77777777">
            <w:r>
              <w:t>Sub 3, Lijst van verdachte BECON’s vermeldt “Er wordt een steekproef gehouden op de aangiften van 600 particuliere klanten. Nog niets concreets bekend dat wijst op georganiseerde fraude.”</w:t>
            </w:r>
            <w:r>
              <w:br/>
              <w:t>Op grond van welke analyse, risicomodel of informatie is besloten deze belastingconsulent op deze wijze te onderzoeken?</w:t>
            </w:r>
          </w:p>
        </w:tc>
        <w:tc>
          <w:tcPr>
            <w:tcW w:w="850" w:type="dxa"/>
          </w:tcPr>
          <w:p w:rsidR="008167B9" w:rsidP="00A01C1C" w:rsidRDefault="008167B9" w14:paraId="568628DF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73DAC68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2B0023BB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7CF5A2D0" w14:textId="77777777">
        <w:tc>
          <w:tcPr>
            <w:tcW w:w="567" w:type="dxa"/>
          </w:tcPr>
          <w:p w:rsidR="008167B9" w:rsidP="00A01C1C" w:rsidRDefault="008167B9" w14:paraId="0426FA92" w14:textId="77777777">
            <w:r>
              <w:t>11</w:t>
            </w:r>
          </w:p>
        </w:tc>
        <w:tc>
          <w:tcPr>
            <w:tcW w:w="6521" w:type="dxa"/>
          </w:tcPr>
          <w:p w:rsidR="008167B9" w:rsidP="00A01C1C" w:rsidRDefault="008053F1" w14:paraId="66676B75" w14:textId="1DE61B25">
            <w:r>
              <w:t>Welke informatie bevat ‘</w:t>
            </w:r>
            <w:r w:rsidR="008167B9">
              <w:t>4. Overzicht</w:t>
            </w:r>
            <w:r>
              <w:t xml:space="preserve"> UWB’s binnen proces VT/VA 2014’, gelet op het feit</w:t>
            </w:r>
            <w:r w:rsidR="008167B9">
              <w:t xml:space="preserve"> dat deze weggelakt is?</w:t>
            </w:r>
          </w:p>
        </w:tc>
        <w:tc>
          <w:tcPr>
            <w:tcW w:w="850" w:type="dxa"/>
          </w:tcPr>
          <w:p w:rsidR="008167B9" w:rsidP="00A01C1C" w:rsidRDefault="008167B9" w14:paraId="28925F17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1256CB4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26C20990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5C44E5A9" w14:textId="77777777">
        <w:tc>
          <w:tcPr>
            <w:tcW w:w="567" w:type="dxa"/>
          </w:tcPr>
          <w:p w:rsidR="008167B9" w:rsidP="00A01C1C" w:rsidRDefault="008167B9" w14:paraId="76740D08" w14:textId="77777777">
            <w:r>
              <w:t>12</w:t>
            </w:r>
          </w:p>
        </w:tc>
        <w:tc>
          <w:tcPr>
            <w:tcW w:w="6521" w:type="dxa"/>
          </w:tcPr>
          <w:p w:rsidR="008167B9" w:rsidP="00A01C1C" w:rsidRDefault="008053F1" w14:paraId="5D24D554" w14:textId="1DDFD50A">
            <w:r>
              <w:t>Waarom is het kopje ‘Risico’s niet limitatief’</w:t>
            </w:r>
            <w:r w:rsidR="008167B9">
              <w:t xml:space="preserve"> in 2013/8 en 2013/9 weggelakt?</w:t>
            </w:r>
            <w:r w:rsidR="008167B9">
              <w:br/>
              <w:t>Welke informatie stond hier?</w:t>
            </w:r>
          </w:p>
        </w:tc>
        <w:tc>
          <w:tcPr>
            <w:tcW w:w="850" w:type="dxa"/>
          </w:tcPr>
          <w:p w:rsidR="008167B9" w:rsidP="00A01C1C" w:rsidRDefault="008167B9" w14:paraId="6918E73B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7B6BBBF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6F16E465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2BE3D3FE" w14:textId="77777777">
        <w:tc>
          <w:tcPr>
            <w:tcW w:w="567" w:type="dxa"/>
          </w:tcPr>
          <w:p w:rsidR="008167B9" w:rsidP="00A01C1C" w:rsidRDefault="008167B9" w14:paraId="5A2B5EAF" w14:textId="77777777">
            <w:r>
              <w:t>13</w:t>
            </w:r>
          </w:p>
        </w:tc>
        <w:tc>
          <w:tcPr>
            <w:tcW w:w="6521" w:type="dxa"/>
          </w:tcPr>
          <w:p w:rsidR="008167B9" w:rsidP="00A01C1C" w:rsidRDefault="008167B9" w14:paraId="4CDC34B1" w14:textId="6C532CB9">
            <w:r>
              <w:t xml:space="preserve">Sub 2013/20 staat bij </w:t>
            </w:r>
            <w:r w:rsidR="008053F1">
              <w:t>‘</w:t>
            </w:r>
            <w:r>
              <w:t>Risico’s niet limitatief</w:t>
            </w:r>
            <w:r w:rsidR="008053F1">
              <w:t>’</w:t>
            </w:r>
            <w:r>
              <w:t xml:space="preserve"> nationaliteiten met een opvallend patroon, hoge medicijnkosten bij op IC eindigende achternaam als voorbeeld.</w:t>
            </w:r>
            <w:r>
              <w:br/>
              <w:t>Wat zijn de andere opvallende patronen die naam</w:t>
            </w:r>
            <w:r w:rsidR="008053F1">
              <w:t>- of nationaliteit-</w:t>
            </w:r>
            <w:r>
              <w:t>gerelateerd zijn?</w:t>
            </w:r>
          </w:p>
        </w:tc>
        <w:tc>
          <w:tcPr>
            <w:tcW w:w="850" w:type="dxa"/>
          </w:tcPr>
          <w:p w:rsidR="008167B9" w:rsidP="00A01C1C" w:rsidRDefault="008167B9" w14:paraId="36DE5154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09E2D3F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5DEB6DE5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24C38DEE" w14:textId="77777777">
        <w:tc>
          <w:tcPr>
            <w:tcW w:w="567" w:type="dxa"/>
          </w:tcPr>
          <w:p w:rsidR="008167B9" w:rsidP="00A01C1C" w:rsidRDefault="008167B9" w14:paraId="5E487D08" w14:textId="77777777">
            <w:r>
              <w:t>14</w:t>
            </w:r>
          </w:p>
        </w:tc>
        <w:tc>
          <w:tcPr>
            <w:tcW w:w="6521" w:type="dxa"/>
          </w:tcPr>
          <w:p w:rsidR="008167B9" w:rsidP="008053F1" w:rsidRDefault="008167B9" w14:paraId="1DF179DE" w14:textId="39E52416">
            <w:r>
              <w:t>Sub 2013/18 is veel weggelakt. Welke informatie betreft dit?</w:t>
            </w:r>
            <w:r>
              <w:br/>
            </w:r>
            <w:r w:rsidR="008053F1">
              <w:t>Kan hier, g</w:t>
            </w:r>
            <w:r>
              <w:t xml:space="preserve">ezien de relevantie van de onderwerpen (risico’s, altijd fraude) </w:t>
            </w:r>
            <w:r w:rsidR="008053F1">
              <w:t>inzage in worden verschaft?</w:t>
            </w:r>
          </w:p>
        </w:tc>
        <w:tc>
          <w:tcPr>
            <w:tcW w:w="850" w:type="dxa"/>
          </w:tcPr>
          <w:p w:rsidR="008167B9" w:rsidP="00A01C1C" w:rsidRDefault="008167B9" w14:paraId="53DD0AF2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61F9C2D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45B3FB7C" w14:textId="77777777">
            <w:pPr>
              <w:jc w:val="right"/>
            </w:pPr>
            <w:r>
              <w:t xml:space="preserve"> </w:t>
            </w:r>
          </w:p>
        </w:tc>
      </w:tr>
      <w:tr w:rsidR="008167B9" w:rsidTr="00A01C1C" w14:paraId="35E10284" w14:textId="77777777">
        <w:tc>
          <w:tcPr>
            <w:tcW w:w="567" w:type="dxa"/>
          </w:tcPr>
          <w:p w:rsidR="008167B9" w:rsidP="00A01C1C" w:rsidRDefault="008167B9" w14:paraId="7D289AAE" w14:textId="77777777">
            <w:r>
              <w:t>15</w:t>
            </w:r>
          </w:p>
        </w:tc>
        <w:tc>
          <w:tcPr>
            <w:tcW w:w="6521" w:type="dxa"/>
          </w:tcPr>
          <w:p w:rsidR="008167B9" w:rsidP="008053F1" w:rsidRDefault="008167B9" w14:paraId="19C30065" w14:textId="09F60869">
            <w:r>
              <w:t>Op verschillende plaatsen zijn wijken (POCO’s) met een opvallend patroon van uitgaven enz. vermeld</w:t>
            </w:r>
            <w:r w:rsidR="008053F1">
              <w:t xml:space="preserve">. </w:t>
            </w:r>
            <w:r>
              <w:t>Welke wijken betrof dit?</w:t>
            </w:r>
            <w:r w:rsidR="008053F1">
              <w:t xml:space="preserve"> </w:t>
            </w:r>
            <w:r>
              <w:t>Welke andere criteria zijn aangelegd?</w:t>
            </w:r>
            <w:r w:rsidR="008053F1">
              <w:t xml:space="preserve"> </w:t>
            </w:r>
            <w:r>
              <w:t>Welke risicoprofielen waren ter zake van toepassing?</w:t>
            </w:r>
          </w:p>
        </w:tc>
        <w:tc>
          <w:tcPr>
            <w:tcW w:w="850" w:type="dxa"/>
          </w:tcPr>
          <w:p w:rsidR="008167B9" w:rsidP="00A01C1C" w:rsidRDefault="008167B9" w14:paraId="68F2EDD8" w14:textId="77777777">
            <w:pPr>
              <w:jc w:val="right"/>
            </w:pPr>
          </w:p>
        </w:tc>
        <w:tc>
          <w:tcPr>
            <w:tcW w:w="992" w:type="dxa"/>
          </w:tcPr>
          <w:p w:rsidR="008167B9" w:rsidP="00A01C1C" w:rsidRDefault="008167B9" w14:paraId="4A9B586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167B9" w:rsidP="00A01C1C" w:rsidRDefault="008167B9" w14:paraId="449C2916" w14:textId="77777777">
            <w:pPr>
              <w:jc w:val="right"/>
            </w:pPr>
            <w:r>
              <w:t xml:space="preserve"> </w:t>
            </w:r>
          </w:p>
        </w:tc>
      </w:tr>
    </w:tbl>
    <w:p w:rsidR="0052735F" w:rsidP="009F5536" w:rsidRDefault="0052735F" w14:paraId="5E97B555" w14:textId="77777777"/>
    <w:sectPr w:rsidR="0052735F" w:rsidSect="006A6640">
      <w:footerReference w:type="even" r:id="rId13"/>
      <w:footerReference w:type="default" r:id="rId14"/>
      <w:pgSz w:w="11906" w:h="16838"/>
      <w:pgMar w:top="1418" w:right="1418" w:bottom="1418" w:left="1418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512CA" w14:textId="77777777" w:rsidR="00D0617B" w:rsidRDefault="00D0617B">
      <w:r>
        <w:separator/>
      </w:r>
    </w:p>
  </w:endnote>
  <w:endnote w:type="continuationSeparator" w:id="0">
    <w:p w14:paraId="134EBBA8" w14:textId="77777777" w:rsidR="00D0617B" w:rsidRDefault="00D0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PHM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CJOE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F6B7" w14:textId="77777777" w:rsidR="000A62D1" w:rsidRDefault="000A62D1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A03750B" w14:textId="77777777" w:rsidR="000A62D1" w:rsidRDefault="000A62D1" w:rsidP="007F22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1A40" w14:textId="7B359AD0" w:rsidR="000A62D1" w:rsidRDefault="000A62D1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A664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71BD143" w14:textId="77777777" w:rsidR="000A62D1" w:rsidRDefault="000A62D1" w:rsidP="007F22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799CE" w14:textId="77777777" w:rsidR="00D0617B" w:rsidRDefault="00D0617B">
      <w:r>
        <w:separator/>
      </w:r>
    </w:p>
  </w:footnote>
  <w:footnote w:type="continuationSeparator" w:id="0">
    <w:p w14:paraId="5D1462F4" w14:textId="77777777" w:rsidR="00D0617B" w:rsidRDefault="00D0617B">
      <w:r>
        <w:continuationSeparator/>
      </w:r>
    </w:p>
  </w:footnote>
  <w:footnote w:id="1">
    <w:p w14:paraId="60DBABB5" w14:textId="5BF0D998" w:rsidR="008167B9" w:rsidRDefault="008167B9">
      <w:pPr>
        <w:pStyle w:val="Voetnoottekst"/>
      </w:pPr>
      <w:r>
        <w:rPr>
          <w:rStyle w:val="Voetnootmarkering"/>
        </w:rPr>
        <w:footnoteRef/>
      </w:r>
      <w:r>
        <w:t xml:space="preserve"> Kamerstuk 31</w:t>
      </w:r>
      <w:r w:rsidRPr="008167B9">
        <w:t>066</w:t>
      </w:r>
      <w:r>
        <w:t>, nr. 295</w:t>
      </w:r>
    </w:p>
  </w:footnote>
  <w:footnote w:id="2">
    <w:p w14:paraId="52EDFA87" w14:textId="0C3D4484" w:rsidR="00FA6EA0" w:rsidRDefault="00FA6EA0">
      <w:pPr>
        <w:pStyle w:val="Voetnoottekst"/>
      </w:pPr>
      <w:r>
        <w:rPr>
          <w:rStyle w:val="Voetnootmarkering"/>
        </w:rPr>
        <w:footnoteRef/>
      </w:r>
      <w:r>
        <w:t xml:space="preserve"> Kamerstuk 31066, nr. 1029, bijlage </w:t>
      </w:r>
      <w:r w:rsidRPr="00FA6EA0">
        <w:t>2022D19281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7723A"/>
    <w:multiLevelType w:val="hybridMultilevel"/>
    <w:tmpl w:val="D4EAD30E"/>
    <w:lvl w:ilvl="0" w:tplc="F1C2547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A1"/>
    <w:rsid w:val="0002288D"/>
    <w:rsid w:val="00037DD2"/>
    <w:rsid w:val="0008099A"/>
    <w:rsid w:val="000A62D1"/>
    <w:rsid w:val="00107826"/>
    <w:rsid w:val="00122207"/>
    <w:rsid w:val="001364FB"/>
    <w:rsid w:val="00137540"/>
    <w:rsid w:val="00157013"/>
    <w:rsid w:val="00177068"/>
    <w:rsid w:val="001B734E"/>
    <w:rsid w:val="001C301E"/>
    <w:rsid w:val="001D2E14"/>
    <w:rsid w:val="001F7FD2"/>
    <w:rsid w:val="00211E58"/>
    <w:rsid w:val="00212AB8"/>
    <w:rsid w:val="00213461"/>
    <w:rsid w:val="00242906"/>
    <w:rsid w:val="0026219F"/>
    <w:rsid w:val="00285C56"/>
    <w:rsid w:val="002C0B49"/>
    <w:rsid w:val="00367204"/>
    <w:rsid w:val="003A478F"/>
    <w:rsid w:val="003B5132"/>
    <w:rsid w:val="003B7B12"/>
    <w:rsid w:val="003D0E87"/>
    <w:rsid w:val="003F75A1"/>
    <w:rsid w:val="0041734C"/>
    <w:rsid w:val="004D50D1"/>
    <w:rsid w:val="004E18F3"/>
    <w:rsid w:val="00510F6F"/>
    <w:rsid w:val="0052735F"/>
    <w:rsid w:val="005276F5"/>
    <w:rsid w:val="005A6BB1"/>
    <w:rsid w:val="005D1366"/>
    <w:rsid w:val="00622BD0"/>
    <w:rsid w:val="0066472E"/>
    <w:rsid w:val="00684886"/>
    <w:rsid w:val="006914A2"/>
    <w:rsid w:val="006A6640"/>
    <w:rsid w:val="006E72F7"/>
    <w:rsid w:val="00721294"/>
    <w:rsid w:val="00735F41"/>
    <w:rsid w:val="0075208D"/>
    <w:rsid w:val="007C3403"/>
    <w:rsid w:val="007E7900"/>
    <w:rsid w:val="007F2292"/>
    <w:rsid w:val="008053F1"/>
    <w:rsid w:val="008167B9"/>
    <w:rsid w:val="0083437E"/>
    <w:rsid w:val="00874B8B"/>
    <w:rsid w:val="00882BC2"/>
    <w:rsid w:val="0089555B"/>
    <w:rsid w:val="008B5770"/>
    <w:rsid w:val="008B7AF4"/>
    <w:rsid w:val="008E2E5B"/>
    <w:rsid w:val="00905FB5"/>
    <w:rsid w:val="00926A32"/>
    <w:rsid w:val="009A39C1"/>
    <w:rsid w:val="009B6145"/>
    <w:rsid w:val="009C508A"/>
    <w:rsid w:val="009C660E"/>
    <w:rsid w:val="009D3567"/>
    <w:rsid w:val="009F5536"/>
    <w:rsid w:val="00A05B98"/>
    <w:rsid w:val="00A70A65"/>
    <w:rsid w:val="00A7222B"/>
    <w:rsid w:val="00A7268C"/>
    <w:rsid w:val="00AC2A45"/>
    <w:rsid w:val="00B06807"/>
    <w:rsid w:val="00B3125A"/>
    <w:rsid w:val="00BB3A65"/>
    <w:rsid w:val="00BB713F"/>
    <w:rsid w:val="00BE71B3"/>
    <w:rsid w:val="00C02EFE"/>
    <w:rsid w:val="00C15562"/>
    <w:rsid w:val="00C32CD8"/>
    <w:rsid w:val="00C75467"/>
    <w:rsid w:val="00CC61FF"/>
    <w:rsid w:val="00D038CE"/>
    <w:rsid w:val="00D0617B"/>
    <w:rsid w:val="00D20695"/>
    <w:rsid w:val="00D964CF"/>
    <w:rsid w:val="00DE1DBD"/>
    <w:rsid w:val="00E511FC"/>
    <w:rsid w:val="00EF0554"/>
    <w:rsid w:val="00F44FB8"/>
    <w:rsid w:val="00F62FBC"/>
    <w:rsid w:val="00FA6332"/>
    <w:rsid w:val="00FA6EA0"/>
    <w:rsid w:val="00FB5634"/>
    <w:rsid w:val="00FC3035"/>
    <w:rsid w:val="00FC536C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8DECB"/>
  <w15:chartTrackingRefBased/>
  <w15:docId w15:val="{EF647D1D-51CC-471A-A50B-5B2B0ED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2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7F229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F2292"/>
  </w:style>
  <w:style w:type="character" w:customStyle="1" w:styleId="Kop1Char">
    <w:name w:val="Kop 1 Char"/>
    <w:link w:val="Kop1"/>
    <w:rsid w:val="00C15562"/>
    <w:rPr>
      <w:b/>
      <w:sz w:val="22"/>
    </w:rPr>
  </w:style>
  <w:style w:type="paragraph" w:customStyle="1" w:styleId="Default">
    <w:name w:val="Default"/>
    <w:rsid w:val="00FC536C"/>
    <w:pPr>
      <w:autoSpaceDE w:val="0"/>
      <w:autoSpaceDN w:val="0"/>
      <w:adjustRightInd w:val="0"/>
    </w:pPr>
    <w:rPr>
      <w:rFonts w:ascii="CMPHM N+ Univers" w:hAnsi="CMPHM N+ Univers" w:cs="CMPHM N+ Univers"/>
      <w:color w:val="000000"/>
      <w:sz w:val="24"/>
      <w:szCs w:val="24"/>
    </w:rPr>
  </w:style>
  <w:style w:type="character" w:styleId="Hyperlink">
    <w:name w:val="Hyperlink"/>
    <w:uiPriority w:val="99"/>
    <w:unhideWhenUsed/>
    <w:rsid w:val="0052735F"/>
    <w:rPr>
      <w:color w:val="0000FF"/>
      <w:u w:val="single"/>
    </w:rPr>
  </w:style>
  <w:style w:type="paragraph" w:styleId="Voetnoottekst">
    <w:name w:val="footnote text"/>
    <w:basedOn w:val="Standaard"/>
    <w:link w:val="VoetnoottekstChar"/>
    <w:rsid w:val="008167B9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8167B9"/>
  </w:style>
  <w:style w:type="character" w:styleId="Voetnootmarkering">
    <w:name w:val="footnote reference"/>
    <w:basedOn w:val="Standaardalinea-lettertype"/>
    <w:rsid w:val="00816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552</ap:Words>
  <ap:Characters>3038</ap:Characters>
  <ap:DocSecurity>4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Tweede Kamer der Staten-Generaal</vt:lpstr>
    </vt:vector>
  </ap:TitlesOfParts>
  <ap:LinksUpToDate>false</ap:LinksUpToDate>
  <ap:CharactersWithSpaces>3583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1899-12-31T23:00:00.0000000Z</lastPrinted>
  <dcterms:created xsi:type="dcterms:W3CDTF">2022-07-05T15:02:00.0000000Z</dcterms:created>
  <dcterms:modified xsi:type="dcterms:W3CDTF">2022-07-05T15:02:00.0000000Z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4ZDN3PVYHFMW-1027967194-664</vt:lpwstr>
  </property>
  <property fmtid="{D5CDD505-2E9C-101B-9397-08002B2CF9AE}" pid="3" name="_dlc_DocIdItemGuid">
    <vt:lpwstr>85928c16-413b-4e39-b894-c33e491c8449</vt:lpwstr>
  </property>
  <property fmtid="{D5CDD505-2E9C-101B-9397-08002B2CF9AE}" pid="4" name="_dlc_DocIdUrl">
    <vt:lpwstr>https://teamsite/dienst/CommissieFinancien/_layouts/15/DocIdRedir.aspx?ID=4ZDN3PVYHFMW-1027967194-664, 4ZDN3PVYHFMW-1027967194-664</vt:lpwstr>
  </property>
  <property fmtid="{D5CDD505-2E9C-101B-9397-08002B2CF9AE}" pid="5" name="ContentTypeId">
    <vt:lpwstr>0x0101003EBEF98046509448AC7610C7D5538E30</vt:lpwstr>
  </property>
</Properties>
</file>