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E3A35" w:rsidRDefault="00FD3F45" w14:paraId="0696B9A8" w14:textId="03B70A66">
      <w:pPr>
        <w:rPr>
          <w:b/>
          <w:bCs/>
          <w:szCs w:val="18"/>
          <w:lang w:val="nl-NL"/>
        </w:rPr>
      </w:pPr>
      <w:r>
        <w:rPr>
          <w:b/>
          <w:bCs/>
          <w:lang w:val="nl-NL"/>
        </w:rPr>
        <w:t>Gespreksnotitie</w:t>
      </w:r>
      <w:r w:rsidR="003F1AD7">
        <w:rPr>
          <w:b/>
          <w:bCs/>
          <w:lang w:val="nl-NL"/>
        </w:rPr>
        <w:t xml:space="preserve"> t.b.v. r</w:t>
      </w:r>
      <w:r w:rsidRPr="00FD3F45">
        <w:rPr>
          <w:b/>
          <w:bCs/>
          <w:lang w:val="nl-NL"/>
        </w:rPr>
        <w:t xml:space="preserve">ondetafelgesprek over de consequenties van activering van het noodrecht middels de Wet verplaatsing </w:t>
      </w:r>
      <w:r w:rsidRPr="00F97CC8">
        <w:rPr>
          <w:b/>
          <w:bCs/>
          <w:lang w:val="nl-NL"/>
        </w:rPr>
        <w:t>bevolking</w:t>
      </w:r>
      <w:r w:rsidRPr="00F97CC8" w:rsidR="00F97CC8">
        <w:rPr>
          <w:b/>
          <w:bCs/>
          <w:lang w:val="nl-NL"/>
        </w:rPr>
        <w:t xml:space="preserve"> </w:t>
      </w:r>
      <w:r w:rsidRPr="00F97CC8" w:rsidR="00F97CC8">
        <w:rPr>
          <w:b/>
          <w:bCs/>
          <w:szCs w:val="18"/>
          <w:lang w:val="nl-NL"/>
        </w:rPr>
        <w:t>en de achtergrond van deze wet</w:t>
      </w:r>
    </w:p>
    <w:p w:rsidR="003F1AD7" w:rsidRDefault="003F1AD7" w14:paraId="20169684" w14:textId="1D9906EB">
      <w:pPr>
        <w:rPr>
          <w:b/>
          <w:bCs/>
          <w:szCs w:val="18"/>
          <w:lang w:val="nl-NL"/>
        </w:rPr>
      </w:pPr>
    </w:p>
    <w:p w:rsidRPr="003F1AD7" w:rsidR="003F1AD7" w:rsidRDefault="003F1AD7" w14:paraId="12AB2B5B" w14:textId="3568B542">
      <w:pPr>
        <w:rPr>
          <w:lang w:val="nl-NL"/>
        </w:rPr>
      </w:pPr>
      <w:r w:rsidRPr="003F1AD7">
        <w:rPr>
          <w:i/>
          <w:iCs/>
          <w:szCs w:val="18"/>
          <w:lang w:val="nl-NL"/>
        </w:rPr>
        <w:t>Lieneke Slingenberg</w:t>
      </w:r>
      <w:r>
        <w:rPr>
          <w:i/>
          <w:iCs/>
          <w:szCs w:val="18"/>
          <w:lang w:val="nl-NL"/>
        </w:rPr>
        <w:t>,</w:t>
      </w:r>
      <w:r>
        <w:rPr>
          <w:rStyle w:val="FootnoteReference"/>
          <w:i/>
          <w:iCs/>
          <w:szCs w:val="18"/>
          <w:lang w:val="nl-NL"/>
        </w:rPr>
        <w:footnoteReference w:id="1"/>
      </w:r>
      <w:r>
        <w:rPr>
          <w:i/>
          <w:iCs/>
          <w:szCs w:val="18"/>
          <w:lang w:val="nl-NL"/>
        </w:rPr>
        <w:t xml:space="preserve"> </w:t>
      </w:r>
      <w:r>
        <w:rPr>
          <w:szCs w:val="18"/>
          <w:lang w:val="nl-NL"/>
        </w:rPr>
        <w:t>20 juni 2022</w:t>
      </w:r>
    </w:p>
    <w:p w:rsidR="003372AE" w:rsidRDefault="003372AE" w14:paraId="4C2DF1A1" w14:textId="199B7DAA">
      <w:pPr>
        <w:rPr>
          <w:b/>
          <w:bCs/>
          <w:szCs w:val="18"/>
          <w:lang w:val="nl-NL"/>
        </w:rPr>
      </w:pPr>
    </w:p>
    <w:p w:rsidR="003372AE" w:rsidRDefault="003372AE" w14:paraId="4A4D2490" w14:textId="1FC9ADEE">
      <w:pPr>
        <w:rPr>
          <w:lang w:val="nl-NL"/>
        </w:rPr>
      </w:pPr>
      <w:r w:rsidRPr="003372AE">
        <w:rPr>
          <w:lang w:val="nl-NL"/>
        </w:rPr>
        <w:t>Geachte leden van de vaste commissie voor Justitie en Veiligheid,</w:t>
      </w:r>
      <w:r w:rsidRPr="003372AE">
        <w:rPr>
          <w:lang w:val="nl-NL"/>
        </w:rPr>
        <w:cr/>
      </w:r>
    </w:p>
    <w:p w:rsidR="00430B96" w:rsidRDefault="00986F2C" w14:paraId="703815EB" w14:textId="1102DFE1">
      <w:pPr>
        <w:rPr>
          <w:lang w:val="nl-NL"/>
        </w:rPr>
      </w:pPr>
      <w:r>
        <w:rPr>
          <w:lang w:val="nl-NL"/>
        </w:rPr>
        <w:t xml:space="preserve">In deze notitie bespreek ik </w:t>
      </w:r>
      <w:r w:rsidR="00430B96">
        <w:rPr>
          <w:lang w:val="nl-NL"/>
        </w:rPr>
        <w:t xml:space="preserve">allereerst </w:t>
      </w:r>
      <w:r>
        <w:rPr>
          <w:lang w:val="nl-NL"/>
        </w:rPr>
        <w:t>de achtergrond van en noodzaak voor de activering van het noodrecht</w:t>
      </w:r>
      <w:r w:rsidR="00430B96">
        <w:rPr>
          <w:lang w:val="nl-NL"/>
        </w:rPr>
        <w:t xml:space="preserve"> middels de Wet verplaatsing bevolking (</w:t>
      </w:r>
      <w:proofErr w:type="spellStart"/>
      <w:r w:rsidR="00430B96">
        <w:rPr>
          <w:lang w:val="nl-NL"/>
        </w:rPr>
        <w:t>Wvb</w:t>
      </w:r>
      <w:proofErr w:type="spellEnd"/>
      <w:r w:rsidR="00430B96">
        <w:rPr>
          <w:lang w:val="nl-NL"/>
        </w:rPr>
        <w:t>). Vervolgens licht ik twee keuzes uit die bij deze activering zijn gemaakt</w:t>
      </w:r>
      <w:r w:rsidR="002124B3">
        <w:rPr>
          <w:lang w:val="nl-NL"/>
        </w:rPr>
        <w:t xml:space="preserve"> en die resulteren in een verschil in behandeling tussen asielzoekers uit Oekraïne en asielzoeker</w:t>
      </w:r>
      <w:r w:rsidR="003D62D3">
        <w:rPr>
          <w:lang w:val="nl-NL"/>
        </w:rPr>
        <w:t>s</w:t>
      </w:r>
      <w:r w:rsidR="002124B3">
        <w:rPr>
          <w:lang w:val="nl-NL"/>
        </w:rPr>
        <w:t xml:space="preserve"> uit andere landen</w:t>
      </w:r>
      <w:r w:rsidR="00430B96">
        <w:rPr>
          <w:lang w:val="nl-NL"/>
        </w:rPr>
        <w:t>:</w:t>
      </w:r>
    </w:p>
    <w:p w:rsidR="00430B96" w:rsidP="00430B96" w:rsidRDefault="00430B96" w14:paraId="78CB5873" w14:textId="207ED7B7">
      <w:pPr>
        <w:pStyle w:val="ListParagraph"/>
        <w:numPr>
          <w:ilvl w:val="0"/>
          <w:numId w:val="9"/>
        </w:numPr>
        <w:rPr>
          <w:lang w:val="nl-NL"/>
        </w:rPr>
      </w:pPr>
      <w:r>
        <w:rPr>
          <w:lang w:val="nl-NL"/>
        </w:rPr>
        <w:t>De keuze om burgemeesters alleen een taak te geven met betrekking tot de opvang van asielzoekers uit Oekraïne en niet van asielzoekers uit andere landen.</w:t>
      </w:r>
    </w:p>
    <w:p w:rsidRPr="00430B96" w:rsidR="00986F2C" w:rsidP="00430B96" w:rsidRDefault="002124B3" w14:paraId="7F3F05DD" w14:textId="68E60EDF">
      <w:pPr>
        <w:pStyle w:val="ListParagraph"/>
        <w:numPr>
          <w:ilvl w:val="0"/>
          <w:numId w:val="9"/>
        </w:numPr>
        <w:rPr>
          <w:lang w:val="nl-NL"/>
        </w:rPr>
      </w:pPr>
      <w:r>
        <w:rPr>
          <w:lang w:val="nl-NL"/>
        </w:rPr>
        <w:t xml:space="preserve">De bepaling van het leefgeld in de Regeling opvang ontheemden Oekraïne. </w:t>
      </w:r>
    </w:p>
    <w:p w:rsidRPr="003372AE" w:rsidR="00986F2C" w:rsidRDefault="00986F2C" w14:paraId="7BBD1488" w14:textId="77777777">
      <w:pPr>
        <w:rPr>
          <w:lang w:val="nl-NL"/>
        </w:rPr>
      </w:pPr>
    </w:p>
    <w:p w:rsidR="00B16DED" w:rsidP="007B1475" w:rsidRDefault="00FE0F81" w14:paraId="3B6A9E0B" w14:textId="77777777">
      <w:pPr>
        <w:rPr>
          <w:b/>
          <w:bCs/>
          <w:lang w:val="nl-NL"/>
        </w:rPr>
      </w:pPr>
      <w:r>
        <w:rPr>
          <w:b/>
          <w:bCs/>
          <w:lang w:val="nl-NL"/>
        </w:rPr>
        <w:t>Achtergrond</w:t>
      </w:r>
      <w:r w:rsidR="00B16DED">
        <w:rPr>
          <w:b/>
          <w:bCs/>
          <w:lang w:val="nl-NL"/>
        </w:rPr>
        <w:t xml:space="preserve"> en noodzaak activering noodrecht</w:t>
      </w:r>
    </w:p>
    <w:p w:rsidR="00B16DED" w:rsidP="007B1475" w:rsidRDefault="00B16DED" w14:paraId="54B2BF68" w14:textId="6865D730">
      <w:pPr>
        <w:rPr>
          <w:b/>
          <w:bCs/>
          <w:lang w:val="nl-NL"/>
        </w:rPr>
      </w:pPr>
    </w:p>
    <w:p w:rsidRPr="00B16DED" w:rsidR="00B16DED" w:rsidP="007B1475" w:rsidRDefault="00B16DED" w14:paraId="25FD478C" w14:textId="012AA1F0">
      <w:pPr>
        <w:rPr>
          <w:lang w:val="nl-NL"/>
        </w:rPr>
      </w:pPr>
      <w:r>
        <w:rPr>
          <w:lang w:val="nl-NL"/>
        </w:rPr>
        <w:t xml:space="preserve">Om de noodzaak voor de huidige activering van het noodrecht te bespreken is het nodig eerst kort stil te staan bij de Tijdelijke beschermingsrichtlijn en de implementatie daarvan in Nederland. </w:t>
      </w:r>
    </w:p>
    <w:p w:rsidR="00B16DED" w:rsidP="007B1475" w:rsidRDefault="00B16DED" w14:paraId="42F2AD13" w14:textId="77777777">
      <w:pPr>
        <w:rPr>
          <w:b/>
          <w:bCs/>
          <w:lang w:val="nl-NL"/>
        </w:rPr>
      </w:pPr>
    </w:p>
    <w:p w:rsidRPr="00B16DED" w:rsidR="001669D1" w:rsidP="007B1475" w:rsidRDefault="00A906D9" w14:paraId="65D20D7B" w14:textId="72E223E4">
      <w:pPr>
        <w:rPr>
          <w:i/>
          <w:iCs/>
          <w:lang w:val="nl-NL"/>
        </w:rPr>
      </w:pPr>
      <w:r w:rsidRPr="00B16DED">
        <w:rPr>
          <w:i/>
          <w:iCs/>
          <w:lang w:val="nl-NL"/>
        </w:rPr>
        <w:t>Tijdelijke Bescherming</w:t>
      </w:r>
      <w:r w:rsidRPr="00B16DED" w:rsidR="00E9727D">
        <w:rPr>
          <w:i/>
          <w:iCs/>
          <w:lang w:val="nl-NL"/>
        </w:rPr>
        <w:t>srichtlijn</w:t>
      </w:r>
      <w:r w:rsidRPr="00B16DED">
        <w:rPr>
          <w:i/>
          <w:iCs/>
          <w:lang w:val="nl-NL"/>
        </w:rPr>
        <w:t xml:space="preserve"> </w:t>
      </w:r>
      <w:r w:rsidRPr="00B16DED" w:rsidR="00FD2EED">
        <w:rPr>
          <w:i/>
          <w:iCs/>
          <w:lang w:val="nl-NL"/>
        </w:rPr>
        <w:t>en implementatie in Nederland</w:t>
      </w:r>
      <w:r w:rsidRPr="00B16DED">
        <w:rPr>
          <w:i/>
          <w:iCs/>
          <w:lang w:val="nl-NL"/>
        </w:rPr>
        <w:t xml:space="preserve"> </w:t>
      </w:r>
    </w:p>
    <w:p w:rsidR="001669D1" w:rsidP="007B1475" w:rsidRDefault="008A5628" w14:paraId="4A20AA2B" w14:textId="7135C61B">
      <w:pPr>
        <w:rPr>
          <w:lang w:val="nl-NL"/>
        </w:rPr>
      </w:pPr>
      <w:r w:rsidRPr="008A5628">
        <w:rPr>
          <w:lang w:val="nl-NL"/>
        </w:rPr>
        <w:t>De</w:t>
      </w:r>
      <w:r w:rsidR="00E9727D">
        <w:rPr>
          <w:lang w:val="nl-NL"/>
        </w:rPr>
        <w:t xml:space="preserve"> Europese</w:t>
      </w:r>
      <w:r w:rsidRPr="008A5628">
        <w:rPr>
          <w:lang w:val="nl-NL"/>
        </w:rPr>
        <w:t xml:space="preserve"> </w:t>
      </w:r>
      <w:r w:rsidR="00610431">
        <w:rPr>
          <w:lang w:val="nl-NL"/>
        </w:rPr>
        <w:t>Tijdelijke beschermings</w:t>
      </w:r>
      <w:r w:rsidRPr="008A5628">
        <w:rPr>
          <w:lang w:val="nl-NL"/>
        </w:rPr>
        <w:t>richtlijn</w:t>
      </w:r>
      <w:r w:rsidR="00610431">
        <w:rPr>
          <w:lang w:val="nl-NL"/>
        </w:rPr>
        <w:t xml:space="preserve"> is aangenomen in 2001 en</w:t>
      </w:r>
      <w:r w:rsidRPr="008A5628">
        <w:rPr>
          <w:lang w:val="nl-NL"/>
        </w:rPr>
        <w:t xml:space="preserve"> stelt minimumnormen vast voor het verlenen van tijdelijke bescherming in geval van een ‘massale toestroom van ontheemden uit derde landen’.</w:t>
      </w:r>
      <w:r w:rsidRPr="00610431" w:rsidR="00610431">
        <w:rPr>
          <w:rStyle w:val="FootnoteReference"/>
          <w:lang w:val="nl-NL"/>
        </w:rPr>
        <w:t xml:space="preserve"> </w:t>
      </w:r>
      <w:r w:rsidR="00610431">
        <w:rPr>
          <w:rStyle w:val="FootnoteReference"/>
          <w:lang w:val="nl-NL"/>
        </w:rPr>
        <w:footnoteReference w:id="2"/>
      </w:r>
      <w:r w:rsidR="00610431">
        <w:rPr>
          <w:lang w:val="nl-NL"/>
        </w:rPr>
        <w:t xml:space="preserve"> </w:t>
      </w:r>
      <w:r w:rsidR="001669D1">
        <w:rPr>
          <w:lang w:val="nl-NL"/>
        </w:rPr>
        <w:t>Naar aanleiding van de oorlog in Oekraïne is de</w:t>
      </w:r>
      <w:r w:rsidR="00B864C1">
        <w:rPr>
          <w:lang w:val="nl-NL"/>
        </w:rPr>
        <w:t>ze</w:t>
      </w:r>
      <w:r w:rsidR="001669D1">
        <w:rPr>
          <w:lang w:val="nl-NL"/>
        </w:rPr>
        <w:t xml:space="preserve"> richtlijn op 4 maart jl. voor het eerst in haar bestaan door de Raad geactiveerd.</w:t>
      </w:r>
      <w:r w:rsidR="00B864C1">
        <w:rPr>
          <w:rStyle w:val="FootnoteReference"/>
          <w:lang w:val="nl-NL"/>
        </w:rPr>
        <w:footnoteReference w:id="3"/>
      </w:r>
      <w:r w:rsidR="001669D1">
        <w:rPr>
          <w:lang w:val="nl-NL"/>
        </w:rPr>
        <w:t xml:space="preserve"> </w:t>
      </w:r>
      <w:r w:rsidR="00B864C1">
        <w:rPr>
          <w:lang w:val="nl-NL"/>
        </w:rPr>
        <w:t xml:space="preserve">Op grond van </w:t>
      </w:r>
      <w:r w:rsidRPr="00B864C1" w:rsidR="00B864C1">
        <w:rPr>
          <w:lang w:val="nl-NL"/>
        </w:rPr>
        <w:t>de</w:t>
      </w:r>
      <w:r w:rsidR="00B864C1">
        <w:rPr>
          <w:lang w:val="nl-NL"/>
        </w:rPr>
        <w:t>ze</w:t>
      </w:r>
      <w:r w:rsidRPr="00B864C1" w:rsidR="00B864C1">
        <w:rPr>
          <w:lang w:val="nl-NL"/>
        </w:rPr>
        <w:t xml:space="preserve"> richtlijn moeten </w:t>
      </w:r>
      <w:r>
        <w:rPr>
          <w:lang w:val="nl-NL"/>
        </w:rPr>
        <w:t>lid</w:t>
      </w:r>
      <w:r w:rsidRPr="00B864C1" w:rsidR="00B864C1">
        <w:rPr>
          <w:lang w:val="nl-NL"/>
        </w:rPr>
        <w:t xml:space="preserve">staten </w:t>
      </w:r>
      <w:r>
        <w:rPr>
          <w:lang w:val="nl-NL"/>
        </w:rPr>
        <w:t xml:space="preserve">aan </w:t>
      </w:r>
      <w:r w:rsidR="00E9727D">
        <w:rPr>
          <w:lang w:val="nl-NL"/>
        </w:rPr>
        <w:t>tijdelijk beschermden</w:t>
      </w:r>
      <w:r w:rsidRPr="00B864C1">
        <w:rPr>
          <w:lang w:val="nl-NL"/>
        </w:rPr>
        <w:t xml:space="preserve"> </w:t>
      </w:r>
      <w:r w:rsidRPr="00B864C1" w:rsidR="00B864C1">
        <w:rPr>
          <w:lang w:val="nl-NL"/>
        </w:rPr>
        <w:t xml:space="preserve">onder andere toegang tot de arbeidsmarkt, een ‘fatsoenlijk onderkomen’ en </w:t>
      </w:r>
      <w:proofErr w:type="spellStart"/>
      <w:r w:rsidRPr="00B864C1" w:rsidR="00B864C1">
        <w:rPr>
          <w:lang w:val="nl-NL"/>
        </w:rPr>
        <w:t>‘de</w:t>
      </w:r>
      <w:proofErr w:type="spellEnd"/>
      <w:r w:rsidRPr="00B864C1" w:rsidR="00B864C1">
        <w:rPr>
          <w:lang w:val="nl-NL"/>
        </w:rPr>
        <w:t xml:space="preserve"> nodige hulp inzake sociale </w:t>
      </w:r>
      <w:proofErr w:type="spellStart"/>
      <w:r w:rsidRPr="00B864C1" w:rsidR="00B864C1">
        <w:rPr>
          <w:lang w:val="nl-NL"/>
        </w:rPr>
        <w:t>bĳstand</w:t>
      </w:r>
      <w:proofErr w:type="spellEnd"/>
      <w:r w:rsidRPr="00B864C1" w:rsidR="00B864C1">
        <w:rPr>
          <w:lang w:val="nl-NL"/>
        </w:rPr>
        <w:t xml:space="preserve"> en levensonderhoud’ bieden.</w:t>
      </w:r>
      <w:r w:rsidR="00B94D1D">
        <w:rPr>
          <w:lang w:val="nl-NL"/>
        </w:rPr>
        <w:t xml:space="preserve"> De tijdelijke bescherming duurt </w:t>
      </w:r>
      <w:r>
        <w:rPr>
          <w:lang w:val="nl-NL"/>
        </w:rPr>
        <w:t>maximaal drie jaar</w:t>
      </w:r>
      <w:r w:rsidR="00B94D1D">
        <w:rPr>
          <w:lang w:val="nl-NL"/>
        </w:rPr>
        <w:t xml:space="preserve">. </w:t>
      </w:r>
    </w:p>
    <w:p w:rsidR="00090F7B" w:rsidP="007B1475" w:rsidRDefault="00090F7B" w14:paraId="4543EB27" w14:textId="77777777">
      <w:pPr>
        <w:rPr>
          <w:lang w:val="nl-NL"/>
        </w:rPr>
      </w:pPr>
    </w:p>
    <w:p w:rsidR="00316D96" w:rsidP="007B1475" w:rsidRDefault="003470F3" w14:paraId="30D7FCBC" w14:textId="52789090">
      <w:pPr>
        <w:rPr>
          <w:lang w:val="nl-NL"/>
        </w:rPr>
      </w:pPr>
      <w:r>
        <w:rPr>
          <w:lang w:val="nl-NL"/>
        </w:rPr>
        <w:t xml:space="preserve">Deze richtlijn is eind 2004 in Nederland geïmplementeerd. </w:t>
      </w:r>
      <w:r w:rsidRPr="00316D96" w:rsidR="00316D96">
        <w:rPr>
          <w:lang w:val="nl-NL"/>
        </w:rPr>
        <w:t>Anders dan andere landen heeft Nederland</w:t>
      </w:r>
      <w:r w:rsidR="00316D96">
        <w:rPr>
          <w:lang w:val="nl-NL"/>
        </w:rPr>
        <w:t xml:space="preserve"> er destijds voor gekozen om </w:t>
      </w:r>
      <w:r w:rsidRPr="00316D96" w:rsidR="00316D96">
        <w:rPr>
          <w:lang w:val="nl-NL"/>
        </w:rPr>
        <w:t xml:space="preserve">geen aparte verblijfsstatus </w:t>
      </w:r>
      <w:r w:rsidR="00CA669C">
        <w:rPr>
          <w:lang w:val="nl-NL"/>
        </w:rPr>
        <w:t>te creëren</w:t>
      </w:r>
      <w:r w:rsidRPr="00316D96" w:rsidR="00316D96">
        <w:rPr>
          <w:lang w:val="nl-NL"/>
        </w:rPr>
        <w:t xml:space="preserve"> voor </w:t>
      </w:r>
      <w:r w:rsidR="00E9727D">
        <w:rPr>
          <w:lang w:val="nl-NL"/>
        </w:rPr>
        <w:t>personen</w:t>
      </w:r>
      <w:r w:rsidRPr="00316D96" w:rsidR="00316D96">
        <w:rPr>
          <w:lang w:val="nl-NL"/>
        </w:rPr>
        <w:t xml:space="preserve"> met tijdelijke bescherming</w:t>
      </w:r>
      <w:r w:rsidR="00316D96">
        <w:rPr>
          <w:lang w:val="nl-NL"/>
        </w:rPr>
        <w:t>. In plaats daarvan moeten personen die in aanmerking komen voor tijdelijke bescherming een asielaanvraag indienen en worden zij behandeld als asielzoeker.</w:t>
      </w:r>
      <w:r w:rsidR="008A5628">
        <w:rPr>
          <w:rStyle w:val="FootnoteReference"/>
          <w:lang w:val="nl-NL"/>
        </w:rPr>
        <w:footnoteReference w:id="4"/>
      </w:r>
      <w:r w:rsidR="00316D96">
        <w:rPr>
          <w:lang w:val="nl-NL"/>
        </w:rPr>
        <w:t xml:space="preserve"> Over deze keuze is destijds uitgebreid met de Kamer gediscussieerd.</w:t>
      </w:r>
      <w:r w:rsidR="002C6CEC">
        <w:rPr>
          <w:lang w:val="nl-NL"/>
        </w:rPr>
        <w:t xml:space="preserve"> De consequenties is dat </w:t>
      </w:r>
      <w:r w:rsidR="00B94D1D">
        <w:rPr>
          <w:lang w:val="nl-NL"/>
        </w:rPr>
        <w:t xml:space="preserve">personen met tijdelijke bescherming worden opgevangen in centrale opvang door het Centraal orgaan Opvang Asielzoekers (COA). </w:t>
      </w:r>
      <w:r w:rsidR="006007E2">
        <w:rPr>
          <w:lang w:val="nl-NL"/>
        </w:rPr>
        <w:t>De minister schreef daarover dat zij het ‘</w:t>
      </w:r>
      <w:r w:rsidRPr="006007E2" w:rsidR="006007E2">
        <w:rPr>
          <w:lang w:val="nl-NL"/>
        </w:rPr>
        <w:t>onder de buitengewone omstandigheden die tot het instellen van tijdelijke bescherming leiden wel aanvaardbaar</w:t>
      </w:r>
      <w:r w:rsidR="006007E2">
        <w:rPr>
          <w:lang w:val="nl-NL"/>
        </w:rPr>
        <w:t xml:space="preserve"> [acht]</w:t>
      </w:r>
      <w:r w:rsidRPr="006007E2" w:rsidR="006007E2">
        <w:rPr>
          <w:lang w:val="nl-NL"/>
        </w:rPr>
        <w:t xml:space="preserve"> dat een deel van de ontheemden gedurende langere tijd als asielzoeker in Nederland wordt opgevangen</w:t>
      </w:r>
      <w:r w:rsidR="006007E2">
        <w:rPr>
          <w:lang w:val="nl-NL"/>
        </w:rPr>
        <w:t>’.</w:t>
      </w:r>
      <w:r w:rsidR="006007E2">
        <w:rPr>
          <w:rStyle w:val="FootnoteReference"/>
          <w:lang w:val="nl-NL"/>
        </w:rPr>
        <w:footnoteReference w:id="5"/>
      </w:r>
      <w:r w:rsidR="006007E2">
        <w:rPr>
          <w:lang w:val="nl-NL"/>
        </w:rPr>
        <w:t xml:space="preserve"> </w:t>
      </w:r>
      <w:r w:rsidR="008A5628">
        <w:rPr>
          <w:lang w:val="nl-NL"/>
        </w:rPr>
        <w:t xml:space="preserve">Het was dus </w:t>
      </w:r>
      <w:r w:rsidR="00A906D9">
        <w:rPr>
          <w:lang w:val="nl-NL"/>
        </w:rPr>
        <w:t>uitdrukkelijk</w:t>
      </w:r>
      <w:r w:rsidR="008A5628">
        <w:rPr>
          <w:lang w:val="nl-NL"/>
        </w:rPr>
        <w:t xml:space="preserve"> de </w:t>
      </w:r>
      <w:r w:rsidR="008A5628">
        <w:rPr>
          <w:lang w:val="nl-NL"/>
        </w:rPr>
        <w:lastRenderedPageBreak/>
        <w:t>bedoeling dat in geval van de ‘buitengewone omstandigheden’</w:t>
      </w:r>
      <w:r w:rsidR="00A906D9">
        <w:rPr>
          <w:lang w:val="nl-NL"/>
        </w:rPr>
        <w:t xml:space="preserve"> van een ‘massale toestroom van ontheemden’ het COA </w:t>
      </w:r>
      <w:r w:rsidR="00FB2A9A">
        <w:rPr>
          <w:lang w:val="nl-NL"/>
        </w:rPr>
        <w:t xml:space="preserve">verantwoordelijk </w:t>
      </w:r>
      <w:r w:rsidR="00A906D9">
        <w:rPr>
          <w:lang w:val="nl-NL"/>
        </w:rPr>
        <w:t>zou</w:t>
      </w:r>
      <w:r w:rsidR="00FB2A9A">
        <w:rPr>
          <w:lang w:val="nl-NL"/>
        </w:rPr>
        <w:t xml:space="preserve"> zijn voor</w:t>
      </w:r>
      <w:r w:rsidR="00A906D9">
        <w:rPr>
          <w:lang w:val="nl-NL"/>
        </w:rPr>
        <w:t xml:space="preserve"> de opvang van deze mensen. </w:t>
      </w:r>
    </w:p>
    <w:p w:rsidR="00A906D9" w:rsidP="007B1475" w:rsidRDefault="00A906D9" w14:paraId="73C71F29" w14:textId="6C69BA40">
      <w:pPr>
        <w:rPr>
          <w:lang w:val="nl-NL"/>
        </w:rPr>
      </w:pPr>
    </w:p>
    <w:p w:rsidRPr="00992B6C" w:rsidR="00A906D9" w:rsidP="007B1475" w:rsidRDefault="00FF47D0" w14:paraId="2F1B178C" w14:textId="0BA3C1B2">
      <w:pPr>
        <w:rPr>
          <w:i/>
          <w:iCs/>
          <w:lang w:val="nl-NL"/>
        </w:rPr>
      </w:pPr>
      <w:r w:rsidRPr="00992B6C">
        <w:rPr>
          <w:i/>
          <w:iCs/>
          <w:lang w:val="nl-NL"/>
        </w:rPr>
        <w:t xml:space="preserve">Activering staatsnoodrecht </w:t>
      </w:r>
    </w:p>
    <w:p w:rsidR="00FF47D0" w:rsidP="00FF47D0" w:rsidRDefault="00FF47D0" w14:paraId="5C5C579F" w14:textId="59A114E3">
      <w:pPr>
        <w:rPr>
          <w:lang w:val="nl-NL"/>
        </w:rPr>
      </w:pPr>
      <w:r w:rsidRPr="00FF47D0">
        <w:rPr>
          <w:lang w:val="nl-NL"/>
        </w:rPr>
        <w:t>Bij koninklijk besluit van 31 maart 2022 zijn de</w:t>
      </w:r>
      <w:r>
        <w:rPr>
          <w:lang w:val="nl-NL"/>
        </w:rPr>
        <w:t xml:space="preserve"> </w:t>
      </w:r>
      <w:r w:rsidRPr="00FF47D0">
        <w:rPr>
          <w:lang w:val="nl-NL"/>
        </w:rPr>
        <w:t xml:space="preserve">artikelen 2c en 4 </w:t>
      </w:r>
      <w:proofErr w:type="spellStart"/>
      <w:r w:rsidRPr="00FF47D0">
        <w:rPr>
          <w:lang w:val="nl-NL"/>
        </w:rPr>
        <w:t>Wvb</w:t>
      </w:r>
      <w:proofErr w:type="spellEnd"/>
      <w:r w:rsidRPr="00FF47D0">
        <w:rPr>
          <w:lang w:val="nl-NL"/>
        </w:rPr>
        <w:t xml:space="preserve"> in werking gesteld</w:t>
      </w:r>
      <w:r>
        <w:rPr>
          <w:lang w:val="nl-NL"/>
        </w:rPr>
        <w:t xml:space="preserve">. </w:t>
      </w:r>
      <w:r w:rsidRPr="00C3650C">
        <w:rPr>
          <w:lang w:val="nl-NL"/>
        </w:rPr>
        <w:t>Op grond van artikel 2c is de wet ook van toepassing op ‘volksverplaatsingen op grote schaal, welke niet het gevolg zijn van een last tot verplaatsing’.</w:t>
      </w:r>
      <w:r>
        <w:rPr>
          <w:lang w:val="nl-NL"/>
        </w:rPr>
        <w:t xml:space="preserve"> De parlementaire geschiedenis van deze bepaling laat zien dat hierbij kan worden gedacht aan ‘</w:t>
      </w:r>
      <w:r w:rsidRPr="0037170A">
        <w:rPr>
          <w:lang w:val="nl-NL"/>
        </w:rPr>
        <w:t>het overschrijden van onze grenzen van grote groepen van vluchtelingen</w:t>
      </w:r>
      <w:r>
        <w:rPr>
          <w:lang w:val="nl-NL"/>
        </w:rPr>
        <w:t>’.</w:t>
      </w:r>
      <w:r w:rsidR="00992B6C">
        <w:rPr>
          <w:rStyle w:val="FootnoteReference"/>
          <w:lang w:val="nl-NL"/>
        </w:rPr>
        <w:footnoteReference w:id="6"/>
      </w:r>
      <w:r>
        <w:rPr>
          <w:lang w:val="nl-NL"/>
        </w:rPr>
        <w:t xml:space="preserve"> Op grond van artikel 4 kan </w:t>
      </w:r>
      <w:r w:rsidRPr="0037170A">
        <w:rPr>
          <w:lang w:val="nl-NL"/>
        </w:rPr>
        <w:t>de burgemeester worden opgedragen te zorgen voor de uitvoering van de ‘huisvesting en verzorging van bevolking en de daarmede samenhangende registratie’ (art. 1).</w:t>
      </w:r>
      <w:r w:rsidR="002D04BA">
        <w:rPr>
          <w:rStyle w:val="FootnoteReference"/>
          <w:lang w:val="nl-NL"/>
        </w:rPr>
        <w:footnoteReference w:id="7"/>
      </w:r>
      <w:r w:rsidR="00647C49">
        <w:rPr>
          <w:lang w:val="nl-NL"/>
        </w:rPr>
        <w:t xml:space="preserve"> Deze wet kan dus dienen als wettelijke grondslag voor het belasten van burgemeesters met de taak te voorzien in de opvang van asielzoekers.</w:t>
      </w:r>
      <w:r w:rsidR="00647C49">
        <w:rPr>
          <w:rStyle w:val="FootnoteReference"/>
          <w:lang w:val="nl-NL"/>
        </w:rPr>
        <w:footnoteReference w:id="8"/>
      </w:r>
      <w:r w:rsidR="00647C49">
        <w:rPr>
          <w:lang w:val="nl-NL"/>
        </w:rPr>
        <w:t xml:space="preserve"> </w:t>
      </w:r>
    </w:p>
    <w:p w:rsidR="00647C49" w:rsidP="003E537B" w:rsidRDefault="00647C49" w14:paraId="14C16A12" w14:textId="77777777">
      <w:pPr>
        <w:rPr>
          <w:lang w:val="nl-NL"/>
        </w:rPr>
      </w:pPr>
    </w:p>
    <w:p w:rsidR="00BE5B91" w:rsidP="003E537B" w:rsidRDefault="00647C49" w14:paraId="18EE62EF" w14:textId="11E6B713">
      <w:pPr>
        <w:rPr>
          <w:lang w:val="nl-NL"/>
        </w:rPr>
      </w:pPr>
      <w:r>
        <w:rPr>
          <w:lang w:val="nl-NL"/>
        </w:rPr>
        <w:t>V</w:t>
      </w:r>
      <w:r w:rsidR="00E23746">
        <w:rPr>
          <w:lang w:val="nl-NL"/>
        </w:rPr>
        <w:t xml:space="preserve">oor activering van deze artikelen </w:t>
      </w:r>
      <w:r>
        <w:rPr>
          <w:lang w:val="nl-NL"/>
        </w:rPr>
        <w:t xml:space="preserve">is echter </w:t>
      </w:r>
      <w:r w:rsidR="00E23746">
        <w:rPr>
          <w:lang w:val="nl-NL"/>
        </w:rPr>
        <w:t>vereist dat ‘</w:t>
      </w:r>
      <w:r w:rsidRPr="00E23746" w:rsidR="00E23746">
        <w:rPr>
          <w:lang w:val="nl-NL"/>
        </w:rPr>
        <w:t>buitengewone omstandigheden dit noodzakelijk maken</w:t>
      </w:r>
      <w:r w:rsidR="00E23746">
        <w:rPr>
          <w:lang w:val="nl-NL"/>
        </w:rPr>
        <w:t xml:space="preserve">’ (art. 2, lid 1 </w:t>
      </w:r>
      <w:proofErr w:type="spellStart"/>
      <w:r w:rsidR="00E23746">
        <w:rPr>
          <w:lang w:val="nl-NL"/>
        </w:rPr>
        <w:t>Wvb</w:t>
      </w:r>
      <w:proofErr w:type="spellEnd"/>
      <w:r w:rsidR="00E23746">
        <w:rPr>
          <w:lang w:val="nl-NL"/>
        </w:rPr>
        <w:t xml:space="preserve">). De </w:t>
      </w:r>
      <w:r w:rsidR="00F50A6B">
        <w:rPr>
          <w:lang w:val="nl-NL"/>
        </w:rPr>
        <w:t>minister</w:t>
      </w:r>
      <w:r w:rsidR="00E23746">
        <w:rPr>
          <w:lang w:val="nl-NL"/>
        </w:rPr>
        <w:t xml:space="preserve"> wijst daarvoor op </w:t>
      </w:r>
      <w:r w:rsidR="00992B6C">
        <w:rPr>
          <w:lang w:val="nl-NL"/>
        </w:rPr>
        <w:t>het</w:t>
      </w:r>
      <w:r w:rsidR="00E23746">
        <w:rPr>
          <w:lang w:val="nl-NL"/>
        </w:rPr>
        <w:t xml:space="preserve"> </w:t>
      </w:r>
      <w:r w:rsidR="003E537B">
        <w:rPr>
          <w:lang w:val="nl-NL"/>
        </w:rPr>
        <w:t>uitzonderlijke aantal</w:t>
      </w:r>
      <w:r w:rsidR="00992B6C">
        <w:rPr>
          <w:lang w:val="nl-NL"/>
        </w:rPr>
        <w:t xml:space="preserve"> </w:t>
      </w:r>
      <w:r>
        <w:rPr>
          <w:lang w:val="nl-NL"/>
        </w:rPr>
        <w:t>vluchtelingen uit Oekraïne</w:t>
      </w:r>
      <w:r w:rsidR="003E537B">
        <w:rPr>
          <w:lang w:val="nl-NL"/>
        </w:rPr>
        <w:t xml:space="preserve">, waardoor </w:t>
      </w:r>
      <w:r w:rsidRPr="003E537B" w:rsidR="003E537B">
        <w:rPr>
          <w:lang w:val="nl-NL"/>
        </w:rPr>
        <w:t>niet middels de bestaande</w:t>
      </w:r>
      <w:r w:rsidR="003E537B">
        <w:rPr>
          <w:lang w:val="nl-NL"/>
        </w:rPr>
        <w:t xml:space="preserve"> </w:t>
      </w:r>
      <w:r w:rsidRPr="003E537B" w:rsidR="003E537B">
        <w:rPr>
          <w:lang w:val="nl-NL"/>
        </w:rPr>
        <w:t>structuren in de benodigde opvang</w:t>
      </w:r>
      <w:r w:rsidR="003E537B">
        <w:rPr>
          <w:lang w:val="nl-NL"/>
        </w:rPr>
        <w:t xml:space="preserve"> kan worden voorzien</w:t>
      </w:r>
      <w:r>
        <w:rPr>
          <w:lang w:val="nl-NL"/>
        </w:rPr>
        <w:t>.</w:t>
      </w:r>
      <w:r>
        <w:rPr>
          <w:rStyle w:val="FootnoteReference"/>
          <w:lang w:val="nl-NL"/>
        </w:rPr>
        <w:footnoteReference w:id="9"/>
      </w:r>
      <w:r w:rsidR="003E537B">
        <w:rPr>
          <w:lang w:val="nl-NL"/>
        </w:rPr>
        <w:t xml:space="preserve"> </w:t>
      </w:r>
      <w:r w:rsidRPr="00501D19" w:rsidR="00501D19">
        <w:rPr>
          <w:lang w:val="nl-NL"/>
        </w:rPr>
        <w:t xml:space="preserve">De noodzaak om de burgemeesters te belasten met de opvang van </w:t>
      </w:r>
      <w:r w:rsidR="00992B6C">
        <w:rPr>
          <w:lang w:val="nl-NL"/>
        </w:rPr>
        <w:t>asielzoekers</w:t>
      </w:r>
      <w:r w:rsidRPr="00501D19" w:rsidR="00501D19">
        <w:rPr>
          <w:lang w:val="nl-NL"/>
        </w:rPr>
        <w:t xml:space="preserve"> uit Oekraïne was</w:t>
      </w:r>
      <w:r w:rsidR="00501D19">
        <w:rPr>
          <w:lang w:val="nl-NL"/>
        </w:rPr>
        <w:t xml:space="preserve"> volgens de minister</w:t>
      </w:r>
      <w:r w:rsidRPr="00501D19" w:rsidR="00501D19">
        <w:rPr>
          <w:lang w:val="nl-NL"/>
        </w:rPr>
        <w:t xml:space="preserve"> eveneens noodzakelijk geweest als het COA niet met een landelijk tekort aan opvangplekken zou kampen</w:t>
      </w:r>
      <w:r w:rsidR="00501D19">
        <w:rPr>
          <w:lang w:val="nl-NL"/>
        </w:rPr>
        <w:t>, omdat</w:t>
      </w:r>
      <w:r w:rsidR="003E537B">
        <w:rPr>
          <w:lang w:val="nl-NL"/>
        </w:rPr>
        <w:t xml:space="preserve"> </w:t>
      </w:r>
      <w:r w:rsidRPr="00501D19" w:rsidR="00501D19">
        <w:rPr>
          <w:lang w:val="nl-NL"/>
        </w:rPr>
        <w:t xml:space="preserve">het aantal </w:t>
      </w:r>
      <w:r w:rsidR="00992B6C">
        <w:rPr>
          <w:lang w:val="nl-NL"/>
        </w:rPr>
        <w:t>asielzoekers</w:t>
      </w:r>
      <w:r w:rsidRPr="00501D19" w:rsidR="00501D19">
        <w:rPr>
          <w:lang w:val="nl-NL"/>
        </w:rPr>
        <w:t xml:space="preserve"> uit Oekraïne het aantal beschikbare opvangplekken bij het COA ruimschoots</w:t>
      </w:r>
      <w:r w:rsidR="00501D19">
        <w:rPr>
          <w:lang w:val="nl-NL"/>
        </w:rPr>
        <w:t xml:space="preserve"> overstijgt</w:t>
      </w:r>
      <w:r w:rsidR="00BE5B91">
        <w:rPr>
          <w:lang w:val="nl-NL"/>
        </w:rPr>
        <w:t>.</w:t>
      </w:r>
      <w:r w:rsidR="00BE5B91">
        <w:rPr>
          <w:rStyle w:val="FootnoteReference"/>
          <w:lang w:val="nl-NL"/>
        </w:rPr>
        <w:footnoteReference w:id="10"/>
      </w:r>
    </w:p>
    <w:p w:rsidR="00BE5B91" w:rsidP="003E537B" w:rsidRDefault="00BE5B91" w14:paraId="611FA743" w14:textId="77777777">
      <w:pPr>
        <w:rPr>
          <w:lang w:val="nl-NL"/>
        </w:rPr>
      </w:pPr>
    </w:p>
    <w:p w:rsidR="00F50A6B" w:rsidP="003E537B" w:rsidRDefault="00634D7B" w14:paraId="69A58D7C" w14:textId="0D7579C4">
      <w:pPr>
        <w:rPr>
          <w:lang w:val="nl-NL"/>
        </w:rPr>
      </w:pPr>
      <w:r>
        <w:rPr>
          <w:lang w:val="nl-NL"/>
        </w:rPr>
        <w:t xml:space="preserve">Gelet op de implementatie van de Tijdelijke beschermingsrichtlijn is deze motivering voor activering van staatsnoodrecht niet overtuigend. </w:t>
      </w:r>
      <w:r w:rsidR="00F50A6B">
        <w:rPr>
          <w:lang w:val="nl-NL"/>
        </w:rPr>
        <w:t>Sinds</w:t>
      </w:r>
      <w:r w:rsidR="00801600">
        <w:rPr>
          <w:lang w:val="nl-NL"/>
        </w:rPr>
        <w:t xml:space="preserve"> 2004</w:t>
      </w:r>
      <w:r w:rsidR="00F50A6B">
        <w:rPr>
          <w:lang w:val="nl-NL"/>
        </w:rPr>
        <w:t xml:space="preserve"> is het immers wettelijk geregeld dat als </w:t>
      </w:r>
      <w:r w:rsidR="00801600">
        <w:rPr>
          <w:lang w:val="nl-NL"/>
        </w:rPr>
        <w:t xml:space="preserve">de tijdelijke beschermingsrichtlijn </w:t>
      </w:r>
      <w:r w:rsidR="00F50A6B">
        <w:rPr>
          <w:lang w:val="nl-NL"/>
        </w:rPr>
        <w:t>wordt</w:t>
      </w:r>
      <w:r w:rsidR="00801600">
        <w:rPr>
          <w:lang w:val="nl-NL"/>
        </w:rPr>
        <w:t xml:space="preserve"> geactiveerd op grond van een </w:t>
      </w:r>
      <w:r>
        <w:rPr>
          <w:lang w:val="nl-NL"/>
        </w:rPr>
        <w:t>‘massale toestroom van ontheemden’</w:t>
      </w:r>
      <w:r w:rsidR="00801600">
        <w:rPr>
          <w:lang w:val="nl-NL"/>
        </w:rPr>
        <w:t xml:space="preserve">, het COA verantwoordelijk </w:t>
      </w:r>
      <w:r w:rsidR="00F50A6B">
        <w:rPr>
          <w:lang w:val="nl-NL"/>
        </w:rPr>
        <w:t>is</w:t>
      </w:r>
      <w:r w:rsidR="00801600">
        <w:rPr>
          <w:lang w:val="nl-NL"/>
        </w:rPr>
        <w:t>,</w:t>
      </w:r>
      <w:r>
        <w:rPr>
          <w:lang w:val="nl-NL"/>
        </w:rPr>
        <w:t xml:space="preserve"> in die ‘buitengewone omstandigheden’</w:t>
      </w:r>
      <w:r w:rsidR="00801600">
        <w:rPr>
          <w:lang w:val="nl-NL"/>
        </w:rPr>
        <w:t xml:space="preserve">, </w:t>
      </w:r>
      <w:r>
        <w:rPr>
          <w:lang w:val="nl-NL"/>
        </w:rPr>
        <w:t>voor het vinden van voldoende (extra) opvangplaatsen.</w:t>
      </w:r>
      <w:r w:rsidR="00BD3ED2">
        <w:rPr>
          <w:lang w:val="nl-NL"/>
        </w:rPr>
        <w:t xml:space="preserve"> Het hoge aantal asielzoekers uit Oekraïne kan </w:t>
      </w:r>
      <w:r w:rsidRPr="00BD3ED2" w:rsidR="00BD3ED2">
        <w:rPr>
          <w:lang w:val="nl-NL"/>
        </w:rPr>
        <w:t>op zichzelf</w:t>
      </w:r>
      <w:r w:rsidR="00BD3ED2">
        <w:rPr>
          <w:lang w:val="nl-NL"/>
        </w:rPr>
        <w:t xml:space="preserve"> daarom geen dringende reden vormen voor activering van het staatsnoodrecht.</w:t>
      </w:r>
      <w:r w:rsidR="0051398D">
        <w:rPr>
          <w:lang w:val="nl-NL"/>
        </w:rPr>
        <w:t xml:space="preserve"> </w:t>
      </w:r>
    </w:p>
    <w:p w:rsidR="00F50A6B" w:rsidP="003E537B" w:rsidRDefault="00F50A6B" w14:paraId="041E664C" w14:textId="77777777">
      <w:pPr>
        <w:rPr>
          <w:lang w:val="nl-NL"/>
        </w:rPr>
      </w:pPr>
    </w:p>
    <w:p w:rsidR="00F1040C" w:rsidP="003E537B" w:rsidRDefault="0051398D" w14:paraId="0C2CDA63" w14:textId="485DFF82">
      <w:pPr>
        <w:rPr>
          <w:lang w:val="nl-NL"/>
        </w:rPr>
      </w:pPr>
      <w:r>
        <w:rPr>
          <w:lang w:val="nl-NL"/>
        </w:rPr>
        <w:t>De buitengewone omstandigheden die activering van het staatsnoodrecht</w:t>
      </w:r>
      <w:r w:rsidR="00801600">
        <w:rPr>
          <w:lang w:val="nl-NL"/>
        </w:rPr>
        <w:t xml:space="preserve"> nu</w:t>
      </w:r>
      <w:r>
        <w:rPr>
          <w:lang w:val="nl-NL"/>
        </w:rPr>
        <w:t xml:space="preserve"> noodzakelijk kunnen maken </w:t>
      </w:r>
      <w:r w:rsidR="00BD3ED2">
        <w:rPr>
          <w:lang w:val="nl-NL"/>
        </w:rPr>
        <w:t>kunnen</w:t>
      </w:r>
      <w:r>
        <w:rPr>
          <w:lang w:val="nl-NL"/>
        </w:rPr>
        <w:t xml:space="preserve"> m.i. </w:t>
      </w:r>
      <w:r w:rsidR="00BD3ED2">
        <w:rPr>
          <w:lang w:val="nl-NL"/>
        </w:rPr>
        <w:t>wel</w:t>
      </w:r>
      <w:r>
        <w:rPr>
          <w:lang w:val="nl-NL"/>
        </w:rPr>
        <w:t xml:space="preserve"> gelegen</w:t>
      </w:r>
      <w:r w:rsidR="00BD3ED2">
        <w:rPr>
          <w:lang w:val="nl-NL"/>
        </w:rPr>
        <w:t xml:space="preserve"> zijn</w:t>
      </w:r>
      <w:r>
        <w:rPr>
          <w:lang w:val="nl-NL"/>
        </w:rPr>
        <w:t xml:space="preserve"> in de </w:t>
      </w:r>
      <w:r>
        <w:rPr>
          <w:i/>
          <w:iCs/>
          <w:lang w:val="nl-NL"/>
        </w:rPr>
        <w:t xml:space="preserve">combinatie </w:t>
      </w:r>
      <w:r>
        <w:rPr>
          <w:lang w:val="nl-NL"/>
        </w:rPr>
        <w:t xml:space="preserve">van de </w:t>
      </w:r>
      <w:r w:rsidRPr="0051398D">
        <w:rPr>
          <w:i/>
          <w:iCs/>
          <w:lang w:val="nl-NL"/>
        </w:rPr>
        <w:t>plotselinge en onvoorziene</w:t>
      </w:r>
      <w:r>
        <w:rPr>
          <w:lang w:val="nl-NL"/>
        </w:rPr>
        <w:t xml:space="preserve"> aankomst van een </w:t>
      </w:r>
      <w:r w:rsidRPr="0051398D">
        <w:rPr>
          <w:i/>
          <w:iCs/>
          <w:lang w:val="nl-NL"/>
        </w:rPr>
        <w:t>hoog aantal</w:t>
      </w:r>
      <w:r>
        <w:rPr>
          <w:lang w:val="nl-NL"/>
        </w:rPr>
        <w:t xml:space="preserve"> vluchtelingen uit Oekraïne met de al langer bestaande </w:t>
      </w:r>
      <w:r w:rsidRPr="0051398D">
        <w:rPr>
          <w:i/>
          <w:iCs/>
          <w:lang w:val="nl-NL"/>
        </w:rPr>
        <w:t>structurele problemen</w:t>
      </w:r>
      <w:r>
        <w:rPr>
          <w:lang w:val="nl-NL"/>
        </w:rPr>
        <w:t xml:space="preserve"> bij het COA. Hoewel </w:t>
      </w:r>
      <w:r w:rsidR="00BD3ED2">
        <w:rPr>
          <w:lang w:val="nl-NL"/>
        </w:rPr>
        <w:t xml:space="preserve">ook </w:t>
      </w:r>
      <w:r>
        <w:rPr>
          <w:lang w:val="nl-NL"/>
        </w:rPr>
        <w:t xml:space="preserve">deze structurele problemen bij het COA </w:t>
      </w:r>
      <w:r w:rsidR="00BD3ED2">
        <w:rPr>
          <w:lang w:val="nl-NL"/>
        </w:rPr>
        <w:t xml:space="preserve">op zichzelf </w:t>
      </w:r>
      <w:r>
        <w:rPr>
          <w:lang w:val="nl-NL"/>
        </w:rPr>
        <w:t>de inzet van staatsnoodrecht niet kunnen legitimeren</w:t>
      </w:r>
      <w:r w:rsidR="00C970C4">
        <w:rPr>
          <w:lang w:val="nl-NL"/>
        </w:rPr>
        <w:t xml:space="preserve">, </w:t>
      </w:r>
      <w:r>
        <w:rPr>
          <w:lang w:val="nl-NL"/>
        </w:rPr>
        <w:t xml:space="preserve">kan dat m.i. wel het geval zijn </w:t>
      </w:r>
      <w:r w:rsidR="00AD74B6">
        <w:rPr>
          <w:lang w:val="nl-NL"/>
        </w:rPr>
        <w:t xml:space="preserve">als die problemen worden bezien in combinatie met de </w:t>
      </w:r>
      <w:r w:rsidR="00C970C4">
        <w:rPr>
          <w:lang w:val="nl-NL"/>
        </w:rPr>
        <w:t xml:space="preserve">onvoorziene </w:t>
      </w:r>
      <w:r w:rsidR="00AD74B6">
        <w:rPr>
          <w:lang w:val="nl-NL"/>
        </w:rPr>
        <w:t xml:space="preserve">aankomst van een groot aantal vluchtelingen uit Oekraïne. </w:t>
      </w:r>
      <w:r w:rsidR="0060265C">
        <w:rPr>
          <w:lang w:val="nl-NL"/>
        </w:rPr>
        <w:t xml:space="preserve">Aan de ene kant omdat deze structurele problemen ervoor zorgen dat de </w:t>
      </w:r>
      <w:r w:rsidR="00C970C4">
        <w:rPr>
          <w:lang w:val="nl-NL"/>
        </w:rPr>
        <w:t>in 2004</w:t>
      </w:r>
      <w:r w:rsidR="0060265C">
        <w:rPr>
          <w:lang w:val="nl-NL"/>
        </w:rPr>
        <w:t xml:space="preserve"> afgesproken oplossing voor de opvang van grote groepen personen met tijdelijke bescherming op dit moment niet beschikbaar is. Aan de andere kant omdat, n</w:t>
      </w:r>
      <w:r w:rsidR="00AD74B6">
        <w:rPr>
          <w:lang w:val="nl-NL"/>
        </w:rPr>
        <w:t xml:space="preserve">u </w:t>
      </w:r>
      <w:r w:rsidR="0060265C">
        <w:rPr>
          <w:lang w:val="nl-NL"/>
        </w:rPr>
        <w:t xml:space="preserve">gemeenten </w:t>
      </w:r>
      <w:r w:rsidR="00AD74B6">
        <w:rPr>
          <w:lang w:val="nl-NL"/>
        </w:rPr>
        <w:t xml:space="preserve"> zijn belast met de opvang van Oekraïners, het voor het COA nog lastiger</w:t>
      </w:r>
      <w:r w:rsidR="00C970C4">
        <w:rPr>
          <w:lang w:val="nl-NL"/>
        </w:rPr>
        <w:t xml:space="preserve"> is</w:t>
      </w:r>
      <w:r w:rsidR="00AD74B6">
        <w:rPr>
          <w:lang w:val="nl-NL"/>
        </w:rPr>
        <w:t xml:space="preserve"> geworden om </w:t>
      </w:r>
      <w:r w:rsidR="00C970C4">
        <w:rPr>
          <w:lang w:val="nl-NL"/>
        </w:rPr>
        <w:t xml:space="preserve">nieuwe opvangcentra te kunnen openen </w:t>
      </w:r>
      <w:r w:rsidR="00C970C4">
        <w:rPr>
          <w:lang w:val="nl-NL"/>
        </w:rPr>
        <w:lastRenderedPageBreak/>
        <w:t>en voor gemeenten om te voldoen aan hun verplichting om statushouders te huisvesten</w:t>
      </w:r>
      <w:r w:rsidR="00AD74B6">
        <w:rPr>
          <w:lang w:val="nl-NL"/>
        </w:rPr>
        <w:t xml:space="preserve">, waardoor de komst van een groot aantal </w:t>
      </w:r>
      <w:r w:rsidR="00C970C4">
        <w:rPr>
          <w:lang w:val="nl-NL"/>
        </w:rPr>
        <w:t>asielzoekers</w:t>
      </w:r>
      <w:r w:rsidR="00AD74B6">
        <w:rPr>
          <w:lang w:val="nl-NL"/>
        </w:rPr>
        <w:t xml:space="preserve"> uit </w:t>
      </w:r>
      <w:r w:rsidR="00F1040C">
        <w:rPr>
          <w:lang w:val="nl-NL"/>
        </w:rPr>
        <w:t>Oekraïne</w:t>
      </w:r>
      <w:r w:rsidR="00AD74B6">
        <w:rPr>
          <w:lang w:val="nl-NL"/>
        </w:rPr>
        <w:t xml:space="preserve"> ook de reguliere opvang van asielzoekers nog verder onder druk zet.  </w:t>
      </w:r>
    </w:p>
    <w:p w:rsidR="00F1040C" w:rsidP="003E537B" w:rsidRDefault="00F1040C" w14:paraId="5BEB77BD" w14:textId="592001F4">
      <w:pPr>
        <w:rPr>
          <w:lang w:val="nl-NL"/>
        </w:rPr>
      </w:pPr>
    </w:p>
    <w:p w:rsidRPr="00506FC9" w:rsidR="00506FC9" w:rsidP="003E537B" w:rsidRDefault="00506FC9" w14:paraId="3BF7E4C7" w14:textId="2722BEEC">
      <w:pPr>
        <w:rPr>
          <w:b/>
          <w:bCs/>
          <w:lang w:val="nl-NL"/>
        </w:rPr>
      </w:pPr>
      <w:r w:rsidRPr="00506FC9">
        <w:rPr>
          <w:b/>
          <w:bCs/>
          <w:lang w:val="nl-NL"/>
        </w:rPr>
        <w:t xml:space="preserve">Burgemeesters alleen verantwoordelijk voor opvang van asielzoekers uit Oekraïne </w:t>
      </w:r>
    </w:p>
    <w:p w:rsidR="00506FC9" w:rsidP="003E537B" w:rsidRDefault="00506FC9" w14:paraId="02F6B6B4" w14:textId="7B0323F2">
      <w:pPr>
        <w:rPr>
          <w:lang w:val="nl-NL"/>
        </w:rPr>
      </w:pPr>
    </w:p>
    <w:p w:rsidR="00E859EB" w:rsidP="003E537B" w:rsidRDefault="00547A41" w14:paraId="442DD604" w14:textId="2DA4BCDD">
      <w:pPr>
        <w:rPr>
          <w:lang w:val="nl-NL"/>
        </w:rPr>
      </w:pPr>
      <w:r>
        <w:rPr>
          <w:lang w:val="nl-NL"/>
        </w:rPr>
        <w:t xml:space="preserve">Volgens de minister kan het staatsnoodrecht slechts worden ingezet voor de opvang van asielzoekers uit Oekraïne, en niet voor de opvang van asielzoekers uit andere landen. Het staatsnoodrecht kan </w:t>
      </w:r>
      <w:r w:rsidR="00692BEB">
        <w:rPr>
          <w:lang w:val="nl-NL"/>
        </w:rPr>
        <w:t>immers</w:t>
      </w:r>
      <w:r>
        <w:rPr>
          <w:lang w:val="nl-NL"/>
        </w:rPr>
        <w:t xml:space="preserve"> ‘</w:t>
      </w:r>
      <w:r w:rsidRPr="00547A41">
        <w:rPr>
          <w:lang w:val="nl-NL"/>
        </w:rPr>
        <w:t>slechts worden ingezet als sprake is van buitengewone omstandigheden en inzet van het staatsnoodrecht noodzakelijk is om die buitengewone omstandigheden het hoofd te bieden. Van buitengewone omstandigheden is, in staatsnoodrechtelijke zin, geen sprake als het gaat om problemen van structurele aard, zoals de knelpunten in de reguliere opvang van vreemdelingen.</w:t>
      </w:r>
      <w:r>
        <w:rPr>
          <w:lang w:val="nl-NL"/>
        </w:rPr>
        <w:t>’</w:t>
      </w:r>
      <w:r w:rsidR="00692BEB">
        <w:rPr>
          <w:rStyle w:val="FootnoteReference"/>
          <w:lang w:val="nl-NL"/>
        </w:rPr>
        <w:footnoteReference w:id="11"/>
      </w:r>
    </w:p>
    <w:p w:rsidR="00E859EB" w:rsidP="003E537B" w:rsidRDefault="00E859EB" w14:paraId="2789D89E" w14:textId="77777777">
      <w:pPr>
        <w:rPr>
          <w:lang w:val="nl-NL"/>
        </w:rPr>
      </w:pPr>
    </w:p>
    <w:p w:rsidR="00506FC9" w:rsidP="003E537B" w:rsidRDefault="00506FC9" w14:paraId="4286EE4E" w14:textId="0715DCBE">
      <w:pPr>
        <w:rPr>
          <w:lang w:val="nl-NL"/>
        </w:rPr>
      </w:pPr>
      <w:r>
        <w:rPr>
          <w:lang w:val="nl-NL"/>
        </w:rPr>
        <w:t xml:space="preserve">Nu, zoals hierboven uiteengezet, de noodzaak voor het activeren van het noodrecht niet overtuigend gebaseerd kan worden op </w:t>
      </w:r>
      <w:r w:rsidR="00547A41">
        <w:rPr>
          <w:lang w:val="nl-NL"/>
        </w:rPr>
        <w:t>slechts het</w:t>
      </w:r>
      <w:r>
        <w:rPr>
          <w:lang w:val="nl-NL"/>
        </w:rPr>
        <w:t xml:space="preserve"> hoge aantal asielzoekers uit Oekraïne</w:t>
      </w:r>
      <w:r w:rsidR="001B249D">
        <w:rPr>
          <w:lang w:val="nl-NL"/>
        </w:rPr>
        <w:t xml:space="preserve">, </w:t>
      </w:r>
      <w:r w:rsidR="00547A41">
        <w:rPr>
          <w:lang w:val="nl-NL"/>
        </w:rPr>
        <w:t>maar juist gelegen is in de combinatie van dit hoge aantal met de structurele problemen bij het COA, gaat deze reden</w:t>
      </w:r>
      <w:r w:rsidR="00692BEB">
        <w:rPr>
          <w:lang w:val="nl-NL"/>
        </w:rPr>
        <w:t>ering niet op.</w:t>
      </w:r>
      <w:r w:rsidR="00AA3B85">
        <w:rPr>
          <w:lang w:val="nl-NL"/>
        </w:rPr>
        <w:t xml:space="preserve"> </w:t>
      </w:r>
      <w:r w:rsidR="00692BEB">
        <w:rPr>
          <w:lang w:val="nl-NL"/>
        </w:rPr>
        <w:t xml:space="preserve"> </w:t>
      </w:r>
      <w:r w:rsidRPr="00AA3B85" w:rsidR="00AA3B85">
        <w:rPr>
          <w:lang w:val="nl-NL"/>
        </w:rPr>
        <w:t>Aangezien de noodzaak voor het activeren van het staatsnoodrecht gelegen is in de combinatie van twee factoren, kan en moet het noodrecht ook een oplossing bieden voor beide factoren</w:t>
      </w:r>
      <w:r w:rsidR="00AA3B85">
        <w:rPr>
          <w:lang w:val="nl-NL"/>
        </w:rPr>
        <w:t xml:space="preserve">. </w:t>
      </w:r>
      <w:r w:rsidR="001B249D">
        <w:rPr>
          <w:lang w:val="nl-NL"/>
        </w:rPr>
        <w:t xml:space="preserve">Dit klemt temeer nu </w:t>
      </w:r>
      <w:r w:rsidRPr="00FE0F81" w:rsidR="001B249D">
        <w:rPr>
          <w:lang w:val="nl-NL"/>
        </w:rPr>
        <w:t>duizenden beschikbare bedden voor asielzoekers uit Oekraïne niet worden gebruikt,</w:t>
      </w:r>
      <w:r w:rsidR="001B249D">
        <w:rPr>
          <w:rStyle w:val="FootnoteReference"/>
          <w:lang w:val="nl-NL"/>
        </w:rPr>
        <w:footnoteReference w:id="12"/>
      </w:r>
      <w:r w:rsidRPr="00FE0F81" w:rsidR="001B249D">
        <w:rPr>
          <w:lang w:val="nl-NL"/>
        </w:rPr>
        <w:t xml:space="preserve"> terwijl er tegelijkertijd asielzoekers uit andere landen de nacht op een stoel of in een tent van het Rode Kruis door moeten brengen.</w:t>
      </w:r>
      <w:r w:rsidR="001B249D">
        <w:rPr>
          <w:lang w:val="nl-NL"/>
        </w:rPr>
        <w:t xml:space="preserve"> </w:t>
      </w:r>
    </w:p>
    <w:p w:rsidR="00506FC9" w:rsidP="003E537B" w:rsidRDefault="00506FC9" w14:paraId="1B699866" w14:textId="77777777">
      <w:pPr>
        <w:rPr>
          <w:lang w:val="nl-NL"/>
        </w:rPr>
      </w:pPr>
    </w:p>
    <w:p w:rsidR="00A33B3C" w:rsidP="0004345C" w:rsidRDefault="00A33B3C" w14:paraId="3DDB2DB4" w14:textId="72EF38E7">
      <w:pPr>
        <w:rPr>
          <w:rFonts w:cstheme="minorHAnsi"/>
          <w:b/>
          <w:bCs/>
          <w:lang w:val="nl-NL"/>
        </w:rPr>
      </w:pPr>
      <w:r w:rsidRPr="00FF47D0">
        <w:rPr>
          <w:rFonts w:cstheme="minorHAnsi"/>
          <w:b/>
          <w:bCs/>
          <w:lang w:val="nl-NL"/>
        </w:rPr>
        <w:t xml:space="preserve">Verschil in </w:t>
      </w:r>
      <w:r w:rsidR="00AA3B85">
        <w:rPr>
          <w:rFonts w:cstheme="minorHAnsi"/>
          <w:b/>
          <w:bCs/>
          <w:lang w:val="nl-NL"/>
        </w:rPr>
        <w:t>leefgeld</w:t>
      </w:r>
    </w:p>
    <w:p w:rsidRPr="00FF47D0" w:rsidR="00FF47D0" w:rsidP="0004345C" w:rsidRDefault="00FF47D0" w14:paraId="62C8C3C0" w14:textId="77777777">
      <w:pPr>
        <w:rPr>
          <w:rFonts w:cstheme="minorHAnsi"/>
          <w:b/>
          <w:bCs/>
          <w:lang w:val="nl-NL"/>
        </w:rPr>
      </w:pPr>
    </w:p>
    <w:p w:rsidR="00AA3B85" w:rsidP="00A33B3C" w:rsidRDefault="00A33B3C" w14:paraId="2E47BD15" w14:textId="5030F2C4">
      <w:pPr>
        <w:pStyle w:val="broodtekst"/>
        <w:spacing w:line="240" w:lineRule="auto"/>
        <w:rPr>
          <w:rFonts w:asciiTheme="minorHAnsi" w:hAnsiTheme="minorHAnsi" w:cstheme="minorHAnsi"/>
          <w:sz w:val="22"/>
          <w:szCs w:val="22"/>
        </w:rPr>
      </w:pPr>
      <w:r w:rsidRPr="00A33B3C">
        <w:rPr>
          <w:rFonts w:asciiTheme="minorHAnsi" w:hAnsiTheme="minorHAnsi" w:cstheme="minorHAnsi"/>
          <w:sz w:val="22"/>
          <w:szCs w:val="22"/>
        </w:rPr>
        <w:t>Per 1 april jl. is de Regeling opvang ontheemden Oekraïne in werking getreden</w:t>
      </w:r>
      <w:r>
        <w:rPr>
          <w:rFonts w:asciiTheme="minorHAnsi" w:hAnsiTheme="minorHAnsi" w:cstheme="minorHAnsi"/>
          <w:sz w:val="22"/>
          <w:szCs w:val="22"/>
        </w:rPr>
        <w:t>.</w:t>
      </w:r>
      <w:r w:rsidR="00A8413A">
        <w:rPr>
          <w:rStyle w:val="FootnoteReference"/>
          <w:rFonts w:asciiTheme="minorHAnsi" w:hAnsiTheme="minorHAnsi" w:cstheme="minorHAnsi"/>
          <w:sz w:val="22"/>
          <w:szCs w:val="22"/>
        </w:rPr>
        <w:footnoteReference w:id="13"/>
      </w:r>
      <w:r>
        <w:rPr>
          <w:rFonts w:asciiTheme="minorHAnsi" w:hAnsiTheme="minorHAnsi" w:cstheme="minorHAnsi"/>
          <w:sz w:val="22"/>
          <w:szCs w:val="22"/>
        </w:rPr>
        <w:t xml:space="preserve"> </w:t>
      </w:r>
      <w:r w:rsidRPr="00A33B3C">
        <w:rPr>
          <w:rFonts w:asciiTheme="minorHAnsi" w:hAnsiTheme="minorHAnsi" w:cstheme="minorHAnsi"/>
          <w:sz w:val="22"/>
          <w:szCs w:val="22"/>
        </w:rPr>
        <w:t>Volgens de minister</w:t>
      </w:r>
      <w:r w:rsidR="00A8413A">
        <w:rPr>
          <w:rFonts w:asciiTheme="minorHAnsi" w:hAnsiTheme="minorHAnsi" w:cstheme="minorHAnsi"/>
          <w:sz w:val="22"/>
          <w:szCs w:val="22"/>
        </w:rPr>
        <w:t xml:space="preserve"> is met </w:t>
      </w:r>
      <w:r w:rsidRPr="00A33B3C">
        <w:rPr>
          <w:rFonts w:asciiTheme="minorHAnsi" w:hAnsiTheme="minorHAnsi" w:cstheme="minorHAnsi"/>
          <w:sz w:val="22"/>
          <w:szCs w:val="22"/>
        </w:rPr>
        <w:t>de</w:t>
      </w:r>
      <w:r w:rsidR="00A8413A">
        <w:rPr>
          <w:rFonts w:asciiTheme="minorHAnsi" w:hAnsiTheme="minorHAnsi" w:cstheme="minorHAnsi"/>
          <w:sz w:val="22"/>
          <w:szCs w:val="22"/>
        </w:rPr>
        <w:t>ze</w:t>
      </w:r>
      <w:r w:rsidRPr="00A33B3C">
        <w:rPr>
          <w:rFonts w:asciiTheme="minorHAnsi" w:hAnsiTheme="minorHAnsi" w:cstheme="minorHAnsi"/>
          <w:sz w:val="22"/>
          <w:szCs w:val="22"/>
        </w:rPr>
        <w:t xml:space="preserve"> </w:t>
      </w:r>
      <w:r w:rsidR="00A8413A">
        <w:rPr>
          <w:rFonts w:asciiTheme="minorHAnsi" w:hAnsiTheme="minorHAnsi" w:cstheme="minorHAnsi"/>
          <w:sz w:val="22"/>
          <w:szCs w:val="22"/>
        </w:rPr>
        <w:t>r</w:t>
      </w:r>
      <w:r w:rsidRPr="00A33B3C">
        <w:rPr>
          <w:rFonts w:asciiTheme="minorHAnsi" w:hAnsiTheme="minorHAnsi" w:cstheme="minorHAnsi"/>
          <w:sz w:val="22"/>
          <w:szCs w:val="22"/>
        </w:rPr>
        <w:t xml:space="preserve">egeling </w:t>
      </w:r>
      <w:r w:rsidR="00A8413A">
        <w:rPr>
          <w:rFonts w:asciiTheme="minorHAnsi" w:hAnsiTheme="minorHAnsi" w:cstheme="minorHAnsi"/>
          <w:sz w:val="22"/>
          <w:szCs w:val="22"/>
        </w:rPr>
        <w:t>‘</w:t>
      </w:r>
      <w:r w:rsidRPr="00A33B3C">
        <w:rPr>
          <w:rFonts w:asciiTheme="minorHAnsi" w:hAnsiTheme="minorHAnsi" w:cstheme="minorHAnsi"/>
          <w:sz w:val="22"/>
          <w:szCs w:val="22"/>
        </w:rPr>
        <w:t xml:space="preserve">gewaarborgd dat aan </w:t>
      </w:r>
      <w:r w:rsidR="00A8413A">
        <w:rPr>
          <w:rFonts w:asciiTheme="minorHAnsi" w:hAnsiTheme="minorHAnsi" w:cstheme="minorHAnsi"/>
          <w:sz w:val="22"/>
          <w:szCs w:val="22"/>
        </w:rPr>
        <w:t>[</w:t>
      </w:r>
      <w:r w:rsidR="00673C44">
        <w:rPr>
          <w:rFonts w:asciiTheme="minorHAnsi" w:hAnsiTheme="minorHAnsi" w:cstheme="minorHAnsi"/>
          <w:sz w:val="22"/>
          <w:szCs w:val="22"/>
        </w:rPr>
        <w:t xml:space="preserve">asielzoekers uit </w:t>
      </w:r>
      <w:r w:rsidR="00A8413A">
        <w:rPr>
          <w:rFonts w:asciiTheme="minorHAnsi" w:hAnsiTheme="minorHAnsi" w:cstheme="minorHAnsi"/>
          <w:sz w:val="22"/>
          <w:szCs w:val="22"/>
        </w:rPr>
        <w:t>Oekraïne]</w:t>
      </w:r>
      <w:r w:rsidRPr="00A33B3C">
        <w:rPr>
          <w:rFonts w:asciiTheme="minorHAnsi" w:hAnsiTheme="minorHAnsi" w:cstheme="minorHAnsi"/>
          <w:sz w:val="22"/>
          <w:szCs w:val="22"/>
        </w:rPr>
        <w:t xml:space="preserve"> eenzelfde niveau van opvang en verstrekkingen wordt geboden als andere groepen asielzoekers</w:t>
      </w:r>
      <w:r w:rsidR="00A8413A">
        <w:rPr>
          <w:rFonts w:asciiTheme="minorHAnsi" w:hAnsiTheme="minorHAnsi" w:cstheme="minorHAnsi"/>
          <w:sz w:val="22"/>
          <w:szCs w:val="22"/>
        </w:rPr>
        <w:t>’</w:t>
      </w:r>
      <w:r w:rsidRPr="00A33B3C">
        <w:rPr>
          <w:rFonts w:asciiTheme="minorHAnsi" w:hAnsiTheme="minorHAnsi" w:cstheme="minorHAnsi"/>
          <w:sz w:val="22"/>
          <w:szCs w:val="22"/>
        </w:rPr>
        <w:t xml:space="preserve">. Er is daarom </w:t>
      </w:r>
      <w:r w:rsidR="00A8413A">
        <w:rPr>
          <w:rFonts w:asciiTheme="minorHAnsi" w:hAnsiTheme="minorHAnsi" w:cstheme="minorHAnsi"/>
          <w:sz w:val="22"/>
          <w:szCs w:val="22"/>
        </w:rPr>
        <w:t>volgens de minister ‘</w:t>
      </w:r>
      <w:r w:rsidRPr="00A33B3C">
        <w:rPr>
          <w:rFonts w:asciiTheme="minorHAnsi" w:hAnsiTheme="minorHAnsi" w:cstheme="minorHAnsi"/>
          <w:sz w:val="22"/>
          <w:szCs w:val="22"/>
        </w:rPr>
        <w:t>geen verschil in behandeling, maar slechts van een verschil in verantwoordelijkheid</w:t>
      </w:r>
      <w:r w:rsidR="00A8413A">
        <w:rPr>
          <w:rFonts w:asciiTheme="minorHAnsi" w:hAnsiTheme="minorHAnsi" w:cstheme="minorHAnsi"/>
          <w:sz w:val="22"/>
          <w:szCs w:val="22"/>
        </w:rPr>
        <w:t>’</w:t>
      </w:r>
      <w:r w:rsidR="00673C44">
        <w:rPr>
          <w:rFonts w:asciiTheme="minorHAnsi" w:hAnsiTheme="minorHAnsi" w:cstheme="minorHAnsi"/>
          <w:sz w:val="22"/>
          <w:szCs w:val="22"/>
        </w:rPr>
        <w:t>.</w:t>
      </w:r>
      <w:r w:rsidR="00673C44">
        <w:rPr>
          <w:rStyle w:val="FootnoteReference"/>
          <w:rFonts w:asciiTheme="minorHAnsi" w:hAnsiTheme="minorHAnsi" w:cstheme="minorHAnsi"/>
          <w:sz w:val="22"/>
          <w:szCs w:val="22"/>
        </w:rPr>
        <w:footnoteReference w:id="14"/>
      </w:r>
      <w:r w:rsidR="00A8413A">
        <w:rPr>
          <w:rFonts w:asciiTheme="minorHAnsi" w:hAnsiTheme="minorHAnsi" w:cstheme="minorHAnsi"/>
          <w:sz w:val="22"/>
          <w:szCs w:val="22"/>
        </w:rPr>
        <w:t xml:space="preserve"> </w:t>
      </w:r>
      <w:r w:rsidR="00AA3B85">
        <w:rPr>
          <w:rFonts w:asciiTheme="minorHAnsi" w:hAnsiTheme="minorHAnsi" w:cstheme="minorHAnsi"/>
          <w:sz w:val="22"/>
          <w:szCs w:val="22"/>
        </w:rPr>
        <w:t>Met betrekking tot het leefgeld voor beide groepen asielzoekers bestaan echter aanzienlijke verschillen.</w:t>
      </w:r>
    </w:p>
    <w:p w:rsidR="00161486" w:rsidP="00AA3B85" w:rsidRDefault="00161486" w14:paraId="7ACAEECC" w14:textId="77777777">
      <w:pPr>
        <w:pStyle w:val="broodtekst"/>
        <w:spacing w:line="240" w:lineRule="auto"/>
        <w:rPr>
          <w:rFonts w:asciiTheme="minorHAnsi" w:hAnsiTheme="minorHAnsi" w:cstheme="minorHAnsi"/>
          <w:sz w:val="22"/>
          <w:szCs w:val="22"/>
        </w:rPr>
      </w:pPr>
    </w:p>
    <w:p w:rsidRPr="00AA3B85" w:rsidR="00593798" w:rsidP="00AA3B85" w:rsidRDefault="00593798" w14:paraId="5730676A" w14:textId="6722C895">
      <w:pPr>
        <w:pStyle w:val="broodtekst"/>
        <w:spacing w:line="240" w:lineRule="auto"/>
        <w:rPr>
          <w:rFonts w:asciiTheme="minorHAnsi" w:hAnsiTheme="minorHAnsi" w:cstheme="minorHAnsi"/>
          <w:i/>
          <w:iCs/>
          <w:sz w:val="22"/>
          <w:szCs w:val="22"/>
        </w:rPr>
      </w:pPr>
      <w:r w:rsidRPr="00AA3B85">
        <w:rPr>
          <w:rFonts w:asciiTheme="minorHAnsi" w:hAnsiTheme="minorHAnsi" w:cstheme="minorHAnsi"/>
          <w:i/>
          <w:iCs/>
          <w:sz w:val="22"/>
          <w:szCs w:val="22"/>
        </w:rPr>
        <w:t xml:space="preserve">Leefgeld tijdens eerste </w:t>
      </w:r>
      <w:r w:rsidR="00AA3B85">
        <w:rPr>
          <w:rFonts w:asciiTheme="minorHAnsi" w:hAnsiTheme="minorHAnsi" w:cstheme="minorHAnsi"/>
          <w:i/>
          <w:iCs/>
          <w:sz w:val="22"/>
          <w:szCs w:val="22"/>
        </w:rPr>
        <w:t>periode in Nederland</w:t>
      </w:r>
    </w:p>
    <w:p w:rsidR="00257B04" w:rsidP="00257B04" w:rsidRDefault="00257B04" w14:paraId="558C1700" w14:textId="4EA9BCE1">
      <w:pPr>
        <w:pStyle w:val="broodtekst"/>
        <w:spacing w:line="240" w:lineRule="auto"/>
        <w:rPr>
          <w:rFonts w:asciiTheme="minorHAnsi" w:hAnsiTheme="minorHAnsi" w:cstheme="minorHAnsi"/>
          <w:sz w:val="22"/>
          <w:szCs w:val="22"/>
        </w:rPr>
      </w:pPr>
      <w:r>
        <w:rPr>
          <w:rFonts w:asciiTheme="minorHAnsi" w:hAnsiTheme="minorHAnsi" w:cstheme="minorHAnsi"/>
          <w:sz w:val="22"/>
          <w:szCs w:val="22"/>
        </w:rPr>
        <w:t>Asielzoekers uit Oekraïne hebben vanaf het moment van registratie in de gemeente recht op leefgeld. Dit leefgeld bestaat uit een bedrag voor voeding</w:t>
      </w:r>
      <w:r w:rsidR="00161486">
        <w:rPr>
          <w:rFonts w:asciiTheme="minorHAnsi" w:hAnsiTheme="minorHAnsi" w:cstheme="minorHAnsi"/>
          <w:sz w:val="22"/>
          <w:szCs w:val="22"/>
        </w:rPr>
        <w:t xml:space="preserve"> (205 euro per maand)</w:t>
      </w:r>
      <w:r>
        <w:rPr>
          <w:rFonts w:asciiTheme="minorHAnsi" w:hAnsiTheme="minorHAnsi" w:cstheme="minorHAnsi"/>
          <w:sz w:val="22"/>
          <w:szCs w:val="22"/>
        </w:rPr>
        <w:t xml:space="preserve"> en een bedrag voor kleding en andere persoonlijke uitgaven (</w:t>
      </w:r>
      <w:r w:rsidR="00161486">
        <w:rPr>
          <w:rFonts w:asciiTheme="minorHAnsi" w:hAnsiTheme="minorHAnsi" w:cstheme="minorHAnsi"/>
          <w:sz w:val="22"/>
          <w:szCs w:val="22"/>
        </w:rPr>
        <w:t>55 euro per maand</w:t>
      </w:r>
      <w:r>
        <w:rPr>
          <w:rFonts w:asciiTheme="minorHAnsi" w:hAnsiTheme="minorHAnsi" w:cstheme="minorHAnsi"/>
          <w:sz w:val="22"/>
          <w:szCs w:val="22"/>
        </w:rPr>
        <w:t>).</w:t>
      </w:r>
      <w:r w:rsidR="00DB6E54">
        <w:rPr>
          <w:rFonts w:asciiTheme="minorHAnsi" w:hAnsiTheme="minorHAnsi" w:cstheme="minorHAnsi"/>
          <w:sz w:val="22"/>
          <w:szCs w:val="22"/>
        </w:rPr>
        <w:t xml:space="preserve"> Asielzoekers uit andere landen krijgen tijdens de eerste fase van de asielprocedure (rust- en voorbereidingstermijn en algemene asielprocedure) </w:t>
      </w:r>
      <w:r w:rsidRPr="00C11A68" w:rsidR="00DB6E54">
        <w:rPr>
          <w:rFonts w:asciiTheme="minorHAnsi" w:hAnsiTheme="minorHAnsi" w:cstheme="minorHAnsi"/>
          <w:i/>
          <w:iCs/>
          <w:sz w:val="22"/>
          <w:szCs w:val="22"/>
        </w:rPr>
        <w:t>geen</w:t>
      </w:r>
      <w:r w:rsidR="00DB6E54">
        <w:rPr>
          <w:rFonts w:asciiTheme="minorHAnsi" w:hAnsiTheme="minorHAnsi" w:cstheme="minorHAnsi"/>
          <w:sz w:val="22"/>
          <w:szCs w:val="22"/>
        </w:rPr>
        <w:t xml:space="preserve"> financiële vergoeding voor kleding en andere persoonlijke uitgaven.</w:t>
      </w:r>
      <w:r w:rsidR="00DB6E54">
        <w:rPr>
          <w:rStyle w:val="FootnoteReference"/>
          <w:rFonts w:asciiTheme="minorHAnsi" w:hAnsiTheme="minorHAnsi" w:cstheme="minorHAnsi"/>
          <w:sz w:val="22"/>
          <w:szCs w:val="22"/>
        </w:rPr>
        <w:footnoteReference w:id="15"/>
      </w:r>
      <w:r w:rsidR="00DB6E54">
        <w:rPr>
          <w:rFonts w:asciiTheme="minorHAnsi" w:hAnsiTheme="minorHAnsi" w:cstheme="minorHAnsi"/>
          <w:sz w:val="22"/>
          <w:szCs w:val="22"/>
        </w:rPr>
        <w:t xml:space="preserve"> </w:t>
      </w:r>
      <w:r>
        <w:rPr>
          <w:rFonts w:asciiTheme="minorHAnsi" w:hAnsiTheme="minorHAnsi" w:cstheme="minorHAnsi"/>
          <w:sz w:val="22"/>
          <w:szCs w:val="22"/>
        </w:rPr>
        <w:t xml:space="preserve"> </w:t>
      </w:r>
      <w:r w:rsidR="00161486">
        <w:rPr>
          <w:rFonts w:asciiTheme="minorHAnsi" w:hAnsiTheme="minorHAnsi" w:cstheme="minorHAnsi"/>
          <w:sz w:val="22"/>
          <w:szCs w:val="22"/>
        </w:rPr>
        <w:t>Deze fase kan maanden, of soms zelfs jaren duren.</w:t>
      </w:r>
      <w:r w:rsidR="00161486">
        <w:rPr>
          <w:rStyle w:val="FootnoteReference"/>
          <w:rFonts w:asciiTheme="minorHAnsi" w:hAnsiTheme="minorHAnsi" w:cstheme="minorHAnsi"/>
          <w:sz w:val="22"/>
          <w:szCs w:val="22"/>
        </w:rPr>
        <w:footnoteReference w:id="16"/>
      </w:r>
      <w:r w:rsidR="00161486">
        <w:rPr>
          <w:rFonts w:asciiTheme="minorHAnsi" w:hAnsiTheme="minorHAnsi" w:cstheme="minorHAnsi"/>
          <w:sz w:val="22"/>
          <w:szCs w:val="22"/>
        </w:rPr>
        <w:t xml:space="preserve">  </w:t>
      </w:r>
    </w:p>
    <w:p w:rsidR="00257B04" w:rsidP="00257B04" w:rsidRDefault="00257B04" w14:paraId="17E46F55" w14:textId="77777777">
      <w:pPr>
        <w:pStyle w:val="broodtekst"/>
        <w:spacing w:line="240" w:lineRule="auto"/>
        <w:rPr>
          <w:rFonts w:asciiTheme="minorHAnsi" w:hAnsiTheme="minorHAnsi" w:cstheme="minorHAnsi"/>
          <w:sz w:val="22"/>
          <w:szCs w:val="22"/>
        </w:rPr>
      </w:pPr>
    </w:p>
    <w:p w:rsidRPr="00AA3B85" w:rsidR="00593798" w:rsidP="00AA3B85" w:rsidRDefault="00593798" w14:paraId="2C3068F8" w14:textId="5AC36AF7">
      <w:pPr>
        <w:pStyle w:val="broodtekst"/>
        <w:spacing w:line="240" w:lineRule="auto"/>
        <w:rPr>
          <w:rFonts w:asciiTheme="minorHAnsi" w:hAnsiTheme="minorHAnsi" w:cstheme="minorHAnsi"/>
          <w:i/>
          <w:iCs/>
          <w:sz w:val="22"/>
          <w:szCs w:val="22"/>
        </w:rPr>
      </w:pPr>
      <w:r w:rsidRPr="00AA3B85">
        <w:rPr>
          <w:rFonts w:asciiTheme="minorHAnsi" w:hAnsiTheme="minorHAnsi" w:cstheme="minorHAnsi"/>
          <w:i/>
          <w:iCs/>
          <w:sz w:val="22"/>
          <w:szCs w:val="22"/>
        </w:rPr>
        <w:t xml:space="preserve">Hoogte </w:t>
      </w:r>
      <w:r w:rsidRPr="00AA3B85" w:rsidR="00C11A68">
        <w:rPr>
          <w:rFonts w:asciiTheme="minorHAnsi" w:hAnsiTheme="minorHAnsi" w:cstheme="minorHAnsi"/>
          <w:i/>
          <w:iCs/>
          <w:sz w:val="22"/>
          <w:szCs w:val="22"/>
        </w:rPr>
        <w:t>bedrag voor voeding</w:t>
      </w:r>
    </w:p>
    <w:p w:rsidR="00C11A68" w:rsidP="00161486" w:rsidRDefault="00C11A68" w14:paraId="304FCD78" w14:textId="6FF59FF4">
      <w:pPr>
        <w:pStyle w:val="broodtekst"/>
        <w:spacing w:line="240" w:lineRule="auto"/>
        <w:rPr>
          <w:rFonts w:asciiTheme="minorHAnsi" w:hAnsiTheme="minorHAnsi" w:cstheme="minorHAnsi"/>
          <w:sz w:val="22"/>
          <w:szCs w:val="22"/>
        </w:rPr>
      </w:pPr>
      <w:r>
        <w:rPr>
          <w:rFonts w:asciiTheme="minorHAnsi" w:hAnsiTheme="minorHAnsi" w:cstheme="minorHAnsi"/>
          <w:sz w:val="22"/>
          <w:szCs w:val="22"/>
        </w:rPr>
        <w:t xml:space="preserve">Asielzoekers uit Oekraïne krijgen 205 euro per maand voor voeding. Dit bedrag geldt voor zowel volwassenen als kinderen en geldt ongeacht de omvang van het huishouden. </w:t>
      </w:r>
      <w:r w:rsidR="007B1F5E">
        <w:rPr>
          <w:rFonts w:asciiTheme="minorHAnsi" w:hAnsiTheme="minorHAnsi" w:cstheme="minorHAnsi"/>
          <w:sz w:val="22"/>
          <w:szCs w:val="22"/>
        </w:rPr>
        <w:t>Volwassen asielzoekers uit andere landen krijgen 203,54 euro per maand voor voeding, en kinderen krijgen 168,65 euro per maand.</w:t>
      </w:r>
      <w:r w:rsidR="006B3D20">
        <w:rPr>
          <w:rStyle w:val="FootnoteReference"/>
          <w:rFonts w:asciiTheme="minorHAnsi" w:hAnsiTheme="minorHAnsi" w:cstheme="minorHAnsi"/>
          <w:sz w:val="22"/>
          <w:szCs w:val="22"/>
        </w:rPr>
        <w:footnoteReference w:id="17"/>
      </w:r>
      <w:r w:rsidR="007B1F5E">
        <w:rPr>
          <w:rFonts w:asciiTheme="minorHAnsi" w:hAnsiTheme="minorHAnsi" w:cstheme="minorHAnsi"/>
          <w:sz w:val="22"/>
          <w:szCs w:val="22"/>
        </w:rPr>
        <w:t xml:space="preserve"> Bovendien worden deze beide bedragen</w:t>
      </w:r>
      <w:r>
        <w:rPr>
          <w:rFonts w:asciiTheme="minorHAnsi" w:hAnsiTheme="minorHAnsi" w:cstheme="minorHAnsi"/>
          <w:sz w:val="22"/>
          <w:szCs w:val="22"/>
        </w:rPr>
        <w:t xml:space="preserve"> </w:t>
      </w:r>
      <w:r w:rsidR="007B1F5E">
        <w:rPr>
          <w:rFonts w:asciiTheme="minorHAnsi" w:hAnsiTheme="minorHAnsi" w:cstheme="minorHAnsi"/>
          <w:sz w:val="22"/>
          <w:szCs w:val="22"/>
        </w:rPr>
        <w:t>lager bij een drie- of meerpersoonshuishouden. Een rekenvoorbeeld</w:t>
      </w:r>
      <w:r w:rsidR="00387FDF">
        <w:rPr>
          <w:rFonts w:asciiTheme="minorHAnsi" w:hAnsiTheme="minorHAnsi" w:cstheme="minorHAnsi"/>
          <w:sz w:val="22"/>
          <w:szCs w:val="22"/>
        </w:rPr>
        <w:t>:</w:t>
      </w:r>
      <w:r w:rsidR="007B1F5E">
        <w:rPr>
          <w:rFonts w:asciiTheme="minorHAnsi" w:hAnsiTheme="minorHAnsi" w:cstheme="minorHAnsi"/>
          <w:sz w:val="22"/>
          <w:szCs w:val="22"/>
        </w:rPr>
        <w:t xml:space="preserve"> Een moeder met twee kinderen uit Oekraïne krijgt 615 euro per maand voor voeding, terwijl </w:t>
      </w:r>
      <w:r>
        <w:rPr>
          <w:rFonts w:asciiTheme="minorHAnsi" w:hAnsiTheme="minorHAnsi" w:cstheme="minorHAnsi"/>
          <w:sz w:val="22"/>
          <w:szCs w:val="22"/>
        </w:rPr>
        <w:t xml:space="preserve"> </w:t>
      </w:r>
      <w:r w:rsidR="007B1F5E">
        <w:rPr>
          <w:rFonts w:asciiTheme="minorHAnsi" w:hAnsiTheme="minorHAnsi" w:cstheme="minorHAnsi"/>
          <w:sz w:val="22"/>
          <w:szCs w:val="22"/>
        </w:rPr>
        <w:t xml:space="preserve">een moeder met twee kinderen uit een ander land 432,86 per maand krijgt. Dat is een aanzienlijk verschil. </w:t>
      </w:r>
    </w:p>
    <w:p w:rsidR="00387FDF" w:rsidP="00161486" w:rsidRDefault="00387FDF" w14:paraId="740F74B9" w14:textId="2116A687">
      <w:pPr>
        <w:pStyle w:val="broodtekst"/>
        <w:spacing w:line="240" w:lineRule="auto"/>
        <w:rPr>
          <w:rFonts w:asciiTheme="minorHAnsi" w:hAnsiTheme="minorHAnsi" w:cstheme="minorHAnsi"/>
          <w:sz w:val="22"/>
          <w:szCs w:val="22"/>
        </w:rPr>
      </w:pPr>
    </w:p>
    <w:p w:rsidR="00AA3B85" w:rsidP="00161486" w:rsidRDefault="006B3D20" w14:paraId="7303173D" w14:textId="49CB073C">
      <w:pPr>
        <w:pStyle w:val="broodtekst"/>
        <w:spacing w:line="240" w:lineRule="auto"/>
        <w:rPr>
          <w:rFonts w:asciiTheme="minorHAnsi" w:hAnsiTheme="minorHAnsi" w:cstheme="minorHAnsi"/>
          <w:sz w:val="22"/>
          <w:szCs w:val="22"/>
        </w:rPr>
      </w:pPr>
      <w:r>
        <w:rPr>
          <w:rFonts w:asciiTheme="minorHAnsi" w:hAnsiTheme="minorHAnsi" w:cstheme="minorHAnsi"/>
          <w:sz w:val="22"/>
          <w:szCs w:val="22"/>
        </w:rPr>
        <w:t xml:space="preserve">Voor </w:t>
      </w:r>
      <w:r w:rsidR="00BA51E1">
        <w:rPr>
          <w:rFonts w:asciiTheme="minorHAnsi" w:hAnsiTheme="minorHAnsi" w:cstheme="minorHAnsi"/>
          <w:sz w:val="22"/>
          <w:szCs w:val="22"/>
        </w:rPr>
        <w:t>het</w:t>
      </w:r>
      <w:r>
        <w:rPr>
          <w:rFonts w:asciiTheme="minorHAnsi" w:hAnsiTheme="minorHAnsi" w:cstheme="minorHAnsi"/>
          <w:sz w:val="22"/>
          <w:szCs w:val="22"/>
        </w:rPr>
        <w:t xml:space="preserve"> verschil in behandeling</w:t>
      </w:r>
      <w:r w:rsidR="00BA51E1">
        <w:rPr>
          <w:rFonts w:asciiTheme="minorHAnsi" w:hAnsiTheme="minorHAnsi" w:cstheme="minorHAnsi"/>
          <w:sz w:val="22"/>
          <w:szCs w:val="22"/>
        </w:rPr>
        <w:t xml:space="preserve"> met betrekking tot leefgeld</w:t>
      </w:r>
      <w:r>
        <w:rPr>
          <w:rFonts w:asciiTheme="minorHAnsi" w:hAnsiTheme="minorHAnsi" w:cstheme="minorHAnsi"/>
          <w:sz w:val="22"/>
          <w:szCs w:val="22"/>
        </w:rPr>
        <w:t xml:space="preserve"> is geen rechtvaardiging gegeven. Op het ontbreken van zakgeld tijdens de eerste fase van de asielprocedure </w:t>
      </w:r>
      <w:r w:rsidR="00CF6166">
        <w:rPr>
          <w:rFonts w:asciiTheme="minorHAnsi" w:hAnsiTheme="minorHAnsi" w:cstheme="minorHAnsi"/>
          <w:sz w:val="22"/>
          <w:szCs w:val="22"/>
        </w:rPr>
        <w:t>is al vaak kritiek geuit</w:t>
      </w:r>
      <w:r>
        <w:rPr>
          <w:rFonts w:asciiTheme="minorHAnsi" w:hAnsiTheme="minorHAnsi" w:cstheme="minorHAnsi"/>
          <w:sz w:val="22"/>
          <w:szCs w:val="22"/>
        </w:rPr>
        <w:t xml:space="preserve"> </w:t>
      </w:r>
      <w:r w:rsidR="00D62249">
        <w:rPr>
          <w:rFonts w:asciiTheme="minorHAnsi" w:hAnsiTheme="minorHAnsi" w:cstheme="minorHAnsi"/>
          <w:sz w:val="22"/>
          <w:szCs w:val="22"/>
        </w:rPr>
        <w:t xml:space="preserve">door diverse </w:t>
      </w:r>
      <w:r w:rsidR="00CF6166">
        <w:rPr>
          <w:rFonts w:asciiTheme="minorHAnsi" w:hAnsiTheme="minorHAnsi" w:cstheme="minorHAnsi"/>
          <w:sz w:val="22"/>
          <w:szCs w:val="22"/>
        </w:rPr>
        <w:t>organisaties</w:t>
      </w:r>
      <w:r w:rsidR="00A94249">
        <w:rPr>
          <w:rFonts w:asciiTheme="minorHAnsi" w:hAnsiTheme="minorHAnsi" w:cstheme="minorHAnsi"/>
          <w:sz w:val="22"/>
          <w:szCs w:val="22"/>
        </w:rPr>
        <w:t>.</w:t>
      </w:r>
      <w:r w:rsidR="00A94249">
        <w:rPr>
          <w:rStyle w:val="FootnoteReference"/>
          <w:rFonts w:asciiTheme="minorHAnsi" w:hAnsiTheme="minorHAnsi" w:cstheme="minorHAnsi"/>
          <w:sz w:val="22"/>
          <w:szCs w:val="22"/>
        </w:rPr>
        <w:footnoteReference w:id="18"/>
      </w:r>
      <w:r w:rsidR="00A94249">
        <w:rPr>
          <w:rFonts w:asciiTheme="minorHAnsi" w:hAnsiTheme="minorHAnsi" w:cstheme="minorHAnsi"/>
          <w:sz w:val="22"/>
          <w:szCs w:val="22"/>
        </w:rPr>
        <w:t xml:space="preserve"> Het bedrag voor voeding </w:t>
      </w:r>
      <w:r w:rsidR="00A94249">
        <w:rPr>
          <w:rFonts w:asciiTheme="minorHAnsi" w:hAnsiTheme="minorHAnsi" w:cstheme="minorHAnsi"/>
          <w:sz w:val="22"/>
          <w:szCs w:val="22"/>
        </w:rPr>
        <w:t xml:space="preserve">voor </w:t>
      </w:r>
      <w:r w:rsidR="00BA51E1">
        <w:rPr>
          <w:rFonts w:asciiTheme="minorHAnsi" w:hAnsiTheme="minorHAnsi" w:cstheme="minorHAnsi"/>
          <w:sz w:val="22"/>
          <w:szCs w:val="22"/>
        </w:rPr>
        <w:t xml:space="preserve">reguliere </w:t>
      </w:r>
      <w:r w:rsidR="00A94249">
        <w:rPr>
          <w:rFonts w:asciiTheme="minorHAnsi" w:hAnsiTheme="minorHAnsi" w:cstheme="minorHAnsi"/>
          <w:sz w:val="22"/>
          <w:szCs w:val="22"/>
        </w:rPr>
        <w:t xml:space="preserve">asielzoekers </w:t>
      </w:r>
      <w:r w:rsidR="00A94249">
        <w:rPr>
          <w:rFonts w:asciiTheme="minorHAnsi" w:hAnsiTheme="minorHAnsi" w:cstheme="minorHAnsi"/>
          <w:sz w:val="22"/>
          <w:szCs w:val="22"/>
        </w:rPr>
        <w:t>is voor</w:t>
      </w:r>
      <w:r w:rsidRPr="00A94249" w:rsidR="00A94249">
        <w:rPr>
          <w:rFonts w:asciiTheme="minorHAnsi" w:hAnsiTheme="minorHAnsi" w:cstheme="minorHAnsi"/>
          <w:sz w:val="22"/>
          <w:szCs w:val="22"/>
        </w:rPr>
        <w:t xml:space="preserve"> alle kinderen vanaf 9 jaar, voor alle volwassen mannen en voor vrouwen boven de 50 jaar niet in overeenstemming met de Nibud normen</w:t>
      </w:r>
      <w:r w:rsidR="00BA51E1">
        <w:rPr>
          <w:rFonts w:asciiTheme="minorHAnsi" w:hAnsiTheme="minorHAnsi" w:cstheme="minorHAnsi"/>
          <w:sz w:val="22"/>
          <w:szCs w:val="22"/>
        </w:rPr>
        <w:t xml:space="preserve"> voor dagelijkse minimale kosten aan voeding</w:t>
      </w:r>
      <w:r w:rsidRPr="00A94249" w:rsidR="00A94249">
        <w:rPr>
          <w:rFonts w:asciiTheme="minorHAnsi" w:hAnsiTheme="minorHAnsi" w:cstheme="minorHAnsi"/>
          <w:sz w:val="22"/>
          <w:szCs w:val="22"/>
        </w:rPr>
        <w:t>.</w:t>
      </w:r>
      <w:r w:rsidR="00BA51E1">
        <w:rPr>
          <w:rStyle w:val="FootnoteReference"/>
          <w:rFonts w:asciiTheme="minorHAnsi" w:hAnsiTheme="minorHAnsi" w:cstheme="minorHAnsi"/>
          <w:sz w:val="22"/>
          <w:szCs w:val="22"/>
        </w:rPr>
        <w:footnoteReference w:id="19"/>
      </w:r>
      <w:r w:rsidR="00D62249">
        <w:rPr>
          <w:rFonts w:asciiTheme="minorHAnsi" w:hAnsiTheme="minorHAnsi" w:cstheme="minorHAnsi"/>
          <w:sz w:val="22"/>
          <w:szCs w:val="22"/>
        </w:rPr>
        <w:t xml:space="preserve"> Het verschil in behandeling kan dus het beste worden weggenomen door het leefgeld voor reguliere asielzoekers te verbeteren.  </w:t>
      </w:r>
    </w:p>
    <w:p w:rsidR="002F448A" w:rsidP="002F448A" w:rsidRDefault="002F448A" w14:paraId="3DC10A7D" w14:textId="3CBCAA14">
      <w:pPr>
        <w:rPr>
          <w:lang w:val="nl-NL"/>
        </w:rPr>
      </w:pPr>
    </w:p>
    <w:p w:rsidRPr="00D62249" w:rsidR="00AA3B85" w:rsidP="004C43DB" w:rsidRDefault="00D62249" w14:paraId="7BE2F3DF" w14:textId="16451162">
      <w:pPr>
        <w:rPr>
          <w:b/>
          <w:bCs/>
          <w:lang w:val="nl-NL"/>
        </w:rPr>
      </w:pPr>
      <w:r>
        <w:rPr>
          <w:b/>
          <w:bCs/>
          <w:lang w:val="nl-NL"/>
        </w:rPr>
        <w:t>Conclusie</w:t>
      </w:r>
    </w:p>
    <w:p w:rsidR="00AA3B85" w:rsidP="004C43DB" w:rsidRDefault="00AA3B85" w14:paraId="7C12F4D4" w14:textId="77777777">
      <w:pPr>
        <w:rPr>
          <w:lang w:val="nl-NL"/>
        </w:rPr>
      </w:pPr>
    </w:p>
    <w:p w:rsidRPr="00EA1E8A" w:rsidR="00910DA3" w:rsidP="00910DA3" w:rsidRDefault="00EA1E8A" w14:paraId="206D548F" w14:textId="6FABF8C7">
      <w:pPr>
        <w:rPr>
          <w:lang w:val="nl-NL"/>
        </w:rPr>
      </w:pPr>
      <w:r>
        <w:rPr>
          <w:lang w:val="nl-NL"/>
        </w:rPr>
        <w:t xml:space="preserve">De buitengewone omstandigheden die activering van de artikelen 2c en 4 </w:t>
      </w:r>
      <w:proofErr w:type="spellStart"/>
      <w:r>
        <w:rPr>
          <w:lang w:val="nl-NL"/>
        </w:rPr>
        <w:t>Wvb</w:t>
      </w:r>
      <w:proofErr w:type="spellEnd"/>
      <w:r>
        <w:rPr>
          <w:lang w:val="nl-NL"/>
        </w:rPr>
        <w:t xml:space="preserve"> noodzakelijk maken kunnen niet enkel liggen in het hoge aantal asielzoekers uit Oekraïne, maar moeten worden gezocht in de combinatie van dit hoge aantal met de structurele problemen bij het COA. Om die reden is het de vraag of de beperking van de taak van burgemeesters tot de opvang van asielzoekers uit Oekraïne gerechtvaardigd kan worden. Dezelfde vraag moet worden gesteld bij de verschillen tussen het leefgeld voor asielzoekers uit Oekraïne en asielzoekers uit andere landen. </w:t>
      </w:r>
      <w:r w:rsidR="00D62249">
        <w:rPr>
          <w:lang w:val="nl-NL"/>
        </w:rPr>
        <w:t xml:space="preserve">Beide keuzes vloeien niet noodzakelijk voort uit de activering van het noodrecht. </w:t>
      </w:r>
      <w:r w:rsidR="00E859EB">
        <w:rPr>
          <w:lang w:val="nl-NL"/>
        </w:rPr>
        <w:t>Voor de rechtvaardiging van een dergelijk verschil in behandeling op grond van land van herkomst zijn zwaarwegende redenen nodig.</w:t>
      </w:r>
      <w:r w:rsidR="00E859EB">
        <w:rPr>
          <w:rStyle w:val="FootnoteReference"/>
          <w:lang w:val="nl-NL"/>
        </w:rPr>
        <w:footnoteReference w:id="20"/>
      </w:r>
      <w:r w:rsidR="00E859EB">
        <w:rPr>
          <w:lang w:val="nl-NL"/>
        </w:rPr>
        <w:t xml:space="preserve">  </w:t>
      </w:r>
    </w:p>
    <w:sectPr w:rsidRPr="00EA1E8A" w:rsidR="00910DA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16528" w14:textId="77777777" w:rsidR="00225DB7" w:rsidRDefault="00225DB7" w:rsidP="00225DB7">
      <w:pPr>
        <w:spacing w:line="240" w:lineRule="auto"/>
      </w:pPr>
      <w:r>
        <w:separator/>
      </w:r>
    </w:p>
  </w:endnote>
  <w:endnote w:type="continuationSeparator" w:id="0">
    <w:p w14:paraId="6E586018" w14:textId="77777777" w:rsidR="00225DB7" w:rsidRDefault="00225DB7" w:rsidP="00225D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023F1" w14:textId="77777777" w:rsidR="00225DB7" w:rsidRDefault="00225DB7" w:rsidP="00225DB7">
      <w:pPr>
        <w:spacing w:line="240" w:lineRule="auto"/>
      </w:pPr>
      <w:r>
        <w:separator/>
      </w:r>
    </w:p>
  </w:footnote>
  <w:footnote w:type="continuationSeparator" w:id="0">
    <w:p w14:paraId="1D21F920" w14:textId="77777777" w:rsidR="00225DB7" w:rsidRDefault="00225DB7" w:rsidP="00225DB7">
      <w:pPr>
        <w:spacing w:line="240" w:lineRule="auto"/>
      </w:pPr>
      <w:r>
        <w:continuationSeparator/>
      </w:r>
    </w:p>
  </w:footnote>
  <w:footnote w:id="1">
    <w:p w14:paraId="0CFE7FF1" w14:textId="419A2DDE" w:rsidR="003F1AD7" w:rsidRPr="00986F2C" w:rsidRDefault="003F1AD7">
      <w:pPr>
        <w:pStyle w:val="FootnoteText"/>
        <w:rPr>
          <w:rFonts w:asciiTheme="minorHAnsi" w:hAnsiTheme="minorHAnsi" w:cstheme="minorHAnsi"/>
        </w:rPr>
      </w:pPr>
      <w:r w:rsidRPr="003F1AD7">
        <w:rPr>
          <w:rStyle w:val="FootnoteReference"/>
          <w:rFonts w:asciiTheme="minorHAnsi" w:hAnsiTheme="minorHAnsi" w:cstheme="minorHAnsi"/>
        </w:rPr>
        <w:footnoteRef/>
      </w:r>
      <w:r w:rsidRPr="00986F2C">
        <w:rPr>
          <w:rFonts w:asciiTheme="minorHAnsi" w:hAnsiTheme="minorHAnsi" w:cstheme="minorHAnsi"/>
        </w:rPr>
        <w:t xml:space="preserve"> Hoogleraar </w:t>
      </w:r>
      <w:proofErr w:type="spellStart"/>
      <w:r w:rsidRPr="00986F2C">
        <w:rPr>
          <w:rFonts w:asciiTheme="minorHAnsi" w:hAnsiTheme="minorHAnsi" w:cstheme="minorHAnsi"/>
        </w:rPr>
        <w:t>Migrants</w:t>
      </w:r>
      <w:proofErr w:type="spellEnd"/>
      <w:r w:rsidRPr="00986F2C">
        <w:rPr>
          <w:rFonts w:asciiTheme="minorHAnsi" w:hAnsiTheme="minorHAnsi" w:cstheme="minorHAnsi"/>
        </w:rPr>
        <w:t xml:space="preserve"> </w:t>
      </w:r>
      <w:proofErr w:type="spellStart"/>
      <w:r w:rsidRPr="00986F2C">
        <w:rPr>
          <w:rFonts w:asciiTheme="minorHAnsi" w:hAnsiTheme="minorHAnsi" w:cstheme="minorHAnsi"/>
        </w:rPr>
        <w:t>and</w:t>
      </w:r>
      <w:proofErr w:type="spellEnd"/>
      <w:r w:rsidRPr="00986F2C">
        <w:rPr>
          <w:rFonts w:asciiTheme="minorHAnsi" w:hAnsiTheme="minorHAnsi" w:cstheme="minorHAnsi"/>
        </w:rPr>
        <w:t xml:space="preserve"> </w:t>
      </w:r>
      <w:proofErr w:type="spellStart"/>
      <w:r w:rsidRPr="00986F2C">
        <w:rPr>
          <w:rFonts w:asciiTheme="minorHAnsi" w:hAnsiTheme="minorHAnsi" w:cstheme="minorHAnsi"/>
        </w:rPr>
        <w:t>the</w:t>
      </w:r>
      <w:proofErr w:type="spellEnd"/>
      <w:r w:rsidRPr="00986F2C">
        <w:rPr>
          <w:rFonts w:asciiTheme="minorHAnsi" w:hAnsiTheme="minorHAnsi" w:cstheme="minorHAnsi"/>
        </w:rPr>
        <w:t xml:space="preserve"> </w:t>
      </w:r>
      <w:proofErr w:type="spellStart"/>
      <w:r w:rsidRPr="00986F2C">
        <w:rPr>
          <w:rFonts w:asciiTheme="minorHAnsi" w:hAnsiTheme="minorHAnsi" w:cstheme="minorHAnsi"/>
        </w:rPr>
        <w:t>Rule</w:t>
      </w:r>
      <w:proofErr w:type="spellEnd"/>
      <w:r w:rsidRPr="00986F2C">
        <w:rPr>
          <w:rFonts w:asciiTheme="minorHAnsi" w:hAnsiTheme="minorHAnsi" w:cstheme="minorHAnsi"/>
        </w:rPr>
        <w:t xml:space="preserve"> of Law, Vrije Universiteit Amsterdam.</w:t>
      </w:r>
    </w:p>
  </w:footnote>
  <w:footnote w:id="2">
    <w:p w14:paraId="71D11199" w14:textId="77777777" w:rsidR="00610431" w:rsidRPr="00B05DF3" w:rsidRDefault="00610431" w:rsidP="00610431">
      <w:pPr>
        <w:pStyle w:val="FootnoteText"/>
        <w:rPr>
          <w:rFonts w:asciiTheme="minorHAnsi" w:hAnsiTheme="minorHAnsi" w:cstheme="minorHAnsi"/>
        </w:rPr>
      </w:pPr>
      <w:r w:rsidRPr="00B05DF3">
        <w:rPr>
          <w:rStyle w:val="FootnoteReference"/>
          <w:rFonts w:asciiTheme="minorHAnsi" w:hAnsiTheme="minorHAnsi" w:cstheme="minorHAnsi"/>
        </w:rPr>
        <w:footnoteRef/>
      </w:r>
      <w:r w:rsidRPr="00B05DF3">
        <w:rPr>
          <w:rFonts w:asciiTheme="minorHAnsi" w:hAnsiTheme="minorHAnsi" w:cstheme="minorHAnsi"/>
        </w:rPr>
        <w:t xml:space="preserve"> </w:t>
      </w:r>
      <w:proofErr w:type="spellStart"/>
      <w:r w:rsidRPr="00B05DF3">
        <w:rPr>
          <w:rFonts w:asciiTheme="minorHAnsi" w:hAnsiTheme="minorHAnsi" w:cstheme="minorHAnsi"/>
        </w:rPr>
        <w:t>Richtlĳn</w:t>
      </w:r>
      <w:proofErr w:type="spellEnd"/>
      <w:r w:rsidRPr="00B05DF3">
        <w:rPr>
          <w:rFonts w:asciiTheme="minorHAnsi" w:hAnsiTheme="minorHAnsi" w:cstheme="minorHAnsi"/>
        </w:rPr>
        <w:t xml:space="preserve"> 2001/55/EG van de Raad van 20 juli 2001 betreffende minimumnormen voor het verlenen van </w:t>
      </w:r>
      <w:proofErr w:type="spellStart"/>
      <w:r w:rsidRPr="00B05DF3">
        <w:rPr>
          <w:rFonts w:asciiTheme="minorHAnsi" w:hAnsiTheme="minorHAnsi" w:cstheme="minorHAnsi"/>
        </w:rPr>
        <w:t>tĳdelĳke</w:t>
      </w:r>
      <w:proofErr w:type="spellEnd"/>
      <w:r w:rsidRPr="00B05DF3">
        <w:rPr>
          <w:rFonts w:asciiTheme="minorHAnsi" w:hAnsiTheme="minorHAnsi" w:cstheme="minorHAnsi"/>
        </w:rPr>
        <w:t xml:space="preserve"> bescherming in geval van massale toestroom van ontheemden en maatregelen ter bevordering van een evenwicht tussen de inspanning van de lidstaten voor de opvang en het dragen van de consequenties van de opvang van deze personen.</w:t>
      </w:r>
    </w:p>
  </w:footnote>
  <w:footnote w:id="3">
    <w:p w14:paraId="6A1833D8" w14:textId="6F89B5CC" w:rsidR="00B864C1" w:rsidRPr="00B05DF3" w:rsidRDefault="00B864C1">
      <w:pPr>
        <w:pStyle w:val="FootnoteText"/>
        <w:rPr>
          <w:rFonts w:asciiTheme="minorHAnsi" w:hAnsiTheme="minorHAnsi" w:cstheme="minorHAnsi"/>
        </w:rPr>
      </w:pPr>
      <w:r w:rsidRPr="00B05DF3">
        <w:rPr>
          <w:rStyle w:val="FootnoteReference"/>
          <w:rFonts w:asciiTheme="minorHAnsi" w:hAnsiTheme="minorHAnsi" w:cstheme="minorHAnsi"/>
        </w:rPr>
        <w:footnoteRef/>
      </w:r>
      <w:r w:rsidRPr="00B05DF3">
        <w:rPr>
          <w:rFonts w:asciiTheme="minorHAnsi" w:hAnsiTheme="minorHAnsi" w:cstheme="minorHAnsi"/>
        </w:rPr>
        <w:t xml:space="preserve"> Uitvoeringsbesluit (EU) 2022/382 van de Raad van 4 maart 2022 tot vaststelling van het bestaan van een massale toestroom van ontheemden uit Oekraïne in de zin van artikel 5 van Richtlijn 2001/55/EG, en tot invoering van tijdelijke bescherming naar aanleiding daarvan. </w:t>
      </w:r>
    </w:p>
  </w:footnote>
  <w:footnote w:id="4">
    <w:p w14:paraId="192F8AEA" w14:textId="6768799D" w:rsidR="008A5628" w:rsidRPr="00B05DF3" w:rsidRDefault="008A5628">
      <w:pPr>
        <w:pStyle w:val="FootnoteText"/>
        <w:rPr>
          <w:rFonts w:asciiTheme="minorHAnsi" w:hAnsiTheme="minorHAnsi" w:cstheme="minorHAnsi"/>
          <w:lang w:val="en-US"/>
        </w:rPr>
      </w:pPr>
      <w:r w:rsidRPr="00B05DF3">
        <w:rPr>
          <w:rStyle w:val="FootnoteReference"/>
          <w:rFonts w:asciiTheme="minorHAnsi" w:hAnsiTheme="minorHAnsi" w:cstheme="minorHAnsi"/>
        </w:rPr>
        <w:footnoteRef/>
      </w:r>
      <w:r w:rsidRPr="00B05DF3">
        <w:rPr>
          <w:rFonts w:asciiTheme="minorHAnsi" w:hAnsiTheme="minorHAnsi" w:cstheme="minorHAnsi"/>
          <w:lang w:val="en-US"/>
        </w:rPr>
        <w:t xml:space="preserve"> </w:t>
      </w:r>
      <w:proofErr w:type="spellStart"/>
      <w:r w:rsidRPr="00B05DF3">
        <w:rPr>
          <w:rFonts w:asciiTheme="minorHAnsi" w:hAnsiTheme="minorHAnsi" w:cstheme="minorHAnsi"/>
          <w:lang w:val="en-US"/>
        </w:rPr>
        <w:t>Zie</w:t>
      </w:r>
      <w:proofErr w:type="spellEnd"/>
      <w:r w:rsidRPr="00B05DF3">
        <w:rPr>
          <w:rFonts w:asciiTheme="minorHAnsi" w:hAnsiTheme="minorHAnsi" w:cstheme="minorHAnsi"/>
          <w:lang w:val="en-US"/>
        </w:rPr>
        <w:t xml:space="preserve"> </w:t>
      </w:r>
      <w:proofErr w:type="spellStart"/>
      <w:r w:rsidRPr="00B05DF3">
        <w:rPr>
          <w:rFonts w:asciiTheme="minorHAnsi" w:hAnsiTheme="minorHAnsi" w:cstheme="minorHAnsi"/>
          <w:lang w:val="en-US"/>
        </w:rPr>
        <w:t>o.a.</w:t>
      </w:r>
      <w:proofErr w:type="spellEnd"/>
      <w:r w:rsidRPr="00B05DF3">
        <w:rPr>
          <w:rFonts w:asciiTheme="minorHAnsi" w:hAnsiTheme="minorHAnsi" w:cstheme="minorHAnsi"/>
          <w:lang w:val="en-US"/>
        </w:rPr>
        <w:t xml:space="preserve"> art. 43a </w:t>
      </w:r>
      <w:proofErr w:type="spellStart"/>
      <w:r w:rsidRPr="00B05DF3">
        <w:rPr>
          <w:rFonts w:asciiTheme="minorHAnsi" w:hAnsiTheme="minorHAnsi" w:cstheme="minorHAnsi"/>
          <w:lang w:val="en-US"/>
        </w:rPr>
        <w:t>Vw</w:t>
      </w:r>
      <w:proofErr w:type="spellEnd"/>
      <w:r w:rsidRPr="00B05DF3">
        <w:rPr>
          <w:rFonts w:asciiTheme="minorHAnsi" w:hAnsiTheme="minorHAnsi" w:cstheme="minorHAnsi"/>
          <w:lang w:val="en-US"/>
        </w:rPr>
        <w:t xml:space="preserve"> 2000.</w:t>
      </w:r>
    </w:p>
  </w:footnote>
  <w:footnote w:id="5">
    <w:p w14:paraId="6717DA67" w14:textId="325C9FC5" w:rsidR="006007E2" w:rsidRPr="00992B6C" w:rsidRDefault="006007E2">
      <w:pPr>
        <w:pStyle w:val="FootnoteText"/>
        <w:rPr>
          <w:rFonts w:asciiTheme="minorHAnsi" w:hAnsiTheme="minorHAnsi" w:cstheme="minorHAnsi"/>
        </w:rPr>
      </w:pPr>
      <w:r w:rsidRPr="00B05DF3">
        <w:rPr>
          <w:rStyle w:val="FootnoteReference"/>
          <w:rFonts w:asciiTheme="minorHAnsi" w:hAnsiTheme="minorHAnsi" w:cstheme="minorHAnsi"/>
        </w:rPr>
        <w:footnoteRef/>
      </w:r>
      <w:r w:rsidRPr="00B05DF3">
        <w:rPr>
          <w:rFonts w:asciiTheme="minorHAnsi" w:hAnsiTheme="minorHAnsi" w:cstheme="minorHAnsi"/>
        </w:rPr>
        <w:t xml:space="preserve"> </w:t>
      </w:r>
      <w:r w:rsidRPr="00B05DF3">
        <w:rPr>
          <w:rFonts w:asciiTheme="minorHAnsi" w:hAnsiTheme="minorHAnsi" w:cstheme="minorHAnsi"/>
          <w:i/>
          <w:iCs/>
        </w:rPr>
        <w:t xml:space="preserve">Kamerstukken </w:t>
      </w:r>
      <w:r w:rsidRPr="00992B6C">
        <w:rPr>
          <w:rFonts w:asciiTheme="minorHAnsi" w:hAnsiTheme="minorHAnsi" w:cstheme="minorHAnsi"/>
          <w:i/>
          <w:iCs/>
        </w:rPr>
        <w:t xml:space="preserve">II, </w:t>
      </w:r>
      <w:r w:rsidRPr="00992B6C">
        <w:rPr>
          <w:rFonts w:asciiTheme="minorHAnsi" w:hAnsiTheme="minorHAnsi" w:cstheme="minorHAnsi"/>
        </w:rPr>
        <w:t xml:space="preserve">2003/04, 29 031, nr. 5. </w:t>
      </w:r>
    </w:p>
  </w:footnote>
  <w:footnote w:id="6">
    <w:p w14:paraId="13AB20F5" w14:textId="47D5181F" w:rsidR="00992B6C" w:rsidRPr="00992B6C" w:rsidRDefault="00992B6C">
      <w:pPr>
        <w:pStyle w:val="FootnoteText"/>
        <w:rPr>
          <w:rFonts w:asciiTheme="minorHAnsi" w:hAnsiTheme="minorHAnsi" w:cstheme="minorHAnsi"/>
        </w:rPr>
      </w:pPr>
      <w:r w:rsidRPr="00992B6C">
        <w:rPr>
          <w:rStyle w:val="FootnoteReference"/>
          <w:rFonts w:asciiTheme="minorHAnsi" w:hAnsiTheme="minorHAnsi" w:cstheme="minorHAnsi"/>
        </w:rPr>
        <w:footnoteRef/>
      </w:r>
      <w:r w:rsidRPr="00992B6C">
        <w:rPr>
          <w:rFonts w:asciiTheme="minorHAnsi" w:hAnsiTheme="minorHAnsi" w:cstheme="minorHAnsi"/>
        </w:rPr>
        <w:t xml:space="preserve"> </w:t>
      </w:r>
      <w:r w:rsidRPr="00992B6C">
        <w:rPr>
          <w:rFonts w:asciiTheme="minorHAnsi" w:hAnsiTheme="minorHAnsi" w:cstheme="minorHAnsi"/>
          <w:i/>
          <w:iCs/>
        </w:rPr>
        <w:t>K</w:t>
      </w:r>
      <w:r w:rsidRPr="00992B6C">
        <w:rPr>
          <w:rFonts w:asciiTheme="minorHAnsi" w:hAnsiTheme="minorHAnsi" w:cstheme="minorHAnsi"/>
          <w:i/>
          <w:iCs/>
        </w:rPr>
        <w:t>amerstukken II</w:t>
      </w:r>
      <w:r>
        <w:rPr>
          <w:rFonts w:asciiTheme="minorHAnsi" w:hAnsiTheme="minorHAnsi" w:cstheme="minorHAnsi"/>
          <w:i/>
          <w:iCs/>
        </w:rPr>
        <w:t>,</w:t>
      </w:r>
      <w:r w:rsidRPr="00992B6C">
        <w:rPr>
          <w:rFonts w:asciiTheme="minorHAnsi" w:hAnsiTheme="minorHAnsi" w:cstheme="minorHAnsi"/>
        </w:rPr>
        <w:t xml:space="preserve"> 1951/52, 2419, nr. 7</w:t>
      </w:r>
      <w:r>
        <w:rPr>
          <w:rFonts w:asciiTheme="minorHAnsi" w:hAnsiTheme="minorHAnsi" w:cstheme="minorHAnsi"/>
        </w:rPr>
        <w:t>.</w:t>
      </w:r>
    </w:p>
  </w:footnote>
  <w:footnote w:id="7">
    <w:p w14:paraId="69EBC43D" w14:textId="5945A499" w:rsidR="002D04BA" w:rsidRPr="00992B6C" w:rsidRDefault="002D04BA">
      <w:pPr>
        <w:pStyle w:val="FootnoteText"/>
        <w:rPr>
          <w:rFonts w:asciiTheme="minorHAnsi" w:hAnsiTheme="minorHAnsi" w:cstheme="minorHAnsi"/>
        </w:rPr>
      </w:pPr>
      <w:r w:rsidRPr="00992B6C">
        <w:rPr>
          <w:rStyle w:val="FootnoteReference"/>
          <w:rFonts w:asciiTheme="minorHAnsi" w:hAnsiTheme="minorHAnsi" w:cstheme="minorHAnsi"/>
        </w:rPr>
        <w:footnoteRef/>
      </w:r>
      <w:r w:rsidRPr="00992B6C">
        <w:rPr>
          <w:rFonts w:asciiTheme="minorHAnsi" w:hAnsiTheme="minorHAnsi" w:cstheme="minorHAnsi"/>
        </w:rPr>
        <w:t xml:space="preserve"> Strikt genomen verwijst artikel 4 </w:t>
      </w:r>
      <w:proofErr w:type="spellStart"/>
      <w:r w:rsidRPr="00992B6C">
        <w:rPr>
          <w:rFonts w:asciiTheme="minorHAnsi" w:hAnsiTheme="minorHAnsi" w:cstheme="minorHAnsi"/>
        </w:rPr>
        <w:t>Wvb</w:t>
      </w:r>
      <w:proofErr w:type="spellEnd"/>
      <w:r w:rsidRPr="00992B6C">
        <w:rPr>
          <w:rFonts w:asciiTheme="minorHAnsi" w:hAnsiTheme="minorHAnsi" w:cstheme="minorHAnsi"/>
        </w:rPr>
        <w:t xml:space="preserve"> slechts naar de artikelen 2a en 2b, en niet naar het, nu geactiveerde, artikel 2c. Volgens Memorie van Toelichting vloeit uit de tekst van artikel 2c voort dat de gehele wet, dus inclusief artikel 4, van toepassing kan zijn op niet gelaste verplaatsingen van de bevolking</w:t>
      </w:r>
      <w:r w:rsidR="00115F92" w:rsidRPr="00992B6C">
        <w:rPr>
          <w:rFonts w:asciiTheme="minorHAnsi" w:hAnsiTheme="minorHAnsi" w:cstheme="minorHAnsi"/>
        </w:rPr>
        <w:t xml:space="preserve"> (</w:t>
      </w:r>
      <w:r w:rsidR="00115F92" w:rsidRPr="00992B6C">
        <w:rPr>
          <w:rFonts w:asciiTheme="minorHAnsi" w:hAnsiTheme="minorHAnsi" w:cstheme="minorHAnsi"/>
          <w:i/>
          <w:iCs/>
        </w:rPr>
        <w:t>Kamerstukken II,</w:t>
      </w:r>
      <w:r w:rsidR="00115F92" w:rsidRPr="00992B6C">
        <w:rPr>
          <w:rFonts w:asciiTheme="minorHAnsi" w:hAnsiTheme="minorHAnsi" w:cstheme="minorHAnsi"/>
        </w:rPr>
        <w:t xml:space="preserve"> 2021/22, 36 081, nr. 3). Met de Raad van State ben ik van mening dat deze grammaticale interpretatie ‘plausibel’ maar ‘niet vanzelfsprekend’ is (Advies Afdeling Advisering Raad van State Voortduringswet artikelen 2c en 4 </w:t>
      </w:r>
      <w:proofErr w:type="spellStart"/>
      <w:r w:rsidR="00115F92" w:rsidRPr="00992B6C">
        <w:rPr>
          <w:rFonts w:asciiTheme="minorHAnsi" w:hAnsiTheme="minorHAnsi" w:cstheme="minorHAnsi"/>
        </w:rPr>
        <w:t>Wvb</w:t>
      </w:r>
      <w:proofErr w:type="spellEnd"/>
      <w:r w:rsidR="00115F92" w:rsidRPr="00992B6C">
        <w:rPr>
          <w:rFonts w:asciiTheme="minorHAnsi" w:hAnsiTheme="minorHAnsi" w:cstheme="minorHAnsi"/>
        </w:rPr>
        <w:t xml:space="preserve">, 13 april 2022). </w:t>
      </w:r>
    </w:p>
  </w:footnote>
  <w:footnote w:id="8">
    <w:p w14:paraId="0010CA2C" w14:textId="5AFD61CD" w:rsidR="00647C49" w:rsidRPr="00B05DF3" w:rsidRDefault="00647C49">
      <w:pPr>
        <w:pStyle w:val="FootnoteText"/>
        <w:rPr>
          <w:rFonts w:asciiTheme="minorHAnsi" w:hAnsiTheme="minorHAnsi" w:cstheme="minorHAnsi"/>
        </w:rPr>
      </w:pPr>
      <w:r w:rsidRPr="00992B6C">
        <w:rPr>
          <w:rStyle w:val="FootnoteReference"/>
          <w:rFonts w:asciiTheme="minorHAnsi" w:hAnsiTheme="minorHAnsi" w:cstheme="minorHAnsi"/>
        </w:rPr>
        <w:footnoteRef/>
      </w:r>
      <w:r w:rsidRPr="00992B6C">
        <w:rPr>
          <w:rFonts w:asciiTheme="minorHAnsi" w:hAnsiTheme="minorHAnsi" w:cstheme="minorHAnsi"/>
        </w:rPr>
        <w:t xml:space="preserve"> Al ligt die taak, formeel juridisch, ook nog st</w:t>
      </w:r>
      <w:r w:rsidRPr="00B05DF3">
        <w:rPr>
          <w:rFonts w:asciiTheme="minorHAnsi" w:hAnsiTheme="minorHAnsi" w:cstheme="minorHAnsi"/>
        </w:rPr>
        <w:t xml:space="preserve">eeds bij het COA, zie art. 3 Wet COA.  </w:t>
      </w:r>
    </w:p>
  </w:footnote>
  <w:footnote w:id="9">
    <w:p w14:paraId="4F93ECD1" w14:textId="500A0F0E" w:rsidR="00647C49" w:rsidRPr="00B05DF3" w:rsidRDefault="00647C49">
      <w:pPr>
        <w:pStyle w:val="FootnoteText"/>
        <w:rPr>
          <w:rFonts w:asciiTheme="minorHAnsi" w:hAnsiTheme="minorHAnsi" w:cstheme="minorHAnsi"/>
        </w:rPr>
      </w:pPr>
      <w:r w:rsidRPr="00B05DF3">
        <w:rPr>
          <w:rStyle w:val="FootnoteReference"/>
          <w:rFonts w:asciiTheme="minorHAnsi" w:hAnsiTheme="minorHAnsi" w:cstheme="minorHAnsi"/>
        </w:rPr>
        <w:footnoteRef/>
      </w:r>
      <w:r w:rsidRPr="00B05DF3">
        <w:rPr>
          <w:rFonts w:asciiTheme="minorHAnsi" w:hAnsiTheme="minorHAnsi" w:cstheme="minorHAnsi"/>
        </w:rPr>
        <w:t xml:space="preserve"> Onder andere in de Memorie van Toelichting bij het voorstel voor de Voortduringswet: </w:t>
      </w:r>
      <w:r w:rsidRPr="00B05DF3">
        <w:rPr>
          <w:rFonts w:asciiTheme="minorHAnsi" w:hAnsiTheme="minorHAnsi" w:cstheme="minorHAnsi"/>
          <w:i/>
          <w:iCs/>
        </w:rPr>
        <w:t>Kamerstukken II,</w:t>
      </w:r>
      <w:r w:rsidRPr="00B05DF3">
        <w:rPr>
          <w:rFonts w:asciiTheme="minorHAnsi" w:hAnsiTheme="minorHAnsi" w:cstheme="minorHAnsi"/>
        </w:rPr>
        <w:t xml:space="preserve"> 2021/22, 36 081, nr. 3. </w:t>
      </w:r>
    </w:p>
  </w:footnote>
  <w:footnote w:id="10">
    <w:p w14:paraId="491FA5D6" w14:textId="282CC740" w:rsidR="00BE5B91" w:rsidRPr="00B05DF3" w:rsidRDefault="00BE5B91">
      <w:pPr>
        <w:pStyle w:val="FootnoteText"/>
        <w:rPr>
          <w:rFonts w:asciiTheme="minorHAnsi" w:hAnsiTheme="minorHAnsi" w:cstheme="minorHAnsi"/>
        </w:rPr>
      </w:pPr>
      <w:r w:rsidRPr="00B05DF3">
        <w:rPr>
          <w:rStyle w:val="FootnoteReference"/>
          <w:rFonts w:asciiTheme="minorHAnsi" w:hAnsiTheme="minorHAnsi" w:cstheme="minorHAnsi"/>
        </w:rPr>
        <w:footnoteRef/>
      </w:r>
      <w:r w:rsidRPr="00B05DF3">
        <w:rPr>
          <w:rFonts w:asciiTheme="minorHAnsi" w:hAnsiTheme="minorHAnsi" w:cstheme="minorHAnsi"/>
        </w:rPr>
        <w:t xml:space="preserve"> Nota n.a.v. het verslag: </w:t>
      </w:r>
      <w:r w:rsidRPr="00B05DF3">
        <w:rPr>
          <w:rFonts w:asciiTheme="minorHAnsi" w:hAnsiTheme="minorHAnsi" w:cstheme="minorHAnsi"/>
          <w:i/>
          <w:iCs/>
        </w:rPr>
        <w:t xml:space="preserve">Kamerstukken II, </w:t>
      </w:r>
      <w:r w:rsidRPr="00B05DF3">
        <w:rPr>
          <w:rFonts w:asciiTheme="minorHAnsi" w:hAnsiTheme="minorHAnsi" w:cstheme="minorHAnsi"/>
        </w:rPr>
        <w:t xml:space="preserve">2021/22, 36 081, nr. 7. </w:t>
      </w:r>
      <w:r w:rsidRPr="00B05DF3">
        <w:rPr>
          <w:rFonts w:asciiTheme="minorHAnsi" w:hAnsiTheme="minorHAnsi" w:cstheme="minorHAnsi"/>
          <w:i/>
          <w:iCs/>
        </w:rPr>
        <w:t xml:space="preserve"> </w:t>
      </w:r>
    </w:p>
  </w:footnote>
  <w:footnote w:id="11">
    <w:p w14:paraId="6A35B389" w14:textId="16E08C85" w:rsidR="00692BEB" w:rsidRPr="00692BEB" w:rsidRDefault="00692BEB">
      <w:pPr>
        <w:pStyle w:val="FootnoteText"/>
        <w:rPr>
          <w:rFonts w:asciiTheme="minorHAnsi" w:hAnsiTheme="minorHAnsi" w:cstheme="minorHAnsi"/>
        </w:rPr>
      </w:pPr>
      <w:r w:rsidRPr="00692BEB">
        <w:rPr>
          <w:rStyle w:val="FootnoteReference"/>
          <w:rFonts w:asciiTheme="minorHAnsi" w:hAnsiTheme="minorHAnsi" w:cstheme="minorHAnsi"/>
        </w:rPr>
        <w:footnoteRef/>
      </w:r>
      <w:r w:rsidRPr="00692BEB">
        <w:rPr>
          <w:rFonts w:asciiTheme="minorHAnsi" w:hAnsiTheme="minorHAnsi" w:cstheme="minorHAnsi"/>
        </w:rPr>
        <w:t xml:space="preserve"> </w:t>
      </w:r>
      <w:r>
        <w:rPr>
          <w:rFonts w:asciiTheme="minorHAnsi" w:hAnsiTheme="minorHAnsi" w:cstheme="minorHAnsi"/>
        </w:rPr>
        <w:t>‘</w:t>
      </w:r>
      <w:r w:rsidRPr="00692BEB">
        <w:rPr>
          <w:rFonts w:asciiTheme="minorHAnsi" w:hAnsiTheme="minorHAnsi" w:cstheme="minorHAnsi"/>
        </w:rPr>
        <w:t>Kamerbrief over staatsnoodrecht opvang Oekraïners</w:t>
      </w:r>
      <w:r>
        <w:rPr>
          <w:rFonts w:asciiTheme="minorHAnsi" w:hAnsiTheme="minorHAnsi" w:cstheme="minorHAnsi"/>
        </w:rPr>
        <w:t xml:space="preserve">’, 6 mei 2022, beschikbaar op: </w:t>
      </w:r>
      <w:hyperlink r:id="rId1" w:history="1">
        <w:r w:rsidRPr="001C375C">
          <w:rPr>
            <w:rStyle w:val="Hyperlink"/>
            <w:rFonts w:asciiTheme="minorHAnsi" w:hAnsiTheme="minorHAnsi" w:cstheme="minorHAnsi"/>
          </w:rPr>
          <w:t>https://www.rijksoverheid.nl/documenten/kamerstukken/2022/05/06/tk-toezegging-ambtelijke-stukken-activeren-staatsnoodrecht</w:t>
        </w:r>
      </w:hyperlink>
      <w:r>
        <w:rPr>
          <w:rFonts w:asciiTheme="minorHAnsi" w:hAnsiTheme="minorHAnsi" w:cstheme="minorHAnsi"/>
        </w:rPr>
        <w:t xml:space="preserve">. </w:t>
      </w:r>
    </w:p>
  </w:footnote>
  <w:footnote w:id="12">
    <w:p w14:paraId="76AACA55" w14:textId="77777777" w:rsidR="001B249D" w:rsidRPr="002124B3" w:rsidRDefault="001B249D" w:rsidP="001B249D">
      <w:pPr>
        <w:pStyle w:val="FootnoteText"/>
        <w:rPr>
          <w:rFonts w:asciiTheme="minorHAnsi" w:hAnsiTheme="minorHAnsi" w:cstheme="minorHAnsi"/>
        </w:rPr>
      </w:pPr>
      <w:r w:rsidRPr="00692BEB">
        <w:rPr>
          <w:rStyle w:val="FootnoteReference"/>
          <w:rFonts w:asciiTheme="minorHAnsi" w:hAnsiTheme="minorHAnsi" w:cstheme="minorHAnsi"/>
        </w:rPr>
        <w:footnoteRef/>
      </w:r>
      <w:r w:rsidRPr="00692BEB">
        <w:rPr>
          <w:rFonts w:asciiTheme="minorHAnsi" w:hAnsiTheme="minorHAnsi" w:cstheme="minorHAnsi"/>
        </w:rPr>
        <w:t xml:space="preserve"> Op 17 juni jl. waren er 6013</w:t>
      </w:r>
      <w:r w:rsidRPr="00B05DF3">
        <w:rPr>
          <w:rFonts w:asciiTheme="minorHAnsi" w:hAnsiTheme="minorHAnsi" w:cstheme="minorHAnsi"/>
        </w:rPr>
        <w:t xml:space="preserve"> meer bedden beschikbaar dan in gebruik voor de opvang van asielzoekers uit </w:t>
      </w:r>
      <w:r w:rsidRPr="002124B3">
        <w:rPr>
          <w:rFonts w:asciiTheme="minorHAnsi" w:hAnsiTheme="minorHAnsi" w:cstheme="minorHAnsi"/>
        </w:rPr>
        <w:t xml:space="preserve">Oekraïne, zie </w:t>
      </w:r>
      <w:hyperlink r:id="rId2" w:history="1">
        <w:r w:rsidRPr="002124B3">
          <w:rPr>
            <w:rStyle w:val="Hyperlink"/>
            <w:rFonts w:asciiTheme="minorHAnsi" w:hAnsiTheme="minorHAnsi" w:cstheme="minorHAnsi"/>
          </w:rPr>
          <w:t>https://www.rijksoverheid.nl/onderwerpen/opvang-vluchtelingen-uit-oekraine/cijfers-opvang-vluchtelingen-uit-oekraine-in-nederland</w:t>
        </w:r>
      </w:hyperlink>
      <w:r w:rsidRPr="002124B3">
        <w:rPr>
          <w:rFonts w:asciiTheme="minorHAnsi" w:hAnsiTheme="minorHAnsi" w:cstheme="minorHAnsi"/>
        </w:rPr>
        <w:t xml:space="preserve">.  </w:t>
      </w:r>
    </w:p>
  </w:footnote>
  <w:footnote w:id="13">
    <w:p w14:paraId="38B77DDB" w14:textId="42476F58" w:rsidR="00A8413A" w:rsidRPr="00B05DF3" w:rsidRDefault="00A8413A">
      <w:pPr>
        <w:pStyle w:val="FootnoteText"/>
        <w:rPr>
          <w:rFonts w:asciiTheme="minorHAnsi" w:hAnsiTheme="minorHAnsi" w:cstheme="minorHAnsi"/>
        </w:rPr>
      </w:pPr>
      <w:r w:rsidRPr="00B05DF3">
        <w:rPr>
          <w:rStyle w:val="FootnoteReference"/>
          <w:rFonts w:asciiTheme="minorHAnsi" w:hAnsiTheme="minorHAnsi" w:cstheme="minorHAnsi"/>
        </w:rPr>
        <w:footnoteRef/>
      </w:r>
      <w:r w:rsidRPr="00B05DF3">
        <w:rPr>
          <w:rFonts w:asciiTheme="minorHAnsi" w:hAnsiTheme="minorHAnsi" w:cstheme="minorHAnsi"/>
        </w:rPr>
        <w:t xml:space="preserve"> Dit is een ministeriële regeling die is gebaseerd op artikel 4 </w:t>
      </w:r>
      <w:proofErr w:type="spellStart"/>
      <w:r w:rsidRPr="00B05DF3">
        <w:rPr>
          <w:rFonts w:asciiTheme="minorHAnsi" w:hAnsiTheme="minorHAnsi" w:cstheme="minorHAnsi"/>
        </w:rPr>
        <w:t>Wvb</w:t>
      </w:r>
      <w:proofErr w:type="spellEnd"/>
      <w:r w:rsidRPr="00B05DF3">
        <w:rPr>
          <w:rFonts w:asciiTheme="minorHAnsi" w:hAnsiTheme="minorHAnsi" w:cstheme="minorHAnsi"/>
        </w:rPr>
        <w:t>. Dat deze bepaling geen delegatiegrondslag voor een ministeriële regeling bevat laat ik hier even terzijde.</w:t>
      </w:r>
    </w:p>
  </w:footnote>
  <w:footnote w:id="14">
    <w:p w14:paraId="3E3FD356" w14:textId="1975F9A8" w:rsidR="00673C44" w:rsidRDefault="00673C44">
      <w:pPr>
        <w:pStyle w:val="FootnoteText"/>
      </w:pPr>
      <w:r>
        <w:rPr>
          <w:rStyle w:val="FootnoteReference"/>
        </w:rPr>
        <w:footnoteRef/>
      </w:r>
      <w:r>
        <w:t xml:space="preserve"> </w:t>
      </w:r>
      <w:r w:rsidRPr="00B05DF3">
        <w:rPr>
          <w:rFonts w:asciiTheme="minorHAnsi" w:hAnsiTheme="minorHAnsi" w:cstheme="minorHAnsi"/>
        </w:rPr>
        <w:t xml:space="preserve">Nota n.a.v. het verslag: </w:t>
      </w:r>
      <w:r w:rsidRPr="00B05DF3">
        <w:rPr>
          <w:rFonts w:asciiTheme="minorHAnsi" w:hAnsiTheme="minorHAnsi" w:cstheme="minorHAnsi"/>
          <w:i/>
          <w:iCs/>
        </w:rPr>
        <w:t xml:space="preserve">Kamerstukken II, </w:t>
      </w:r>
      <w:r w:rsidRPr="00B05DF3">
        <w:rPr>
          <w:rFonts w:asciiTheme="minorHAnsi" w:hAnsiTheme="minorHAnsi" w:cstheme="minorHAnsi"/>
        </w:rPr>
        <w:t>2021/22, 36 081, nr. 7</w:t>
      </w:r>
      <w:r>
        <w:rPr>
          <w:rFonts w:asciiTheme="minorHAnsi" w:hAnsiTheme="minorHAnsi" w:cstheme="minorHAnsi"/>
        </w:rPr>
        <w:t xml:space="preserve">. </w:t>
      </w:r>
    </w:p>
  </w:footnote>
  <w:footnote w:id="15">
    <w:p w14:paraId="1D9AB5A1" w14:textId="7284E943" w:rsidR="00DB6E54" w:rsidRPr="00B05DF3" w:rsidRDefault="00DB6E54">
      <w:pPr>
        <w:pStyle w:val="FootnoteText"/>
        <w:rPr>
          <w:rFonts w:asciiTheme="minorHAnsi" w:hAnsiTheme="minorHAnsi" w:cstheme="minorHAnsi"/>
        </w:rPr>
      </w:pPr>
      <w:r w:rsidRPr="00B05DF3">
        <w:rPr>
          <w:rStyle w:val="FootnoteReference"/>
          <w:rFonts w:asciiTheme="minorHAnsi" w:hAnsiTheme="minorHAnsi" w:cstheme="minorHAnsi"/>
        </w:rPr>
        <w:footnoteRef/>
      </w:r>
      <w:r w:rsidRPr="00B05DF3">
        <w:rPr>
          <w:rFonts w:asciiTheme="minorHAnsi" w:hAnsiTheme="minorHAnsi" w:cstheme="minorHAnsi"/>
        </w:rPr>
        <w:t xml:space="preserve"> Art. 14, lid 9 en 10 </w:t>
      </w:r>
      <w:r w:rsidR="00AA3B85">
        <w:rPr>
          <w:rFonts w:asciiTheme="minorHAnsi" w:hAnsiTheme="minorHAnsi" w:cstheme="minorHAnsi"/>
        </w:rPr>
        <w:t xml:space="preserve">Regeling verstrekkingen asielzoekers en andere </w:t>
      </w:r>
      <w:r w:rsidR="006B3D20">
        <w:rPr>
          <w:rFonts w:asciiTheme="minorHAnsi" w:hAnsiTheme="minorHAnsi" w:cstheme="minorHAnsi"/>
        </w:rPr>
        <w:t>categorieën</w:t>
      </w:r>
      <w:r w:rsidR="00AA3B85">
        <w:rPr>
          <w:rFonts w:asciiTheme="minorHAnsi" w:hAnsiTheme="minorHAnsi" w:cstheme="minorHAnsi"/>
        </w:rPr>
        <w:t xml:space="preserve"> vreemdelingen</w:t>
      </w:r>
      <w:r w:rsidRPr="00B05DF3">
        <w:rPr>
          <w:rFonts w:asciiTheme="minorHAnsi" w:hAnsiTheme="minorHAnsi" w:cstheme="minorHAnsi"/>
        </w:rPr>
        <w:t xml:space="preserve"> 2005</w:t>
      </w:r>
      <w:r w:rsidR="006B3D20">
        <w:rPr>
          <w:rFonts w:asciiTheme="minorHAnsi" w:hAnsiTheme="minorHAnsi" w:cstheme="minorHAnsi"/>
        </w:rPr>
        <w:t xml:space="preserve"> (</w:t>
      </w:r>
      <w:proofErr w:type="spellStart"/>
      <w:r w:rsidR="006B3D20">
        <w:rPr>
          <w:rFonts w:asciiTheme="minorHAnsi" w:hAnsiTheme="minorHAnsi" w:cstheme="minorHAnsi"/>
        </w:rPr>
        <w:t>Rva</w:t>
      </w:r>
      <w:proofErr w:type="spellEnd"/>
      <w:r w:rsidR="006B3D20">
        <w:rPr>
          <w:rFonts w:asciiTheme="minorHAnsi" w:hAnsiTheme="minorHAnsi" w:cstheme="minorHAnsi"/>
        </w:rPr>
        <w:t xml:space="preserve"> 2005). </w:t>
      </w:r>
      <w:r w:rsidRPr="00B05DF3">
        <w:rPr>
          <w:rFonts w:asciiTheme="minorHAnsi" w:hAnsiTheme="minorHAnsi" w:cstheme="minorHAnsi"/>
        </w:rPr>
        <w:t xml:space="preserve"> </w:t>
      </w:r>
    </w:p>
  </w:footnote>
  <w:footnote w:id="16">
    <w:p w14:paraId="3D231B26" w14:textId="01A3986D" w:rsidR="00161486" w:rsidRPr="006B3D20" w:rsidRDefault="00161486">
      <w:pPr>
        <w:pStyle w:val="FootnoteText"/>
        <w:rPr>
          <w:rFonts w:asciiTheme="minorHAnsi" w:hAnsiTheme="minorHAnsi" w:cstheme="minorHAnsi"/>
        </w:rPr>
      </w:pPr>
      <w:r w:rsidRPr="006B3D20">
        <w:rPr>
          <w:rStyle w:val="FootnoteReference"/>
          <w:rFonts w:asciiTheme="minorHAnsi" w:hAnsiTheme="minorHAnsi" w:cstheme="minorHAnsi"/>
        </w:rPr>
        <w:footnoteRef/>
      </w:r>
      <w:r w:rsidRPr="006B3D20">
        <w:rPr>
          <w:rFonts w:asciiTheme="minorHAnsi" w:hAnsiTheme="minorHAnsi" w:cstheme="minorHAnsi"/>
        </w:rPr>
        <w:t xml:space="preserve"> https://www.vluchtelingenwerk.nl/nl/artikelen/nieuws/wachttijden-voorafgaand-aan-asielprocedure-een-tijdlijn</w:t>
      </w:r>
    </w:p>
  </w:footnote>
  <w:footnote w:id="17">
    <w:p w14:paraId="3D065425" w14:textId="3BCBF44B" w:rsidR="006B3D20" w:rsidRPr="00A94249" w:rsidRDefault="006B3D20">
      <w:pPr>
        <w:pStyle w:val="FootnoteText"/>
        <w:rPr>
          <w:rFonts w:asciiTheme="minorHAnsi" w:hAnsiTheme="minorHAnsi" w:cstheme="minorHAnsi"/>
        </w:rPr>
      </w:pPr>
      <w:r w:rsidRPr="00A94249">
        <w:rPr>
          <w:rStyle w:val="FootnoteReference"/>
          <w:rFonts w:asciiTheme="minorHAnsi" w:hAnsiTheme="minorHAnsi" w:cstheme="minorHAnsi"/>
        </w:rPr>
        <w:footnoteRef/>
      </w:r>
      <w:r w:rsidRPr="00A94249">
        <w:rPr>
          <w:rFonts w:asciiTheme="minorHAnsi" w:hAnsiTheme="minorHAnsi" w:cstheme="minorHAnsi"/>
        </w:rPr>
        <w:t xml:space="preserve"> Art. 14, lid 2 </w:t>
      </w:r>
      <w:proofErr w:type="spellStart"/>
      <w:r w:rsidRPr="00A94249">
        <w:rPr>
          <w:rFonts w:asciiTheme="minorHAnsi" w:hAnsiTheme="minorHAnsi" w:cstheme="minorHAnsi"/>
        </w:rPr>
        <w:t>Rva</w:t>
      </w:r>
      <w:proofErr w:type="spellEnd"/>
      <w:r w:rsidRPr="00A94249">
        <w:rPr>
          <w:rFonts w:asciiTheme="minorHAnsi" w:hAnsiTheme="minorHAnsi" w:cstheme="minorHAnsi"/>
        </w:rPr>
        <w:t xml:space="preserve"> 2005. </w:t>
      </w:r>
    </w:p>
  </w:footnote>
  <w:footnote w:id="18">
    <w:p w14:paraId="36492FF3" w14:textId="205DB050" w:rsidR="00A94249" w:rsidRPr="00BA51E1" w:rsidRDefault="00A94249">
      <w:pPr>
        <w:pStyle w:val="FootnoteText"/>
        <w:rPr>
          <w:rFonts w:asciiTheme="minorHAnsi" w:hAnsiTheme="minorHAnsi" w:cstheme="minorHAnsi"/>
        </w:rPr>
      </w:pPr>
      <w:r w:rsidRPr="00A94249">
        <w:rPr>
          <w:rStyle w:val="FootnoteReference"/>
          <w:rFonts w:asciiTheme="minorHAnsi" w:hAnsiTheme="minorHAnsi" w:cstheme="minorHAnsi"/>
        </w:rPr>
        <w:footnoteRef/>
      </w:r>
      <w:r w:rsidRPr="00A94249">
        <w:rPr>
          <w:rFonts w:asciiTheme="minorHAnsi" w:hAnsiTheme="minorHAnsi" w:cstheme="minorHAnsi"/>
        </w:rPr>
        <w:t xml:space="preserve"> Zie onder andere de brief van de Nationale ombudsman en de Kinderombudsvrouw van 9 maart 2020, beschikbaar op: </w:t>
      </w:r>
      <w:hyperlink r:id="rId3" w:history="1">
        <w:r w:rsidRPr="00A94249">
          <w:rPr>
            <w:rStyle w:val="Hyperlink"/>
            <w:rFonts w:asciiTheme="minorHAnsi" w:hAnsiTheme="minorHAnsi" w:cstheme="minorHAnsi"/>
          </w:rPr>
          <w:t>https://www.nationaleombudsman.nl/nieuws/2020/nationale-ombudsman-en-kinderombudsman-uiten-zorgen-over-gevolgen-wachttijden</w:t>
        </w:r>
      </w:hyperlink>
      <w:r w:rsidRPr="00A94249">
        <w:rPr>
          <w:rFonts w:asciiTheme="minorHAnsi" w:hAnsiTheme="minorHAnsi" w:cstheme="minorHAnsi"/>
        </w:rPr>
        <w:t xml:space="preserve"> </w:t>
      </w:r>
      <w:r>
        <w:rPr>
          <w:rFonts w:asciiTheme="minorHAnsi" w:hAnsiTheme="minorHAnsi" w:cstheme="minorHAnsi"/>
        </w:rPr>
        <w:t xml:space="preserve">en de kritiek van Vluchtelingenwerk van 9 maart 2022 op het ontbreken van leefgeld tijdens de noodopvang (zie </w:t>
      </w:r>
      <w:hyperlink r:id="rId4" w:history="1">
        <w:r w:rsidRPr="00BA51E1">
          <w:rPr>
            <w:rStyle w:val="Hyperlink"/>
            <w:rFonts w:asciiTheme="minorHAnsi" w:hAnsiTheme="minorHAnsi" w:cstheme="minorHAnsi"/>
          </w:rPr>
          <w:t>https://www.vluchtelingenwerk.nl/nl/artikelen/nieuws/onderzoek-noodopvang-de-rek-eruit-bij-duizenden-bewoners</w:t>
        </w:r>
      </w:hyperlink>
      <w:r w:rsidRPr="00BA51E1">
        <w:rPr>
          <w:rFonts w:asciiTheme="minorHAnsi" w:hAnsiTheme="minorHAnsi" w:cstheme="minorHAnsi"/>
        </w:rPr>
        <w:t xml:space="preserve">). </w:t>
      </w:r>
    </w:p>
  </w:footnote>
  <w:footnote w:id="19">
    <w:p w14:paraId="0613D4F2" w14:textId="310E13E4" w:rsidR="00BA51E1" w:rsidRDefault="00BA51E1">
      <w:pPr>
        <w:pStyle w:val="FootnoteText"/>
      </w:pPr>
      <w:r w:rsidRPr="00BA51E1">
        <w:rPr>
          <w:rStyle w:val="FootnoteReference"/>
          <w:rFonts w:asciiTheme="minorHAnsi" w:hAnsiTheme="minorHAnsi" w:cstheme="minorHAnsi"/>
        </w:rPr>
        <w:footnoteRef/>
      </w:r>
      <w:r w:rsidRPr="00BA51E1">
        <w:rPr>
          <w:rFonts w:asciiTheme="minorHAnsi" w:hAnsiTheme="minorHAnsi" w:cstheme="minorHAnsi"/>
        </w:rPr>
        <w:t xml:space="preserve"> Zie hierover mijn blog</w:t>
      </w:r>
      <w:r w:rsidRPr="00BA51E1">
        <w:rPr>
          <w:rFonts w:asciiTheme="minorHAnsi" w:hAnsiTheme="minorHAnsi" w:cstheme="minorHAnsi"/>
        </w:rPr>
        <w:t xml:space="preserve"> </w:t>
      </w:r>
      <w:r w:rsidRPr="00BA51E1">
        <w:rPr>
          <w:rFonts w:asciiTheme="minorHAnsi" w:hAnsiTheme="minorHAnsi" w:cstheme="minorHAnsi"/>
        </w:rPr>
        <w:t>‘</w:t>
      </w:r>
      <w:r w:rsidRPr="00BA51E1">
        <w:rPr>
          <w:rFonts w:asciiTheme="minorHAnsi" w:hAnsiTheme="minorHAnsi" w:cstheme="minorHAnsi"/>
        </w:rPr>
        <w:t>Leefgeld voor vluchtelingen uit Oekraïne én andere landen</w:t>
      </w:r>
      <w:r w:rsidRPr="00BA51E1">
        <w:rPr>
          <w:rFonts w:asciiTheme="minorHAnsi" w:hAnsiTheme="minorHAnsi" w:cstheme="minorHAnsi"/>
        </w:rPr>
        <w:t>’</w:t>
      </w:r>
      <w:r w:rsidR="00D62249">
        <w:rPr>
          <w:rFonts w:asciiTheme="minorHAnsi" w:hAnsiTheme="minorHAnsi" w:cstheme="minorHAnsi"/>
        </w:rPr>
        <w:t>,</w:t>
      </w:r>
      <w:r w:rsidRPr="00BA51E1">
        <w:rPr>
          <w:rFonts w:asciiTheme="minorHAnsi" w:hAnsiTheme="minorHAnsi" w:cstheme="minorHAnsi"/>
        </w:rPr>
        <w:t xml:space="preserve"> </w:t>
      </w:r>
      <w:r w:rsidRPr="00BA51E1">
        <w:rPr>
          <w:rFonts w:asciiTheme="minorHAnsi" w:hAnsiTheme="minorHAnsi" w:cstheme="minorHAnsi"/>
        </w:rPr>
        <w:t xml:space="preserve">25 maart 2022, </w:t>
      </w:r>
      <w:hyperlink r:id="rId5" w:history="1">
        <w:r w:rsidRPr="001C375C">
          <w:rPr>
            <w:rStyle w:val="Hyperlink"/>
            <w:rFonts w:asciiTheme="minorHAnsi" w:hAnsiTheme="minorHAnsi" w:cstheme="minorHAnsi"/>
          </w:rPr>
          <w:t>https://verblijfblog.nl/leefgeld-voor-vluchtelingen-uit-oekraine-en-andere-landen/</w:t>
        </w:r>
      </w:hyperlink>
      <w:r>
        <w:rPr>
          <w:rFonts w:asciiTheme="minorHAnsi" w:hAnsiTheme="minorHAnsi" w:cstheme="minorHAnsi"/>
        </w:rPr>
        <w:t xml:space="preserve">. </w:t>
      </w:r>
    </w:p>
  </w:footnote>
  <w:footnote w:id="20">
    <w:p w14:paraId="6BD3CFCA" w14:textId="77777777" w:rsidR="00E859EB" w:rsidRPr="00A94249" w:rsidRDefault="00E859EB" w:rsidP="00E859EB">
      <w:pPr>
        <w:pStyle w:val="FootnoteText"/>
        <w:rPr>
          <w:rFonts w:asciiTheme="minorHAnsi" w:hAnsiTheme="minorHAnsi" w:cstheme="minorHAnsi"/>
        </w:rPr>
      </w:pPr>
      <w:r w:rsidRPr="00A94249">
        <w:rPr>
          <w:rStyle w:val="FootnoteReference"/>
          <w:rFonts w:asciiTheme="minorHAnsi" w:hAnsiTheme="minorHAnsi" w:cstheme="minorHAnsi"/>
        </w:rPr>
        <w:footnoteRef/>
      </w:r>
      <w:r w:rsidRPr="00A94249">
        <w:rPr>
          <w:rFonts w:asciiTheme="minorHAnsi" w:hAnsiTheme="minorHAnsi" w:cstheme="minorHAnsi"/>
        </w:rPr>
        <w:t xml:space="preserve"> Vgl. art. 3 Vluchtelingenverdrag.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F0D9A"/>
    <w:multiLevelType w:val="hybridMultilevel"/>
    <w:tmpl w:val="85104D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0F572DD"/>
    <w:multiLevelType w:val="hybridMultilevel"/>
    <w:tmpl w:val="85104D3A"/>
    <w:lvl w:ilvl="0" w:tplc="64962E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67D1181"/>
    <w:multiLevelType w:val="hybridMultilevel"/>
    <w:tmpl w:val="7AEC1ADC"/>
    <w:lvl w:ilvl="0" w:tplc="6E6216F8">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9B93870"/>
    <w:multiLevelType w:val="hybridMultilevel"/>
    <w:tmpl w:val="831AE852"/>
    <w:lvl w:ilvl="0" w:tplc="BEEE6920">
      <w:numFmt w:val="bullet"/>
      <w:lvlText w:val=""/>
      <w:lvlJc w:val="left"/>
      <w:pPr>
        <w:ind w:left="1776" w:hanging="360"/>
      </w:pPr>
      <w:rPr>
        <w:rFonts w:ascii="Symbol" w:eastAsiaTheme="minorHAnsi" w:hAnsi="Symbol" w:cstheme="minorBid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4" w15:restartNumberingAfterBreak="0">
    <w:nsid w:val="4D991CE5"/>
    <w:multiLevelType w:val="hybridMultilevel"/>
    <w:tmpl w:val="461ABB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12B1350"/>
    <w:multiLevelType w:val="hybridMultilevel"/>
    <w:tmpl w:val="D1D8D2A8"/>
    <w:lvl w:ilvl="0" w:tplc="90CED87E">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C4769B8"/>
    <w:multiLevelType w:val="hybridMultilevel"/>
    <w:tmpl w:val="3550AC28"/>
    <w:lvl w:ilvl="0" w:tplc="D696C21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F0918FF"/>
    <w:multiLevelType w:val="hybridMultilevel"/>
    <w:tmpl w:val="A9E65718"/>
    <w:lvl w:ilvl="0" w:tplc="CF604E8C">
      <w:start w:val="1"/>
      <w:numFmt w:val="bullet"/>
      <w:lvlText w:val=""/>
      <w:lvlJc w:val="left"/>
      <w:pPr>
        <w:ind w:left="720" w:hanging="360"/>
      </w:pPr>
      <w:rPr>
        <w:rFonts w:ascii="Wingdings" w:eastAsiaTheme="minorHAnsi" w:hAnsi="Wingdings"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5A667F9"/>
    <w:multiLevelType w:val="hybridMultilevel"/>
    <w:tmpl w:val="D730CFE8"/>
    <w:lvl w:ilvl="0" w:tplc="8E2E193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8D75DDA"/>
    <w:multiLevelType w:val="hybridMultilevel"/>
    <w:tmpl w:val="A3A4788A"/>
    <w:lvl w:ilvl="0" w:tplc="1D98B314">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317146906">
    <w:abstractNumId w:val="4"/>
  </w:num>
  <w:num w:numId="2" w16cid:durableId="1004940163">
    <w:abstractNumId w:val="9"/>
  </w:num>
  <w:num w:numId="3" w16cid:durableId="1411461114">
    <w:abstractNumId w:val="5"/>
  </w:num>
  <w:num w:numId="4" w16cid:durableId="157311921">
    <w:abstractNumId w:val="8"/>
  </w:num>
  <w:num w:numId="5" w16cid:durableId="1443305135">
    <w:abstractNumId w:val="3"/>
  </w:num>
  <w:num w:numId="6" w16cid:durableId="1038505730">
    <w:abstractNumId w:val="2"/>
  </w:num>
  <w:num w:numId="7" w16cid:durableId="1644384892">
    <w:abstractNumId w:val="1"/>
  </w:num>
  <w:num w:numId="8" w16cid:durableId="2010785783">
    <w:abstractNumId w:val="7"/>
  </w:num>
  <w:num w:numId="9" w16cid:durableId="803543494">
    <w:abstractNumId w:val="6"/>
  </w:num>
  <w:num w:numId="10" w16cid:durableId="150412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F45"/>
    <w:rsid w:val="0004345C"/>
    <w:rsid w:val="0008684D"/>
    <w:rsid w:val="00090F7B"/>
    <w:rsid w:val="000C31AB"/>
    <w:rsid w:val="00115F92"/>
    <w:rsid w:val="001576AC"/>
    <w:rsid w:val="00161486"/>
    <w:rsid w:val="001669D1"/>
    <w:rsid w:val="001B249D"/>
    <w:rsid w:val="002124B3"/>
    <w:rsid w:val="00225DB7"/>
    <w:rsid w:val="00244E56"/>
    <w:rsid w:val="00257B04"/>
    <w:rsid w:val="002C0A1A"/>
    <w:rsid w:val="002C6CEC"/>
    <w:rsid w:val="002D04BA"/>
    <w:rsid w:val="002F448A"/>
    <w:rsid w:val="00312D72"/>
    <w:rsid w:val="00316D96"/>
    <w:rsid w:val="003372AE"/>
    <w:rsid w:val="003470F3"/>
    <w:rsid w:val="0037170A"/>
    <w:rsid w:val="00387FDF"/>
    <w:rsid w:val="003D62D3"/>
    <w:rsid w:val="003E2AFE"/>
    <w:rsid w:val="003E3A35"/>
    <w:rsid w:val="003E537B"/>
    <w:rsid w:val="003F1AD7"/>
    <w:rsid w:val="00430B96"/>
    <w:rsid w:val="004C43DB"/>
    <w:rsid w:val="00501D19"/>
    <w:rsid w:val="00506FC9"/>
    <w:rsid w:val="0051398D"/>
    <w:rsid w:val="00537B5F"/>
    <w:rsid w:val="00547A41"/>
    <w:rsid w:val="00593798"/>
    <w:rsid w:val="005E1E8A"/>
    <w:rsid w:val="006007E2"/>
    <w:rsid w:val="0060265C"/>
    <w:rsid w:val="00610431"/>
    <w:rsid w:val="00634D7B"/>
    <w:rsid w:val="00647C49"/>
    <w:rsid w:val="00673C44"/>
    <w:rsid w:val="00692BEB"/>
    <w:rsid w:val="006B3D20"/>
    <w:rsid w:val="007B1475"/>
    <w:rsid w:val="007B1F5E"/>
    <w:rsid w:val="008001FA"/>
    <w:rsid w:val="00801600"/>
    <w:rsid w:val="00871517"/>
    <w:rsid w:val="008A5628"/>
    <w:rsid w:val="008E6EA1"/>
    <w:rsid w:val="00910DA3"/>
    <w:rsid w:val="00941B13"/>
    <w:rsid w:val="00986F2C"/>
    <w:rsid w:val="00992B6C"/>
    <w:rsid w:val="00A33B3C"/>
    <w:rsid w:val="00A8413A"/>
    <w:rsid w:val="00A906D9"/>
    <w:rsid w:val="00A94249"/>
    <w:rsid w:val="00AA3B85"/>
    <w:rsid w:val="00AD74B6"/>
    <w:rsid w:val="00B05DF3"/>
    <w:rsid w:val="00B16DED"/>
    <w:rsid w:val="00B864C1"/>
    <w:rsid w:val="00B9404F"/>
    <w:rsid w:val="00B94D1D"/>
    <w:rsid w:val="00BA51E1"/>
    <w:rsid w:val="00BD3ED2"/>
    <w:rsid w:val="00BE5B91"/>
    <w:rsid w:val="00C11A68"/>
    <w:rsid w:val="00C30EF6"/>
    <w:rsid w:val="00C3650C"/>
    <w:rsid w:val="00C95E36"/>
    <w:rsid w:val="00C970C4"/>
    <w:rsid w:val="00CA669C"/>
    <w:rsid w:val="00CF5F75"/>
    <w:rsid w:val="00CF6166"/>
    <w:rsid w:val="00CF78C7"/>
    <w:rsid w:val="00D421FD"/>
    <w:rsid w:val="00D62249"/>
    <w:rsid w:val="00DB6E54"/>
    <w:rsid w:val="00DE0121"/>
    <w:rsid w:val="00E23746"/>
    <w:rsid w:val="00E859EB"/>
    <w:rsid w:val="00E9727D"/>
    <w:rsid w:val="00EA1E8A"/>
    <w:rsid w:val="00EB2B89"/>
    <w:rsid w:val="00EE5EE5"/>
    <w:rsid w:val="00F00DAE"/>
    <w:rsid w:val="00F1040C"/>
    <w:rsid w:val="00F50A6B"/>
    <w:rsid w:val="00F97CC8"/>
    <w:rsid w:val="00FB2A9A"/>
    <w:rsid w:val="00FD2EED"/>
    <w:rsid w:val="00FD3F45"/>
    <w:rsid w:val="00FE0F81"/>
    <w:rsid w:val="00FF3FBE"/>
    <w:rsid w:val="00FF47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48849"/>
  <w15:chartTrackingRefBased/>
  <w15:docId w15:val="{892FA833-54FF-4B32-8018-827FD04D6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B13"/>
    <w:pPr>
      <w:ind w:left="720"/>
      <w:contextualSpacing/>
    </w:pPr>
  </w:style>
  <w:style w:type="paragraph" w:customStyle="1" w:styleId="broodtekst">
    <w:name w:val="broodtekst"/>
    <w:basedOn w:val="Normal"/>
    <w:qFormat/>
    <w:rsid w:val="004C43DB"/>
    <w:pPr>
      <w:autoSpaceDE w:val="0"/>
      <w:autoSpaceDN w:val="0"/>
      <w:adjustRightInd w:val="0"/>
      <w:spacing w:line="240" w:lineRule="atLeast"/>
    </w:pPr>
    <w:rPr>
      <w:rFonts w:ascii="Verdana" w:eastAsia="Times New Roman" w:hAnsi="Verdana" w:cs="Times New Roman"/>
      <w:sz w:val="18"/>
      <w:szCs w:val="18"/>
      <w:lang w:val="nl-NL" w:eastAsia="nl-NL"/>
    </w:rPr>
  </w:style>
  <w:style w:type="paragraph" w:styleId="FootnoteText">
    <w:name w:val="footnote text"/>
    <w:basedOn w:val="Normal"/>
    <w:link w:val="FootnoteTextChar"/>
    <w:semiHidden/>
    <w:unhideWhenUsed/>
    <w:rsid w:val="00225DB7"/>
    <w:pPr>
      <w:spacing w:line="240" w:lineRule="auto"/>
    </w:pPr>
    <w:rPr>
      <w:rFonts w:ascii="Verdana" w:eastAsia="Times New Roman" w:hAnsi="Verdana" w:cs="Times New Roman"/>
      <w:sz w:val="20"/>
      <w:szCs w:val="20"/>
      <w:lang w:val="nl-NL" w:eastAsia="nl-NL"/>
    </w:rPr>
  </w:style>
  <w:style w:type="character" w:customStyle="1" w:styleId="FootnoteTextChar">
    <w:name w:val="Footnote Text Char"/>
    <w:basedOn w:val="DefaultParagraphFont"/>
    <w:link w:val="FootnoteText"/>
    <w:semiHidden/>
    <w:rsid w:val="00225DB7"/>
    <w:rPr>
      <w:rFonts w:ascii="Verdana" w:eastAsia="Times New Roman" w:hAnsi="Verdana" w:cs="Times New Roman"/>
      <w:sz w:val="20"/>
      <w:szCs w:val="20"/>
      <w:lang w:eastAsia="nl-NL"/>
    </w:rPr>
  </w:style>
  <w:style w:type="character" w:styleId="FootnoteReference">
    <w:name w:val="footnote reference"/>
    <w:aliases w:val="FR,FR1,FR11,FR2,FR21,FR3,FR4,FR5,FZ,Footnotemark,Footnotemark1,Footnotemark11,Footnotemark2,Footnotemark21,Footnotemark3,Footnotemark4,Footnotemark5,Footnotemark6,Footnotemark7,Footnotemark8,Ref,bkVoetnootmarkering,de nota al pie,註腳內容"/>
    <w:link w:val="FootnoteReferenceCharChar1"/>
    <w:unhideWhenUsed/>
    <w:qFormat/>
    <w:rsid w:val="00225DB7"/>
    <w:rPr>
      <w:vertAlign w:val="superscript"/>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Normal"/>
    <w:link w:val="FootnoteReference"/>
    <w:rsid w:val="00225DB7"/>
    <w:pPr>
      <w:autoSpaceDE w:val="0"/>
      <w:autoSpaceDN w:val="0"/>
      <w:spacing w:after="160" w:line="240" w:lineRule="exact"/>
      <w:jc w:val="both"/>
    </w:pPr>
    <w:rPr>
      <w:vertAlign w:val="superscript"/>
      <w:lang w:val="nl-NL"/>
    </w:rPr>
  </w:style>
  <w:style w:type="character" w:styleId="Hyperlink">
    <w:name w:val="Hyperlink"/>
    <w:basedOn w:val="DefaultParagraphFont"/>
    <w:uiPriority w:val="99"/>
    <w:unhideWhenUsed/>
    <w:rsid w:val="00910DA3"/>
    <w:rPr>
      <w:color w:val="0563C1" w:themeColor="hyperlink"/>
      <w:u w:val="single"/>
    </w:rPr>
  </w:style>
  <w:style w:type="character" w:styleId="UnresolvedMention">
    <w:name w:val="Unresolved Mention"/>
    <w:basedOn w:val="DefaultParagraphFont"/>
    <w:uiPriority w:val="99"/>
    <w:semiHidden/>
    <w:unhideWhenUsed/>
    <w:rsid w:val="00910DA3"/>
    <w:rPr>
      <w:color w:val="605E5C"/>
      <w:shd w:val="clear" w:color="auto" w:fill="E1DFDD"/>
    </w:rPr>
  </w:style>
  <w:style w:type="character" w:styleId="FollowedHyperlink">
    <w:name w:val="FollowedHyperlink"/>
    <w:basedOn w:val="DefaultParagraphFont"/>
    <w:uiPriority w:val="99"/>
    <w:semiHidden/>
    <w:unhideWhenUsed/>
    <w:rsid w:val="00647C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11152">
      <w:bodyDiv w:val="1"/>
      <w:marLeft w:val="0"/>
      <w:marRight w:val="0"/>
      <w:marTop w:val="0"/>
      <w:marBottom w:val="0"/>
      <w:divBdr>
        <w:top w:val="none" w:sz="0" w:space="0" w:color="auto"/>
        <w:left w:val="none" w:sz="0" w:space="0" w:color="auto"/>
        <w:bottom w:val="none" w:sz="0" w:space="0" w:color="auto"/>
        <w:right w:val="none" w:sz="0" w:space="0" w:color="auto"/>
      </w:divBdr>
    </w:div>
    <w:div w:id="972828516">
      <w:bodyDiv w:val="1"/>
      <w:marLeft w:val="0"/>
      <w:marRight w:val="0"/>
      <w:marTop w:val="0"/>
      <w:marBottom w:val="0"/>
      <w:divBdr>
        <w:top w:val="none" w:sz="0" w:space="0" w:color="auto"/>
        <w:left w:val="none" w:sz="0" w:space="0" w:color="auto"/>
        <w:bottom w:val="none" w:sz="0" w:space="0" w:color="auto"/>
        <w:right w:val="none" w:sz="0" w:space="0" w:color="auto"/>
      </w:divBdr>
    </w:div>
    <w:div w:id="159207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nationaleombudsman.nl/nieuws/2020/nationale-ombudsman-en-kinderombudsman-uiten-zorgen-over-gevolgen-wachttijden" TargetMode="External"/><Relationship Id="rId2" Type="http://schemas.openxmlformats.org/officeDocument/2006/relationships/hyperlink" Target="https://www.rijksoverheid.nl/onderwerpen/opvang-vluchtelingen-uit-oekraine/cijfers-opvang-vluchtelingen-uit-oekraine-in-nederland" TargetMode="External"/><Relationship Id="rId1" Type="http://schemas.openxmlformats.org/officeDocument/2006/relationships/hyperlink" Target="https://www.rijksoverheid.nl/documenten/kamerstukken/2022/05/06/tk-toezegging-ambtelijke-stukken-activeren-staatsnoodrecht" TargetMode="External"/><Relationship Id="rId5" Type="http://schemas.openxmlformats.org/officeDocument/2006/relationships/hyperlink" Target="https://verblijfblog.nl/leefgeld-voor-vluchtelingen-uit-oekraine-en-andere-landen/" TargetMode="External"/><Relationship Id="rId4" Type="http://schemas.openxmlformats.org/officeDocument/2006/relationships/hyperlink" Target="https://www.vluchtelingenwerk.nl/nl/artikelen/nieuws/onderzoek-noodopvang-de-rek-eruit-bij-duizenden-bewoner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1596</ap:Words>
  <ap:Characters>8784</ap:Characters>
  <ap:DocSecurity>0</ap:DocSecurity>
  <ap:Lines>73</ap:Lines>
  <ap:Paragraphs>20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10360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2022-06-20T17:56:00.0000000Z</dcterms:created>
  <dcterms:modified xsi:type="dcterms:W3CDTF">2022-06-20T19:44:00.0000000Z</dcterms:modified>
  <version/>
  <category/>
</coreProperties>
</file>