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03733" w:rsidR="00A828E3" w:rsidRDefault="00E02D08">
      <w:pPr>
        <w:pStyle w:val="PlatteTekst"/>
        <w:rPr>
          <w:szCs w:val="18"/>
        </w:rPr>
        <w:sectPr w:rsidRPr="00303733"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303733">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640AA0">
                            <w:pPr>
                              <w:pStyle w:val="Huisstijl-Agendatitel"/>
                              <w:ind w:left="0" w:firstLine="0"/>
                              <w:jc w:val="right"/>
                            </w:pPr>
                            <w:r>
                              <w:t>1</w:t>
                            </w:r>
                            <w:r w:rsidR="0004760F">
                              <w:t>7</w:t>
                            </w:r>
                            <w:r w:rsidR="003E3BDA">
                              <w:t xml:space="preserve"> </w:t>
                            </w:r>
                            <w:r>
                              <w:t>juni</w:t>
                            </w:r>
                            <w:r w:rsidR="00E02D08">
                              <w:t xml:space="preserve"> 202</w:t>
                            </w:r>
                            <w:r w:rsidR="003E3BDA">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640AA0">
                      <w:pPr>
                        <w:pStyle w:val="Huisstijl-Agendatitel"/>
                        <w:ind w:left="0" w:firstLine="0"/>
                        <w:jc w:val="right"/>
                      </w:pPr>
                      <w:r>
                        <w:t>1</w:t>
                      </w:r>
                      <w:r w:rsidR="0004760F">
                        <w:t>7</w:t>
                      </w:r>
                      <w:r w:rsidR="003E3BDA">
                        <w:t xml:space="preserve"> </w:t>
                      </w:r>
                      <w:r>
                        <w:t>juni</w:t>
                      </w:r>
                      <w:r w:rsidR="00E02D08">
                        <w:t xml:space="preserve"> 202</w:t>
                      </w:r>
                      <w:r w:rsidR="003E3BDA">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303733"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303733" w:rsidR="00E02D08" w:rsidP="00C727FA" w:rsidRDefault="00E02D08">
      <w:pPr>
        <w:rPr>
          <w:b/>
          <w:szCs w:val="18"/>
        </w:rPr>
      </w:pPr>
      <w:r w:rsidRPr="00303733">
        <w:rPr>
          <w:b/>
          <w:szCs w:val="18"/>
        </w:rPr>
        <w:t xml:space="preserve">Lijst van nieuwe EU-voorstellen </w:t>
      </w:r>
    </w:p>
    <w:p w:rsidRPr="00303733" w:rsidR="00E02D08" w:rsidP="00C727FA" w:rsidRDefault="00E02D08">
      <w:pPr>
        <w:rPr>
          <w:b/>
          <w:szCs w:val="18"/>
        </w:rPr>
      </w:pPr>
    </w:p>
    <w:p w:rsidRPr="00303733" w:rsidR="005115F8" w:rsidP="005115F8" w:rsidRDefault="005115F8">
      <w:pPr>
        <w:pStyle w:val="Normaalweb"/>
        <w:rPr>
          <w:rFonts w:ascii="Verdana" w:hAnsi="Verdana"/>
          <w:sz w:val="18"/>
          <w:szCs w:val="18"/>
        </w:rPr>
      </w:pPr>
      <w:r w:rsidRPr="00303733">
        <w:rPr>
          <w:rFonts w:ascii="Verdana" w:hAnsi="Verdana"/>
          <w:sz w:val="18"/>
          <w:szCs w:val="18"/>
        </w:rPr>
        <w:t>De Europese Commissie heeft in de periode sinds de vorige lijst met EU-voorste</w:t>
      </w:r>
      <w:bookmarkStart w:name="_GoBack" w:id="0"/>
      <w:bookmarkEnd w:id="0"/>
      <w:r w:rsidRPr="00303733">
        <w:rPr>
          <w:rFonts w:ascii="Verdana" w:hAnsi="Verdana"/>
          <w:sz w:val="18"/>
          <w:szCs w:val="18"/>
        </w:rPr>
        <w:t>llen (die is besproken in de vorige procedurevergadering) de volgende voor deze vaste commissie relevante voorstellen voor Europese wetgeving, besluiten en andere beleidsvormende documenten aan de Tweede Kamer gestuurd</w:t>
      </w:r>
      <w:r w:rsidRPr="00303733" w:rsidR="00D46897">
        <w:rPr>
          <w:rStyle w:val="Voetnootmarkering"/>
          <w:rFonts w:ascii="Verdana" w:hAnsi="Verdana"/>
          <w:sz w:val="18"/>
          <w:szCs w:val="18"/>
        </w:rPr>
        <w:footnoteReference w:id="1"/>
      </w:r>
      <w:r w:rsidRPr="00303733">
        <w:rPr>
          <w:rFonts w:ascii="Verdana" w:hAnsi="Verdana"/>
          <w:sz w:val="18"/>
          <w:szCs w:val="18"/>
        </w:rPr>
        <w:t xml:space="preserve">: </w:t>
      </w:r>
    </w:p>
    <w:p w:rsidRPr="00303733" w:rsidR="00820149" w:rsidP="00C727FA" w:rsidRDefault="00820149">
      <w:pPr>
        <w:rPr>
          <w:szCs w:val="18"/>
        </w:rPr>
      </w:pPr>
    </w:p>
    <w:p w:rsidRPr="00303733" w:rsidR="00820149" w:rsidP="00820149" w:rsidRDefault="00D27FE7">
      <w:pPr>
        <w:pStyle w:val="Lijstalinea"/>
        <w:numPr>
          <w:ilvl w:val="0"/>
          <w:numId w:val="2"/>
        </w:numPr>
        <w:rPr>
          <w:b/>
          <w:szCs w:val="18"/>
        </w:rPr>
      </w:pPr>
      <w:r w:rsidRPr="00303733">
        <w:rPr>
          <w:b/>
          <w:szCs w:val="18"/>
        </w:rPr>
        <w:t>Nieuw voorgestelde EU-w</w:t>
      </w:r>
      <w:r w:rsidRPr="00303733" w:rsidR="00820149">
        <w:rPr>
          <w:b/>
          <w:szCs w:val="18"/>
        </w:rPr>
        <w:t>etgeving</w:t>
      </w:r>
      <w:r w:rsidRPr="00303733" w:rsidR="00E02D08">
        <w:rPr>
          <w:rStyle w:val="Voetnootmarkering"/>
          <w:b/>
          <w:szCs w:val="18"/>
        </w:rPr>
        <w:br/>
      </w:r>
      <w:r w:rsidRPr="00303733" w:rsidR="00E02D08">
        <w:rPr>
          <w:szCs w:val="18"/>
        </w:rPr>
        <w:t>(Verordeningen, richtlijnen en wetgevende besluiten)</w:t>
      </w:r>
    </w:p>
    <w:p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3649FF" w:rsidTr="009A33E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3649FF" w:rsidP="009A33E2" w:rsidRDefault="003649FF">
            <w:pPr>
              <w:pStyle w:val="Lijstalinea"/>
              <w:numPr>
                <w:ilvl w:val="0"/>
                <w:numId w:val="10"/>
              </w:numPr>
              <w:spacing w:after="240"/>
              <w:ind w:left="312"/>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Titel</w:t>
            </w:r>
          </w:p>
        </w:tc>
        <w:tc>
          <w:tcPr>
            <w:tcW w:w="6529" w:type="dxa"/>
          </w:tcPr>
          <w:p w:rsidR="003649FF" w:rsidP="003649FF" w:rsidRDefault="003649FF">
            <w:pPr>
              <w:shd w:val="clear" w:color="auto" w:fill="FFFFFF"/>
              <w:spacing w:after="75"/>
              <w:rPr>
                <w:szCs w:val="18"/>
                <w:lang w:eastAsia="nl-NL"/>
              </w:rPr>
            </w:pPr>
            <w:r>
              <w:rPr>
                <w:szCs w:val="18"/>
              </w:rPr>
              <w:t>Proposal for a COUNCIL REGULATION amending Regulation (EC) No 974/98 as regards the introduction of the euro in Croatia</w:t>
            </w:r>
          </w:p>
          <w:p w:rsidRPr="00303733" w:rsidR="003649FF" w:rsidP="003649FF" w:rsidRDefault="0004760F">
            <w:pPr>
              <w:spacing w:after="240"/>
              <w:rPr>
                <w:b/>
                <w:color w:val="595959" w:themeColor="text1" w:themeTint="A6"/>
                <w:szCs w:val="18"/>
              </w:rPr>
            </w:pPr>
            <w:hyperlink w:history="1" r:id="rId14">
              <w:r w:rsidR="003649FF">
                <w:rPr>
                  <w:rStyle w:val="Hyperlink"/>
                  <w:szCs w:val="18"/>
                </w:rPr>
                <w:t>COM(2022)281</w:t>
              </w:r>
            </w:hyperlink>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szCs w:val="18"/>
              </w:rPr>
            </w:pPr>
          </w:p>
        </w:tc>
        <w:tc>
          <w:tcPr>
            <w:tcW w:w="1035" w:type="dxa"/>
          </w:tcPr>
          <w:p w:rsidRPr="00303733" w:rsidR="003649FF" w:rsidP="009A33E2" w:rsidRDefault="003649FF">
            <w:pPr>
              <w:spacing w:after="240"/>
              <w:rPr>
                <w:szCs w:val="18"/>
              </w:rPr>
            </w:pPr>
            <w:r w:rsidRPr="00303733">
              <w:rPr>
                <w:szCs w:val="18"/>
              </w:rPr>
              <w:t>Voorstel</w:t>
            </w:r>
          </w:p>
        </w:tc>
        <w:tc>
          <w:tcPr>
            <w:tcW w:w="6529" w:type="dxa"/>
          </w:tcPr>
          <w:p w:rsidRPr="00303733" w:rsidR="003649FF" w:rsidP="009A33E2" w:rsidRDefault="003649FF">
            <w:pPr>
              <w:spacing w:after="240"/>
              <w:rPr>
                <w:szCs w:val="18"/>
              </w:rPr>
            </w:pPr>
            <w:r w:rsidRPr="003649FF">
              <w:rPr>
                <w:szCs w:val="18"/>
              </w:rPr>
              <w:t>Voorstel via de gebruikelijke route behandelen, waarbij het voorstel en het nog te ontvangen BNC-fiche worden geagendeerd voor een schriftelijk overleg.</w:t>
            </w:r>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Noot</w:t>
            </w:r>
          </w:p>
        </w:tc>
        <w:tc>
          <w:tcPr>
            <w:tcW w:w="6529" w:type="dxa"/>
          </w:tcPr>
          <w:p w:rsidRPr="00303733" w:rsidR="003649FF" w:rsidP="003649FF" w:rsidRDefault="003649FF">
            <w:pPr>
              <w:spacing w:after="240"/>
              <w:rPr>
                <w:color w:val="595959" w:themeColor="text1" w:themeTint="A6"/>
                <w:szCs w:val="18"/>
              </w:rPr>
            </w:pPr>
            <w:r w:rsidRPr="003649FF">
              <w:rPr>
                <w:color w:val="595959" w:themeColor="text1" w:themeTint="A6"/>
                <w:szCs w:val="18"/>
              </w:rPr>
              <w:t>Op 1 juni 2022 heeft de Commissie een voorstel voor een besluit van de Raad uitgebracht</w:t>
            </w:r>
            <w:r>
              <w:rPr>
                <w:color w:val="595959" w:themeColor="text1" w:themeTint="A6"/>
                <w:szCs w:val="18"/>
              </w:rPr>
              <w:t xml:space="preserve"> (zie hieronder)</w:t>
            </w:r>
            <w:r w:rsidRPr="003649FF">
              <w:rPr>
                <w:color w:val="595959" w:themeColor="text1" w:themeTint="A6"/>
                <w:szCs w:val="18"/>
              </w:rPr>
              <w:t>, waarin wordt vermeld dat Kroatië voldoet aan de nodige voorwaarden voor de aanneming van de euro en dat de derogatie van Kroatië met ingang van 1 januari 2023 wordt ingetrokken.</w:t>
            </w:r>
            <w:r>
              <w:rPr>
                <w:color w:val="595959" w:themeColor="text1" w:themeTint="A6"/>
                <w:szCs w:val="18"/>
              </w:rPr>
              <w:t xml:space="preserve"> </w:t>
            </w:r>
            <w:r w:rsidRPr="003649FF">
              <w:rPr>
                <w:color w:val="595959" w:themeColor="text1" w:themeTint="A6"/>
                <w:szCs w:val="18"/>
              </w:rPr>
              <w:t>In geval van een positief besluit zal de Raad vervolgens de overige maatregelen moeten nemen die voor de invoering van de euro in Kroatië noodzakelijk zijn.</w:t>
            </w:r>
            <w:r>
              <w:rPr>
                <w:color w:val="595959" w:themeColor="text1" w:themeTint="A6"/>
                <w:szCs w:val="18"/>
              </w:rPr>
              <w:t xml:space="preserve"> Dit behelst een voorstel tot wijziging van v</w:t>
            </w:r>
            <w:r w:rsidRPr="003649FF">
              <w:rPr>
                <w:color w:val="595959" w:themeColor="text1" w:themeTint="A6"/>
                <w:szCs w:val="18"/>
              </w:rPr>
              <w:t>erordening (EG) nr. 974/98 van de Raa</w:t>
            </w:r>
            <w:r>
              <w:rPr>
                <w:color w:val="595959" w:themeColor="text1" w:themeTint="A6"/>
                <w:szCs w:val="18"/>
              </w:rPr>
              <w:t>d over de invoering van de euro daartoe.</w:t>
            </w:r>
          </w:p>
        </w:tc>
      </w:tr>
    </w:tbl>
    <w:p w:rsidRPr="00303733" w:rsidR="003649FF" w:rsidP="002A4BD8" w:rsidRDefault="003649F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3649FF" w:rsidTr="009A33E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3649FF" w:rsidP="003649FF" w:rsidRDefault="003649FF">
            <w:pPr>
              <w:pStyle w:val="Lijstalinea"/>
              <w:numPr>
                <w:ilvl w:val="0"/>
                <w:numId w:val="10"/>
              </w:numPr>
              <w:spacing w:after="240"/>
              <w:ind w:left="312"/>
              <w:rPr>
                <w:color w:val="595959" w:themeColor="text1" w:themeTint="A6"/>
                <w:szCs w:val="18"/>
              </w:rPr>
            </w:pPr>
          </w:p>
        </w:tc>
        <w:tc>
          <w:tcPr>
            <w:tcW w:w="1035" w:type="dxa"/>
          </w:tcPr>
          <w:p w:rsidRPr="00303733" w:rsidR="003649FF" w:rsidP="003649FF" w:rsidRDefault="003649FF">
            <w:pPr>
              <w:spacing w:after="240"/>
              <w:rPr>
                <w:color w:val="595959" w:themeColor="text1" w:themeTint="A6"/>
                <w:szCs w:val="18"/>
              </w:rPr>
            </w:pPr>
            <w:r w:rsidRPr="00303733">
              <w:rPr>
                <w:color w:val="595959" w:themeColor="text1" w:themeTint="A6"/>
                <w:szCs w:val="18"/>
              </w:rPr>
              <w:t>Titel</w:t>
            </w:r>
          </w:p>
        </w:tc>
        <w:tc>
          <w:tcPr>
            <w:tcW w:w="6529" w:type="dxa"/>
          </w:tcPr>
          <w:p w:rsidRPr="003649FF" w:rsidR="003649FF" w:rsidP="003649FF" w:rsidRDefault="003649FF">
            <w:pPr>
              <w:shd w:val="clear" w:color="auto" w:fill="FFFFFF"/>
              <w:spacing w:after="75"/>
              <w:rPr>
                <w:szCs w:val="18"/>
                <w:lang w:eastAsia="nl-NL"/>
              </w:rPr>
            </w:pPr>
            <w:r>
              <w:rPr>
                <w:szCs w:val="18"/>
              </w:rPr>
              <w:t xml:space="preserve">Proposal for a COUNCIL DECISION on the adoption by Croatia of the euro on 1 January 2023 </w:t>
            </w:r>
            <w:hyperlink w:history="1" r:id="rId15">
              <w:r>
                <w:rPr>
                  <w:rStyle w:val="Hyperlink"/>
                  <w:szCs w:val="18"/>
                </w:rPr>
                <w:t>COM(2022)282</w:t>
              </w:r>
            </w:hyperlink>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3649FF" w:rsidRDefault="003649FF">
            <w:pPr>
              <w:spacing w:after="240"/>
              <w:rPr>
                <w:szCs w:val="18"/>
              </w:rPr>
            </w:pPr>
          </w:p>
        </w:tc>
        <w:tc>
          <w:tcPr>
            <w:tcW w:w="1035" w:type="dxa"/>
          </w:tcPr>
          <w:p w:rsidRPr="00303733" w:rsidR="003649FF" w:rsidP="003649FF" w:rsidRDefault="003649FF">
            <w:pPr>
              <w:spacing w:after="240"/>
              <w:rPr>
                <w:szCs w:val="18"/>
              </w:rPr>
            </w:pPr>
            <w:r w:rsidRPr="00303733">
              <w:rPr>
                <w:szCs w:val="18"/>
              </w:rPr>
              <w:t>Voorstel</w:t>
            </w:r>
          </w:p>
        </w:tc>
        <w:tc>
          <w:tcPr>
            <w:tcW w:w="6529" w:type="dxa"/>
          </w:tcPr>
          <w:p w:rsidRPr="00303733" w:rsidR="003649FF" w:rsidP="003649FF" w:rsidRDefault="003649FF">
            <w:pPr>
              <w:spacing w:after="240"/>
              <w:rPr>
                <w:szCs w:val="18"/>
              </w:rPr>
            </w:pPr>
            <w:r w:rsidRPr="003649FF">
              <w:rPr>
                <w:szCs w:val="18"/>
              </w:rPr>
              <w:t>Voorstel via de gebruikelijke route behandelen, waarbij het voorstel en het nog te ontvangen BNC-fiche worden geagendeerd voor een schriftelijk overleg.</w:t>
            </w:r>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3649FF" w:rsidRDefault="003649FF">
            <w:pPr>
              <w:spacing w:after="240"/>
              <w:rPr>
                <w:color w:val="595959" w:themeColor="text1" w:themeTint="A6"/>
                <w:szCs w:val="18"/>
              </w:rPr>
            </w:pPr>
          </w:p>
        </w:tc>
        <w:tc>
          <w:tcPr>
            <w:tcW w:w="1035" w:type="dxa"/>
          </w:tcPr>
          <w:p w:rsidRPr="00303733" w:rsidR="003649FF" w:rsidP="003649FF" w:rsidRDefault="003649FF">
            <w:pPr>
              <w:spacing w:after="240"/>
              <w:rPr>
                <w:color w:val="595959" w:themeColor="text1" w:themeTint="A6"/>
                <w:szCs w:val="18"/>
              </w:rPr>
            </w:pPr>
            <w:r w:rsidRPr="00303733">
              <w:rPr>
                <w:color w:val="595959" w:themeColor="text1" w:themeTint="A6"/>
                <w:szCs w:val="18"/>
              </w:rPr>
              <w:t>Noot</w:t>
            </w:r>
          </w:p>
        </w:tc>
        <w:tc>
          <w:tcPr>
            <w:tcW w:w="6529" w:type="dxa"/>
          </w:tcPr>
          <w:p w:rsidRPr="00303733" w:rsidR="003649FF" w:rsidP="00433ABC" w:rsidRDefault="003649FF">
            <w:pPr>
              <w:spacing w:after="240"/>
              <w:rPr>
                <w:color w:val="595959" w:themeColor="text1" w:themeTint="A6"/>
                <w:szCs w:val="18"/>
              </w:rPr>
            </w:pPr>
            <w:r w:rsidRPr="003649FF">
              <w:rPr>
                <w:color w:val="595959" w:themeColor="text1" w:themeTint="A6"/>
                <w:szCs w:val="18"/>
              </w:rPr>
              <w:t xml:space="preserve">In haar convergentieverslag concludeert de </w:t>
            </w:r>
            <w:r w:rsidR="00433ABC">
              <w:rPr>
                <w:color w:val="595959" w:themeColor="text1" w:themeTint="A6"/>
                <w:szCs w:val="18"/>
              </w:rPr>
              <w:t xml:space="preserve">Europese </w:t>
            </w:r>
            <w:r w:rsidRPr="003649FF">
              <w:rPr>
                <w:color w:val="595959" w:themeColor="text1" w:themeTint="A6"/>
                <w:szCs w:val="18"/>
              </w:rPr>
              <w:t>Commissie dat Kroatië voldoet aan de voorwaarden voor de aanneming van de euro.</w:t>
            </w:r>
            <w:r>
              <w:rPr>
                <w:color w:val="595959" w:themeColor="text1" w:themeTint="A6"/>
                <w:szCs w:val="18"/>
              </w:rPr>
              <w:t xml:space="preserve"> </w:t>
            </w:r>
            <w:r w:rsidRPr="003649FF">
              <w:rPr>
                <w:color w:val="595959" w:themeColor="text1" w:themeTint="A6"/>
                <w:szCs w:val="18"/>
              </w:rPr>
              <w:t xml:space="preserve">Op grond van </w:t>
            </w:r>
            <w:r w:rsidR="00433ABC">
              <w:rPr>
                <w:color w:val="595959" w:themeColor="text1" w:themeTint="A6"/>
                <w:szCs w:val="18"/>
              </w:rPr>
              <w:t>daarvan</w:t>
            </w:r>
            <w:r w:rsidRPr="003649FF">
              <w:rPr>
                <w:color w:val="595959" w:themeColor="text1" w:themeTint="A6"/>
                <w:szCs w:val="18"/>
              </w:rPr>
              <w:t xml:space="preserve"> heeft de Commissie haar goedkeuring gehecht aan het bijgaande voorstel voor een besluit van de Raad tot intrekking van de derogatie van Kroatië met ingang van 1 januari 2023.</w:t>
            </w:r>
          </w:p>
        </w:tc>
      </w:tr>
    </w:tbl>
    <w:p w:rsidRPr="00303733" w:rsidR="002A4BD8" w:rsidP="002A4BD8" w:rsidRDefault="002A4BD8">
      <w:pPr>
        <w:rPr>
          <w:szCs w:val="18"/>
        </w:rPr>
      </w:pPr>
    </w:p>
    <w:p w:rsidRPr="00303733" w:rsidR="002A4BD8" w:rsidP="002A4BD8" w:rsidRDefault="002A4BD8">
      <w:pPr>
        <w:rPr>
          <w:szCs w:val="18"/>
        </w:rPr>
      </w:pPr>
    </w:p>
    <w:p w:rsidRPr="00640AA0" w:rsidR="00820149" w:rsidP="00820149" w:rsidRDefault="00D27FE7">
      <w:pPr>
        <w:pStyle w:val="Lijstalinea"/>
        <w:numPr>
          <w:ilvl w:val="0"/>
          <w:numId w:val="2"/>
        </w:numPr>
        <w:rPr>
          <w:b/>
          <w:szCs w:val="18"/>
        </w:rPr>
      </w:pPr>
      <w:r w:rsidRPr="00303733">
        <w:rPr>
          <w:b/>
          <w:szCs w:val="18"/>
        </w:rPr>
        <w:lastRenderedPageBreak/>
        <w:t>Nieuwe</w:t>
      </w:r>
      <w:r w:rsidRPr="00303733" w:rsidR="008C43A5">
        <w:rPr>
          <w:b/>
          <w:szCs w:val="18"/>
        </w:rPr>
        <w:t xml:space="preserve"> EU-</w:t>
      </w:r>
      <w:r w:rsidRPr="00303733" w:rsidR="006E2C94">
        <w:rPr>
          <w:b/>
          <w:szCs w:val="18"/>
        </w:rPr>
        <w:t>documenten</w:t>
      </w:r>
      <w:r w:rsidRPr="00303733">
        <w:rPr>
          <w:b/>
          <w:szCs w:val="18"/>
        </w:rPr>
        <w:t xml:space="preserve"> van niet-wetgevende aard </w:t>
      </w:r>
      <w:r w:rsidRPr="00303733" w:rsidR="00E02D08">
        <w:rPr>
          <w:b/>
          <w:szCs w:val="18"/>
        </w:rPr>
        <w:br/>
      </w:r>
      <w:r w:rsidRPr="00303733" w:rsidR="00E02D08">
        <w:rPr>
          <w:szCs w:val="18"/>
        </w:rPr>
        <w:t>(M</w:t>
      </w:r>
      <w:r w:rsidRPr="00303733" w:rsidR="00820149">
        <w:rPr>
          <w:szCs w:val="18"/>
        </w:rPr>
        <w:t>edede</w:t>
      </w:r>
      <w:r w:rsidRPr="00303733">
        <w:rPr>
          <w:szCs w:val="18"/>
        </w:rPr>
        <w:t>lingen, aanbevelingen, actieplannen, consultaties, etc.</w:t>
      </w:r>
      <w:r w:rsidRPr="00303733" w:rsidR="00E02D08">
        <w:rPr>
          <w:szCs w:val="18"/>
        </w:rPr>
        <w:t>)</w:t>
      </w:r>
    </w:p>
    <w:p w:rsidRPr="00303733" w:rsidR="00640AA0" w:rsidP="00640AA0" w:rsidRDefault="00640AA0">
      <w:pPr>
        <w:pStyle w:val="Lijstalinea"/>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640AA0" w:rsidTr="009A33E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640AA0" w:rsidP="009A33E2" w:rsidRDefault="00640AA0">
            <w:pPr>
              <w:pStyle w:val="Lijstalinea"/>
              <w:numPr>
                <w:ilvl w:val="0"/>
                <w:numId w:val="10"/>
              </w:numPr>
              <w:spacing w:after="240"/>
              <w:ind w:left="312"/>
              <w:rPr>
                <w:color w:val="595959" w:themeColor="text1" w:themeTint="A6"/>
                <w:szCs w:val="18"/>
              </w:rPr>
            </w:pPr>
          </w:p>
        </w:tc>
        <w:tc>
          <w:tcPr>
            <w:tcW w:w="1035" w:type="dxa"/>
          </w:tcPr>
          <w:p w:rsidRPr="00303733" w:rsidR="00640AA0" w:rsidP="009A33E2" w:rsidRDefault="00640AA0">
            <w:pPr>
              <w:spacing w:after="240"/>
              <w:rPr>
                <w:color w:val="595959" w:themeColor="text1" w:themeTint="A6"/>
                <w:szCs w:val="18"/>
              </w:rPr>
            </w:pPr>
            <w:r w:rsidRPr="00303733">
              <w:rPr>
                <w:color w:val="595959" w:themeColor="text1" w:themeTint="A6"/>
                <w:szCs w:val="18"/>
              </w:rPr>
              <w:t>Titel</w:t>
            </w:r>
          </w:p>
        </w:tc>
        <w:tc>
          <w:tcPr>
            <w:tcW w:w="6529" w:type="dxa"/>
          </w:tcPr>
          <w:p w:rsidRPr="00303733" w:rsidR="00640AA0" w:rsidP="009A33E2" w:rsidRDefault="003649FF">
            <w:pPr>
              <w:spacing w:after="240"/>
              <w:rPr>
                <w:b/>
                <w:color w:val="595959" w:themeColor="text1" w:themeTint="A6"/>
                <w:szCs w:val="18"/>
              </w:rPr>
            </w:pPr>
            <w:r>
              <w:rPr>
                <w:szCs w:val="18"/>
                <w:lang w:val="en-US"/>
              </w:rPr>
              <w:t xml:space="preserve">VERSLAG VAN DE COMMISSIE AAN HET EUROPEES PARLEMENT EN DE RAAD op grond van artikel 85, lid 2, van Verordening (EU) nr. 648/2012 van het Europees Parlement en de Raad van 4 juli 2012 betreffende otc-derivaten, centrale tegenpartijen en transactieregisters, zoals gewijzigd bij Verordening (EU) 2019/834, waarbij wordt beoordeeld of er haalbare technische oplossingen zijn ontwikkeld voor het overdragen door pensioenregelingen van contanten en andere zekerheden dan contanten als variatiemarges en of er behoefte is aan maatregelen om die haalbare technische oplossingen te faciliteren </w:t>
            </w:r>
            <w:hyperlink w:history="1" r:id="rId16">
              <w:r>
                <w:rPr>
                  <w:rStyle w:val="Hyperlink"/>
                  <w:szCs w:val="18"/>
                  <w:lang w:val="en-US"/>
                </w:rPr>
                <w:t>COM(2022)254</w:t>
              </w:r>
            </w:hyperlink>
          </w:p>
        </w:tc>
      </w:tr>
      <w:tr w:rsidRPr="00303733" w:rsidR="00640AA0"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640AA0" w:rsidP="009A33E2" w:rsidRDefault="00640AA0">
            <w:pPr>
              <w:spacing w:after="240"/>
              <w:rPr>
                <w:szCs w:val="18"/>
              </w:rPr>
            </w:pPr>
          </w:p>
        </w:tc>
        <w:tc>
          <w:tcPr>
            <w:tcW w:w="1035" w:type="dxa"/>
          </w:tcPr>
          <w:p w:rsidRPr="00303733" w:rsidR="00640AA0" w:rsidP="009A33E2" w:rsidRDefault="00640AA0">
            <w:pPr>
              <w:spacing w:after="240"/>
              <w:rPr>
                <w:szCs w:val="18"/>
              </w:rPr>
            </w:pPr>
            <w:r w:rsidRPr="00303733">
              <w:rPr>
                <w:szCs w:val="18"/>
              </w:rPr>
              <w:t>Voorstel</w:t>
            </w:r>
          </w:p>
        </w:tc>
        <w:tc>
          <w:tcPr>
            <w:tcW w:w="6529" w:type="dxa"/>
          </w:tcPr>
          <w:p w:rsidRPr="00303733" w:rsidR="00640AA0" w:rsidP="009A33E2" w:rsidRDefault="00433ABC">
            <w:pPr>
              <w:spacing w:after="240"/>
              <w:rPr>
                <w:szCs w:val="18"/>
              </w:rPr>
            </w:pPr>
            <w:r>
              <w:rPr>
                <w:szCs w:val="18"/>
              </w:rPr>
              <w:t>Voor kennisgeving aannemen.</w:t>
            </w:r>
          </w:p>
        </w:tc>
      </w:tr>
      <w:tr w:rsidRPr="00303733" w:rsidR="00640AA0"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640AA0" w:rsidP="009A33E2" w:rsidRDefault="00640AA0">
            <w:pPr>
              <w:spacing w:after="240"/>
              <w:rPr>
                <w:color w:val="595959" w:themeColor="text1" w:themeTint="A6"/>
                <w:szCs w:val="18"/>
              </w:rPr>
            </w:pPr>
          </w:p>
        </w:tc>
        <w:tc>
          <w:tcPr>
            <w:tcW w:w="1035" w:type="dxa"/>
          </w:tcPr>
          <w:p w:rsidRPr="00303733" w:rsidR="00640AA0" w:rsidP="009A33E2" w:rsidRDefault="00640AA0">
            <w:pPr>
              <w:spacing w:after="240"/>
              <w:rPr>
                <w:color w:val="595959" w:themeColor="text1" w:themeTint="A6"/>
                <w:szCs w:val="18"/>
              </w:rPr>
            </w:pPr>
            <w:r w:rsidRPr="00303733">
              <w:rPr>
                <w:color w:val="595959" w:themeColor="text1" w:themeTint="A6"/>
                <w:szCs w:val="18"/>
              </w:rPr>
              <w:t>Noot</w:t>
            </w:r>
          </w:p>
        </w:tc>
        <w:tc>
          <w:tcPr>
            <w:tcW w:w="6529" w:type="dxa"/>
          </w:tcPr>
          <w:p w:rsidR="00433ABC" w:rsidP="00433ABC" w:rsidRDefault="00433ABC">
            <w:pPr>
              <w:spacing w:after="240"/>
              <w:rPr>
                <w:color w:val="595959" w:themeColor="text1" w:themeTint="A6"/>
                <w:szCs w:val="18"/>
              </w:rPr>
            </w:pPr>
            <w:r w:rsidRPr="00433ABC">
              <w:rPr>
                <w:color w:val="595959" w:themeColor="text1" w:themeTint="A6"/>
                <w:szCs w:val="18"/>
              </w:rPr>
              <w:t xml:space="preserve">De </w:t>
            </w:r>
            <w:r>
              <w:rPr>
                <w:color w:val="595959" w:themeColor="text1" w:themeTint="A6"/>
                <w:szCs w:val="18"/>
              </w:rPr>
              <w:t>EMIR-verordening</w:t>
            </w:r>
            <w:r w:rsidRPr="00433ABC">
              <w:rPr>
                <w:color w:val="595959" w:themeColor="text1" w:themeTint="A6"/>
                <w:szCs w:val="18"/>
              </w:rPr>
              <w:t xml:space="preserve"> bevat een tijdelijke vrijstelling van de centrale clearingverplichting voor entiteiten die pensioenregelingen uitvoeren met betrekking tot bepaalde soorten otc-derivaten De vrijstelling is sinds 2012 verschillende malen verlengd Momenteel geldt deze vrijstelling tot en met 18 juni 2022. De Commissie kan een gedelegeerde handeling vaststellen waarbij de vrijstelling voor de laatste keer wordt verlengd tot juni 2023.</w:t>
            </w:r>
            <w:r>
              <w:rPr>
                <w:color w:val="595959" w:themeColor="text1" w:themeTint="A6"/>
                <w:szCs w:val="18"/>
              </w:rPr>
              <w:t xml:space="preserve"> </w:t>
            </w:r>
          </w:p>
          <w:p w:rsidR="00433ABC" w:rsidP="00433ABC" w:rsidRDefault="00433ABC">
            <w:pPr>
              <w:spacing w:after="240"/>
              <w:rPr>
                <w:color w:val="595959" w:themeColor="text1" w:themeTint="A6"/>
                <w:szCs w:val="18"/>
              </w:rPr>
            </w:pPr>
            <w:r>
              <w:rPr>
                <w:color w:val="595959" w:themeColor="text1" w:themeTint="A6"/>
                <w:szCs w:val="18"/>
              </w:rPr>
              <w:t>H</w:t>
            </w:r>
            <w:r w:rsidRPr="00433ABC">
              <w:rPr>
                <w:color w:val="595959" w:themeColor="text1" w:themeTint="A6"/>
                <w:szCs w:val="18"/>
              </w:rPr>
              <w:t xml:space="preserve">et risico </w:t>
            </w:r>
            <w:r>
              <w:rPr>
                <w:color w:val="595959" w:themeColor="text1" w:themeTint="A6"/>
                <w:szCs w:val="18"/>
              </w:rPr>
              <w:t xml:space="preserve">bestaat </w:t>
            </w:r>
            <w:r w:rsidRPr="00433ABC">
              <w:rPr>
                <w:color w:val="595959" w:themeColor="text1" w:themeTint="A6"/>
                <w:szCs w:val="18"/>
              </w:rPr>
              <w:t>dat het vroegtijdig verplichten van pensioenregelingen om otc-derivatencontracten centraal te clearen ertoe kan leiden dat pensioenregelingen, teneinde aan de mogelijke margevereisten van de CTP’s te voldoen, een aanzienlijk deel van hun activa afstoten voor contanten om kapitaalbuffers op te bouwen, waardoor er minder middelen worden toegewezen aan beleggingen die inkomsten genereren om toekomstige pensioenen te dekken. Niettemin blijft het uiteindelijke doel van de verordening om zo snel mogelijk een centrale clearing in te voeren voor pensioenregelingen.</w:t>
            </w:r>
            <w:r>
              <w:t xml:space="preserve"> </w:t>
            </w:r>
            <w:r w:rsidRPr="00433ABC">
              <w:rPr>
                <w:color w:val="595959" w:themeColor="text1" w:themeTint="A6"/>
                <w:szCs w:val="18"/>
              </w:rPr>
              <w:t xml:space="preserve">Dit is het derde verslag van de Commissie, waarin wordt beoordeeld of </w:t>
            </w:r>
            <w:r>
              <w:rPr>
                <w:color w:val="595959" w:themeColor="text1" w:themeTint="A6"/>
                <w:szCs w:val="18"/>
              </w:rPr>
              <w:t xml:space="preserve">hiervoor </w:t>
            </w:r>
            <w:r w:rsidRPr="00433ABC">
              <w:rPr>
                <w:color w:val="595959" w:themeColor="text1" w:themeTint="A6"/>
                <w:szCs w:val="18"/>
              </w:rPr>
              <w:t>haalbare technische oplossingen zijn ontwikkeld</w:t>
            </w:r>
            <w:r>
              <w:rPr>
                <w:color w:val="595959" w:themeColor="text1" w:themeTint="A6"/>
                <w:szCs w:val="18"/>
              </w:rPr>
              <w:t>.</w:t>
            </w:r>
          </w:p>
          <w:p w:rsidR="00433ABC" w:rsidP="00433ABC" w:rsidRDefault="00433ABC">
            <w:pPr>
              <w:spacing w:after="240"/>
              <w:rPr>
                <w:color w:val="595959" w:themeColor="text1" w:themeTint="A6"/>
                <w:szCs w:val="18"/>
              </w:rPr>
            </w:pPr>
            <w:r>
              <w:rPr>
                <w:color w:val="595959" w:themeColor="text1" w:themeTint="A6"/>
                <w:szCs w:val="18"/>
              </w:rPr>
              <w:t xml:space="preserve">De Commissie concludeert </w:t>
            </w:r>
            <w:r w:rsidRPr="00433ABC">
              <w:rPr>
                <w:color w:val="595959" w:themeColor="text1" w:themeTint="A6"/>
                <w:szCs w:val="18"/>
              </w:rPr>
              <w:t xml:space="preserve">dat sinds 2019 aanzienlijke vooruitgang is geboekt in de richting van centrale clearing voor pensioenregelingen, </w:t>
            </w:r>
            <w:r>
              <w:rPr>
                <w:color w:val="595959" w:themeColor="text1" w:themeTint="A6"/>
                <w:szCs w:val="18"/>
              </w:rPr>
              <w:t xml:space="preserve">maar dat </w:t>
            </w:r>
            <w:r w:rsidRPr="00433ABC">
              <w:rPr>
                <w:color w:val="595959" w:themeColor="text1" w:themeTint="A6"/>
                <w:szCs w:val="18"/>
              </w:rPr>
              <w:t>verdere operationele stappen nodig</w:t>
            </w:r>
            <w:r>
              <w:rPr>
                <w:color w:val="595959" w:themeColor="text1" w:themeTint="A6"/>
                <w:szCs w:val="18"/>
              </w:rPr>
              <w:t xml:space="preserve"> zijn</w:t>
            </w:r>
            <w:r w:rsidRPr="00433ABC">
              <w:rPr>
                <w:color w:val="595959" w:themeColor="text1" w:themeTint="A6"/>
                <w:szCs w:val="18"/>
              </w:rPr>
              <w:t>. Om deze redenen zal de Commissie de clearingvrijstelling voor pensioenregelingen met een laatste jaar verlengen. Met ingang van 19 juni 2023 zullen de pensioenregelingen in het kader van EMIR verplicht moeten clearen.</w:t>
            </w:r>
          </w:p>
          <w:p w:rsidRPr="00303733" w:rsidR="00640AA0" w:rsidP="00433ABC" w:rsidRDefault="00640AA0">
            <w:pPr>
              <w:spacing w:after="240"/>
              <w:rPr>
                <w:color w:val="595959" w:themeColor="text1" w:themeTint="A6"/>
                <w:szCs w:val="18"/>
              </w:rPr>
            </w:pPr>
          </w:p>
        </w:tc>
      </w:tr>
    </w:tbl>
    <w:p w:rsidR="00DF5A2E" w:rsidP="00356EF4"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3649FF" w:rsidTr="009A33E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3649FF" w:rsidP="009A33E2" w:rsidRDefault="003649FF">
            <w:pPr>
              <w:pStyle w:val="Lijstalinea"/>
              <w:numPr>
                <w:ilvl w:val="0"/>
                <w:numId w:val="10"/>
              </w:numPr>
              <w:spacing w:after="240"/>
              <w:ind w:left="312"/>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Titel</w:t>
            </w:r>
          </w:p>
        </w:tc>
        <w:tc>
          <w:tcPr>
            <w:tcW w:w="6529" w:type="dxa"/>
          </w:tcPr>
          <w:p w:rsidRPr="00303733" w:rsidR="003649FF" w:rsidP="00630C2B" w:rsidRDefault="003649FF">
            <w:pPr>
              <w:spacing w:after="240"/>
              <w:rPr>
                <w:b/>
                <w:color w:val="595959" w:themeColor="text1" w:themeTint="A6"/>
                <w:szCs w:val="18"/>
              </w:rPr>
            </w:pPr>
            <w:r>
              <w:rPr>
                <w:szCs w:val="18"/>
                <w:lang w:val="en-US"/>
              </w:rPr>
              <w:t xml:space="preserve">MEDEDELING VAN DE COMMISSIE AAN DE RAAD Financiële informatie over het Europees Ontwikkelingsfonds (EOF): financiële uitvoering 2021 en prognoses voor 2022–2025 </w:t>
            </w:r>
            <w:hyperlink w:history="1" r:id="rId17">
              <w:r>
                <w:rPr>
                  <w:rStyle w:val="Hyperlink"/>
                  <w:szCs w:val="18"/>
                  <w:lang w:val="en-US"/>
                </w:rPr>
                <w:t>COM(2022)264</w:t>
              </w:r>
            </w:hyperlink>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szCs w:val="18"/>
              </w:rPr>
            </w:pPr>
          </w:p>
        </w:tc>
        <w:tc>
          <w:tcPr>
            <w:tcW w:w="1035" w:type="dxa"/>
          </w:tcPr>
          <w:p w:rsidRPr="00303733" w:rsidR="003649FF" w:rsidP="009A33E2" w:rsidRDefault="003649FF">
            <w:pPr>
              <w:spacing w:after="240"/>
              <w:rPr>
                <w:szCs w:val="18"/>
              </w:rPr>
            </w:pPr>
            <w:r w:rsidRPr="00303733">
              <w:rPr>
                <w:szCs w:val="18"/>
              </w:rPr>
              <w:t>Voorstel</w:t>
            </w:r>
          </w:p>
        </w:tc>
        <w:tc>
          <w:tcPr>
            <w:tcW w:w="6529" w:type="dxa"/>
          </w:tcPr>
          <w:p w:rsidRPr="00303733" w:rsidR="003649FF" w:rsidP="009A33E2" w:rsidRDefault="00630C2B">
            <w:pPr>
              <w:spacing w:after="240"/>
              <w:rPr>
                <w:szCs w:val="18"/>
              </w:rPr>
            </w:pPr>
            <w:r>
              <w:rPr>
                <w:szCs w:val="18"/>
              </w:rPr>
              <w:t>Voor kennisgeving aannemen.</w:t>
            </w:r>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Noot</w:t>
            </w:r>
          </w:p>
        </w:tc>
        <w:tc>
          <w:tcPr>
            <w:tcW w:w="6529" w:type="dxa"/>
          </w:tcPr>
          <w:p w:rsidRPr="00303733" w:rsidR="003649FF" w:rsidP="00630C2B" w:rsidRDefault="00630C2B">
            <w:pPr>
              <w:spacing w:after="240"/>
              <w:rPr>
                <w:color w:val="595959" w:themeColor="text1" w:themeTint="A6"/>
                <w:szCs w:val="18"/>
              </w:rPr>
            </w:pPr>
            <w:r>
              <w:rPr>
                <w:color w:val="595959" w:themeColor="text1" w:themeTint="A6"/>
                <w:szCs w:val="18"/>
              </w:rPr>
              <w:t>In deze mededeling presenteert</w:t>
            </w:r>
            <w:r w:rsidRPr="00630C2B">
              <w:rPr>
                <w:color w:val="595959" w:themeColor="text1" w:themeTint="A6"/>
                <w:szCs w:val="18"/>
              </w:rPr>
              <w:t xml:space="preserve"> de Commissie de vastleggingen, betalingen en bijdragen die in 2021 tot stand zijn gekomen en die in de periode 2</w:t>
            </w:r>
            <w:r>
              <w:rPr>
                <w:color w:val="595959" w:themeColor="text1" w:themeTint="A6"/>
                <w:szCs w:val="18"/>
              </w:rPr>
              <w:t xml:space="preserve">022 en 2023 moeten plaatsvinden in het kader van het Europees Ontwikkelingsfonds. </w:t>
            </w:r>
          </w:p>
        </w:tc>
      </w:tr>
    </w:tbl>
    <w:p w:rsidR="003649FF" w:rsidP="00356EF4" w:rsidRDefault="003649F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3649FF" w:rsidTr="009A33E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3649FF" w:rsidP="009A33E2" w:rsidRDefault="003649FF">
            <w:pPr>
              <w:pStyle w:val="Lijstalinea"/>
              <w:numPr>
                <w:ilvl w:val="0"/>
                <w:numId w:val="10"/>
              </w:numPr>
              <w:spacing w:after="240"/>
              <w:ind w:left="312"/>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Titel</w:t>
            </w:r>
          </w:p>
        </w:tc>
        <w:tc>
          <w:tcPr>
            <w:tcW w:w="6529" w:type="dxa"/>
          </w:tcPr>
          <w:p w:rsidRPr="00303733" w:rsidR="003649FF" w:rsidP="009A33E2" w:rsidRDefault="003649FF">
            <w:pPr>
              <w:spacing w:after="240"/>
              <w:rPr>
                <w:b/>
                <w:color w:val="595959" w:themeColor="text1" w:themeTint="A6"/>
                <w:szCs w:val="18"/>
              </w:rPr>
            </w:pPr>
            <w:r>
              <w:rPr>
                <w:szCs w:val="18"/>
                <w:lang w:val="en-US"/>
              </w:rPr>
              <w:t xml:space="preserve">Voorstel voor een BESLUIT VAN DE RAAD tot vaststelling van de door de partijen bij het Europees Ontwikkelingsfonds te betalen financiële bijdragen, met inbegrip van de tweede tranche voor 2022 </w:t>
            </w:r>
            <w:hyperlink w:history="1" r:id="rId18">
              <w:r>
                <w:rPr>
                  <w:rStyle w:val="Hyperlink"/>
                  <w:szCs w:val="18"/>
                  <w:lang w:val="en-US"/>
                </w:rPr>
                <w:t>COM(2022)265</w:t>
              </w:r>
            </w:hyperlink>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szCs w:val="18"/>
              </w:rPr>
            </w:pPr>
          </w:p>
        </w:tc>
        <w:tc>
          <w:tcPr>
            <w:tcW w:w="1035" w:type="dxa"/>
          </w:tcPr>
          <w:p w:rsidRPr="00303733" w:rsidR="003649FF" w:rsidP="009A33E2" w:rsidRDefault="003649FF">
            <w:pPr>
              <w:spacing w:after="240"/>
              <w:rPr>
                <w:szCs w:val="18"/>
              </w:rPr>
            </w:pPr>
            <w:r w:rsidRPr="00303733">
              <w:rPr>
                <w:szCs w:val="18"/>
              </w:rPr>
              <w:t>Voorstel</w:t>
            </w:r>
          </w:p>
        </w:tc>
        <w:tc>
          <w:tcPr>
            <w:tcW w:w="6529" w:type="dxa"/>
          </w:tcPr>
          <w:p w:rsidRPr="00303733" w:rsidR="003649FF" w:rsidP="009A33E2" w:rsidRDefault="00630C2B">
            <w:pPr>
              <w:spacing w:after="240"/>
              <w:rPr>
                <w:szCs w:val="18"/>
              </w:rPr>
            </w:pPr>
            <w:r>
              <w:rPr>
                <w:szCs w:val="18"/>
              </w:rPr>
              <w:t>Voor kennisgeving aannemen</w:t>
            </w:r>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Noot</w:t>
            </w:r>
          </w:p>
        </w:tc>
        <w:tc>
          <w:tcPr>
            <w:tcW w:w="6529" w:type="dxa"/>
          </w:tcPr>
          <w:p w:rsidRPr="00303733" w:rsidR="003649FF" w:rsidP="00630C2B" w:rsidRDefault="00630C2B">
            <w:pPr>
              <w:spacing w:after="240"/>
              <w:rPr>
                <w:color w:val="595959" w:themeColor="text1" w:themeTint="A6"/>
                <w:szCs w:val="18"/>
              </w:rPr>
            </w:pPr>
            <w:r w:rsidRPr="00630C2B">
              <w:rPr>
                <w:color w:val="595959" w:themeColor="text1" w:themeTint="A6"/>
                <w:szCs w:val="18"/>
              </w:rPr>
              <w:t>Het voorstel betreft een ontwerpbesluit van de Raad over de tweede tranche van de financiële bijdragen aan het Europees Ontwikkelingsfonds  die de partijen bij het EOF in 2022 moeten betalen.</w:t>
            </w:r>
            <w:r>
              <w:rPr>
                <w:color w:val="595959" w:themeColor="text1" w:themeTint="A6"/>
                <w:szCs w:val="18"/>
              </w:rPr>
              <w:t xml:space="preserve"> Voor Nederland betreft dit EUR </w:t>
            </w:r>
            <w:r w:rsidRPr="00630C2B">
              <w:rPr>
                <w:color w:val="595959" w:themeColor="text1" w:themeTint="A6"/>
                <w:szCs w:val="18"/>
              </w:rPr>
              <w:t>42 991 020</w:t>
            </w:r>
            <w:r>
              <w:rPr>
                <w:color w:val="595959" w:themeColor="text1" w:themeTint="A6"/>
                <w:szCs w:val="18"/>
              </w:rPr>
              <w:t xml:space="preserve">. </w:t>
            </w:r>
          </w:p>
        </w:tc>
      </w:tr>
    </w:tbl>
    <w:p w:rsidR="003649FF" w:rsidP="00356EF4" w:rsidRDefault="003649F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3649FF" w:rsidTr="009A33E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3649FF" w:rsidP="009A33E2" w:rsidRDefault="003649FF">
            <w:pPr>
              <w:pStyle w:val="Lijstalinea"/>
              <w:numPr>
                <w:ilvl w:val="0"/>
                <w:numId w:val="10"/>
              </w:numPr>
              <w:spacing w:after="240"/>
              <w:ind w:left="312"/>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Titel</w:t>
            </w:r>
          </w:p>
        </w:tc>
        <w:tc>
          <w:tcPr>
            <w:tcW w:w="6529" w:type="dxa"/>
          </w:tcPr>
          <w:p w:rsidRPr="00303733" w:rsidR="003649FF" w:rsidP="009A33E2" w:rsidRDefault="003649FF">
            <w:pPr>
              <w:spacing w:after="240"/>
              <w:rPr>
                <w:b/>
                <w:color w:val="595959" w:themeColor="text1" w:themeTint="A6"/>
                <w:szCs w:val="18"/>
              </w:rPr>
            </w:pPr>
            <w:r>
              <w:rPr>
                <w:szCs w:val="18"/>
                <w:lang w:val="en-US"/>
              </w:rPr>
              <w:t xml:space="preserve">Voorstel voor een UITVOERINGSBESLUIT VAN DE RAAD betreffende de goedkeuring van de beoordeling van het herstel- en veerkrachtplan voor Polen </w:t>
            </w:r>
            <w:hyperlink w:history="1" r:id="rId19">
              <w:r>
                <w:rPr>
                  <w:rStyle w:val="Hyperlink"/>
                  <w:szCs w:val="18"/>
                  <w:lang w:val="en-US"/>
                </w:rPr>
                <w:t>COM(2022)268</w:t>
              </w:r>
            </w:hyperlink>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szCs w:val="18"/>
              </w:rPr>
            </w:pPr>
          </w:p>
        </w:tc>
        <w:tc>
          <w:tcPr>
            <w:tcW w:w="1035" w:type="dxa"/>
          </w:tcPr>
          <w:p w:rsidRPr="00303733" w:rsidR="003649FF" w:rsidP="009A33E2" w:rsidRDefault="003649FF">
            <w:pPr>
              <w:spacing w:after="240"/>
              <w:rPr>
                <w:szCs w:val="18"/>
              </w:rPr>
            </w:pPr>
            <w:r w:rsidRPr="00303733">
              <w:rPr>
                <w:szCs w:val="18"/>
              </w:rPr>
              <w:t>Voorstel</w:t>
            </w:r>
          </w:p>
        </w:tc>
        <w:tc>
          <w:tcPr>
            <w:tcW w:w="6529" w:type="dxa"/>
          </w:tcPr>
          <w:p w:rsidRPr="00303733" w:rsidR="003649FF" w:rsidP="00630C2B" w:rsidRDefault="00630C2B">
            <w:pPr>
              <w:spacing w:after="240"/>
              <w:rPr>
                <w:szCs w:val="18"/>
              </w:rPr>
            </w:pPr>
            <w:r w:rsidRPr="00630C2B">
              <w:rPr>
                <w:szCs w:val="18"/>
              </w:rPr>
              <w:t xml:space="preserve">Desgewenst betrokken bij commissiedebat Eurogroep/Ecofin van </w:t>
            </w:r>
            <w:r>
              <w:rPr>
                <w:szCs w:val="18"/>
              </w:rPr>
              <w:t xml:space="preserve">8 juni </w:t>
            </w:r>
            <w:r w:rsidRPr="00630C2B">
              <w:rPr>
                <w:szCs w:val="18"/>
              </w:rPr>
              <w:t>jl.</w:t>
            </w:r>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Noot</w:t>
            </w:r>
          </w:p>
        </w:tc>
        <w:tc>
          <w:tcPr>
            <w:tcW w:w="6529" w:type="dxa"/>
          </w:tcPr>
          <w:p w:rsidRPr="00303733" w:rsidR="003649FF" w:rsidP="00630C2B" w:rsidRDefault="00630C2B">
            <w:pPr>
              <w:spacing w:after="240"/>
              <w:rPr>
                <w:color w:val="595959" w:themeColor="text1" w:themeTint="A6"/>
                <w:szCs w:val="18"/>
              </w:rPr>
            </w:pPr>
            <w:r>
              <w:rPr>
                <w:color w:val="595959" w:themeColor="text1" w:themeTint="A6"/>
                <w:szCs w:val="18"/>
              </w:rPr>
              <w:t xml:space="preserve">Dit betreft het voorstel van de Europese Commissie voor een uitvoeringsbesluit van de Raad ter </w:t>
            </w:r>
            <w:r w:rsidRPr="00630C2B">
              <w:rPr>
                <w:color w:val="595959" w:themeColor="text1" w:themeTint="A6"/>
                <w:szCs w:val="18"/>
              </w:rPr>
              <w:t xml:space="preserve">goedkeuring van </w:t>
            </w:r>
            <w:r>
              <w:rPr>
                <w:color w:val="595959" w:themeColor="text1" w:themeTint="A6"/>
                <w:szCs w:val="18"/>
              </w:rPr>
              <w:t xml:space="preserve">het </w:t>
            </w:r>
            <w:r w:rsidRPr="00630C2B">
              <w:rPr>
                <w:color w:val="595959" w:themeColor="text1" w:themeTint="A6"/>
                <w:szCs w:val="18"/>
              </w:rPr>
              <w:t>herstel- en veerkrachtplan voor Polen</w:t>
            </w:r>
            <w:r>
              <w:rPr>
                <w:color w:val="595959" w:themeColor="text1" w:themeTint="A6"/>
                <w:szCs w:val="18"/>
              </w:rPr>
              <w:t xml:space="preserve">. U bent hier middels de Kamerbrief van 14 juni jl. reeds over </w:t>
            </w:r>
            <w:r w:rsidRPr="00630C2B">
              <w:rPr>
                <w:color w:val="595959" w:themeColor="text1" w:themeTint="A6"/>
                <w:szCs w:val="18"/>
              </w:rPr>
              <w:t>geïnformeerd</w:t>
            </w:r>
            <w:r>
              <w:rPr>
                <w:color w:val="595959" w:themeColor="text1" w:themeTint="A6"/>
                <w:szCs w:val="18"/>
              </w:rPr>
              <w:t xml:space="preserve">. </w:t>
            </w:r>
          </w:p>
        </w:tc>
      </w:tr>
    </w:tbl>
    <w:p w:rsidR="003649FF" w:rsidP="00356EF4" w:rsidRDefault="003649F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3649FF" w:rsidTr="009A33E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3649FF" w:rsidP="009A33E2" w:rsidRDefault="003649FF">
            <w:pPr>
              <w:pStyle w:val="Lijstalinea"/>
              <w:numPr>
                <w:ilvl w:val="0"/>
                <w:numId w:val="10"/>
              </w:numPr>
              <w:spacing w:after="240"/>
              <w:ind w:left="312"/>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Titel</w:t>
            </w:r>
          </w:p>
        </w:tc>
        <w:tc>
          <w:tcPr>
            <w:tcW w:w="6529" w:type="dxa"/>
          </w:tcPr>
          <w:p w:rsidRPr="003649FF" w:rsidR="003649FF" w:rsidP="009A33E2" w:rsidRDefault="003649FF">
            <w:pPr>
              <w:spacing w:after="240"/>
              <w:rPr>
                <w:szCs w:val="18"/>
                <w:lang w:val="en-US" w:eastAsia="nl-NL"/>
              </w:rPr>
            </w:pPr>
            <w:r>
              <w:rPr>
                <w:szCs w:val="18"/>
                <w:lang w:val="en-US"/>
              </w:rPr>
              <w:t xml:space="preserve">MEDEDELING VAN DE COMMISSIE waarbij formeel wordt erkend dat een aantal krachtens Richtlijn 89/130/EEG, Euratom van de Raad van 13 februari 1989 betreffende de harmonisatie van de opstelling van het bruto nationaal product tegen marktprijzen vastgestelde wetshandelingen achterhaald is </w:t>
            </w:r>
            <w:hyperlink w:history="1" r:id="rId20">
              <w:r>
                <w:rPr>
                  <w:rStyle w:val="Hyperlink"/>
                  <w:szCs w:val="18"/>
                  <w:lang w:val="en-US"/>
                </w:rPr>
                <w:t>COM(2022)274</w:t>
              </w:r>
            </w:hyperlink>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szCs w:val="18"/>
              </w:rPr>
            </w:pPr>
          </w:p>
        </w:tc>
        <w:tc>
          <w:tcPr>
            <w:tcW w:w="1035" w:type="dxa"/>
          </w:tcPr>
          <w:p w:rsidRPr="00303733" w:rsidR="003649FF" w:rsidP="009A33E2" w:rsidRDefault="003649FF">
            <w:pPr>
              <w:spacing w:after="240"/>
              <w:rPr>
                <w:szCs w:val="18"/>
              </w:rPr>
            </w:pPr>
            <w:r w:rsidRPr="00303733">
              <w:rPr>
                <w:szCs w:val="18"/>
              </w:rPr>
              <w:t>Voorstel</w:t>
            </w:r>
          </w:p>
        </w:tc>
        <w:tc>
          <w:tcPr>
            <w:tcW w:w="6529" w:type="dxa"/>
          </w:tcPr>
          <w:p w:rsidRPr="00303733" w:rsidR="003649FF" w:rsidP="009A33E2" w:rsidRDefault="00630C2B">
            <w:pPr>
              <w:spacing w:after="240"/>
              <w:rPr>
                <w:szCs w:val="18"/>
              </w:rPr>
            </w:pPr>
            <w:r>
              <w:rPr>
                <w:szCs w:val="18"/>
              </w:rPr>
              <w:t>Voor kennisgeving aannemen.</w:t>
            </w:r>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Noot</w:t>
            </w:r>
          </w:p>
        </w:tc>
        <w:tc>
          <w:tcPr>
            <w:tcW w:w="6529" w:type="dxa"/>
          </w:tcPr>
          <w:p w:rsidRPr="00303733" w:rsidR="003649FF" w:rsidP="00DE3FCE" w:rsidRDefault="00630C2B">
            <w:pPr>
              <w:spacing w:after="240"/>
              <w:rPr>
                <w:color w:val="595959" w:themeColor="text1" w:themeTint="A6"/>
                <w:szCs w:val="18"/>
              </w:rPr>
            </w:pPr>
            <w:r w:rsidRPr="00630C2B">
              <w:rPr>
                <w:color w:val="595959" w:themeColor="text1" w:themeTint="A6"/>
                <w:szCs w:val="18"/>
              </w:rPr>
              <w:t xml:space="preserve">In deze mededeling wordt formeel erkend dat </w:t>
            </w:r>
            <w:r w:rsidR="00DE3FCE">
              <w:rPr>
                <w:color w:val="595959" w:themeColor="text1" w:themeTint="A6"/>
                <w:szCs w:val="18"/>
              </w:rPr>
              <w:t>een aantal</w:t>
            </w:r>
            <w:r w:rsidRPr="00630C2B">
              <w:rPr>
                <w:color w:val="595959" w:themeColor="text1" w:themeTint="A6"/>
                <w:szCs w:val="18"/>
              </w:rPr>
              <w:t xml:space="preserve"> beschikkingen van de Commissie uit hoofde van Richtlijn 89/130/EEG van de Raad, die nog steeds van kracht zijn, achterhaald zijn</w:t>
            </w:r>
            <w:r w:rsidR="00DE3FCE">
              <w:rPr>
                <w:color w:val="595959" w:themeColor="text1" w:themeTint="A6"/>
                <w:szCs w:val="18"/>
              </w:rPr>
              <w:t xml:space="preserve"> en daarom zullen worden ingetrokken of reeds </w:t>
            </w:r>
            <w:r w:rsidRPr="00DE3FCE" w:rsidR="00DE3FCE">
              <w:rPr>
                <w:color w:val="595959" w:themeColor="text1" w:themeTint="A6"/>
                <w:szCs w:val="18"/>
              </w:rPr>
              <w:t>geen rechtsgevolgen meer</w:t>
            </w:r>
            <w:r w:rsidR="00DE3FCE">
              <w:rPr>
                <w:color w:val="595959" w:themeColor="text1" w:themeTint="A6"/>
                <w:szCs w:val="18"/>
              </w:rPr>
              <w:t xml:space="preserve"> hebben. </w:t>
            </w:r>
          </w:p>
        </w:tc>
      </w:tr>
    </w:tbl>
    <w:p w:rsidR="003649FF" w:rsidP="00356EF4" w:rsidRDefault="003649F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3649FF" w:rsidTr="009A33E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3649FF" w:rsidP="009A33E2" w:rsidRDefault="003649FF">
            <w:pPr>
              <w:pStyle w:val="Lijstalinea"/>
              <w:numPr>
                <w:ilvl w:val="0"/>
                <w:numId w:val="10"/>
              </w:numPr>
              <w:spacing w:after="240"/>
              <w:ind w:left="312"/>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Titel</w:t>
            </w:r>
          </w:p>
        </w:tc>
        <w:tc>
          <w:tcPr>
            <w:tcW w:w="6529" w:type="dxa"/>
          </w:tcPr>
          <w:p w:rsidRPr="00303733" w:rsidR="003649FF" w:rsidP="009A33E2" w:rsidRDefault="003649FF">
            <w:pPr>
              <w:spacing w:after="240"/>
              <w:rPr>
                <w:b/>
                <w:color w:val="595959" w:themeColor="text1" w:themeTint="A6"/>
                <w:szCs w:val="18"/>
              </w:rPr>
            </w:pPr>
            <w:r>
              <w:rPr>
                <w:szCs w:val="18"/>
                <w:lang w:val="en-US"/>
              </w:rPr>
              <w:t xml:space="preserve">REPORT FROM THE COMMISSION TO THE EUROPEAN PARLIAMENT, THE COUNCIL AND THE COURT OF AUDITORS Annual Management and Performance Report for the EU Budget - Financial Year 2021 </w:t>
            </w:r>
            <w:hyperlink w:history="1" r:id="rId21">
              <w:r>
                <w:rPr>
                  <w:rStyle w:val="Hyperlink"/>
                  <w:szCs w:val="18"/>
                  <w:lang w:val="en-US"/>
                </w:rPr>
                <w:t>COM(2022)401</w:t>
              </w:r>
            </w:hyperlink>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szCs w:val="18"/>
              </w:rPr>
            </w:pPr>
          </w:p>
        </w:tc>
        <w:tc>
          <w:tcPr>
            <w:tcW w:w="1035" w:type="dxa"/>
          </w:tcPr>
          <w:p w:rsidRPr="00303733" w:rsidR="003649FF" w:rsidP="009A33E2" w:rsidRDefault="003649FF">
            <w:pPr>
              <w:spacing w:after="240"/>
              <w:rPr>
                <w:szCs w:val="18"/>
              </w:rPr>
            </w:pPr>
            <w:r w:rsidRPr="00303733">
              <w:rPr>
                <w:szCs w:val="18"/>
              </w:rPr>
              <w:t>Voorstel</w:t>
            </w:r>
          </w:p>
        </w:tc>
        <w:tc>
          <w:tcPr>
            <w:tcW w:w="6529" w:type="dxa"/>
          </w:tcPr>
          <w:p w:rsidRPr="00303733" w:rsidR="003649FF" w:rsidP="009A33E2" w:rsidRDefault="00DE3FCE">
            <w:pPr>
              <w:spacing w:after="240"/>
              <w:rPr>
                <w:szCs w:val="18"/>
              </w:rPr>
            </w:pPr>
            <w:r>
              <w:rPr>
                <w:szCs w:val="18"/>
              </w:rPr>
              <w:t xml:space="preserve">Voor kennisgeving aannemen. </w:t>
            </w:r>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Noot</w:t>
            </w:r>
          </w:p>
        </w:tc>
        <w:tc>
          <w:tcPr>
            <w:tcW w:w="6529" w:type="dxa"/>
          </w:tcPr>
          <w:p w:rsidRPr="00303733" w:rsidR="003649FF" w:rsidP="00DE3FCE" w:rsidRDefault="00DE3FCE">
            <w:pPr>
              <w:spacing w:after="240"/>
              <w:rPr>
                <w:color w:val="595959" w:themeColor="text1" w:themeTint="A6"/>
                <w:szCs w:val="18"/>
              </w:rPr>
            </w:pPr>
            <w:r>
              <w:rPr>
                <w:color w:val="595959" w:themeColor="text1" w:themeTint="A6"/>
                <w:szCs w:val="18"/>
              </w:rPr>
              <w:t>Dit betreft h</w:t>
            </w:r>
            <w:r w:rsidRPr="00DE3FCE">
              <w:rPr>
                <w:color w:val="595959" w:themeColor="text1" w:themeTint="A6"/>
                <w:szCs w:val="18"/>
              </w:rPr>
              <w:t>et jaarlijkse beheers- en prestati</w:t>
            </w:r>
            <w:r>
              <w:rPr>
                <w:color w:val="595959" w:themeColor="text1" w:themeTint="A6"/>
                <w:szCs w:val="18"/>
              </w:rPr>
              <w:t>everslag voor de EU-begroting (b</w:t>
            </w:r>
            <w:r w:rsidRPr="00DE3FCE">
              <w:rPr>
                <w:color w:val="595959" w:themeColor="text1" w:themeTint="A6"/>
                <w:szCs w:val="18"/>
              </w:rPr>
              <w:t>egrotingsjaar 2021</w:t>
            </w:r>
            <w:r>
              <w:rPr>
                <w:color w:val="595959" w:themeColor="text1" w:themeTint="A6"/>
                <w:szCs w:val="18"/>
              </w:rPr>
              <w:t xml:space="preserve">), in het licht van de decharge-procedure </w:t>
            </w:r>
            <w:r w:rsidRPr="00DE3FCE">
              <w:rPr>
                <w:color w:val="595959" w:themeColor="text1" w:themeTint="A6"/>
                <w:szCs w:val="18"/>
              </w:rPr>
              <w:t>waarmee het Europees Parlement en de Raad de uitvoering van de EU-begroting</w:t>
            </w:r>
            <w:r>
              <w:rPr>
                <w:color w:val="595959" w:themeColor="text1" w:themeTint="A6"/>
                <w:szCs w:val="18"/>
              </w:rPr>
              <w:t xml:space="preserve"> beoordelen</w:t>
            </w:r>
            <w:r w:rsidRPr="00DE3FCE">
              <w:rPr>
                <w:color w:val="595959" w:themeColor="text1" w:themeTint="A6"/>
                <w:szCs w:val="18"/>
              </w:rPr>
              <w:t xml:space="preserve">. </w:t>
            </w:r>
            <w:r>
              <w:rPr>
                <w:color w:val="595959" w:themeColor="text1" w:themeTint="A6"/>
                <w:szCs w:val="18"/>
              </w:rPr>
              <w:t xml:space="preserve">In het rapport een grote rol voor de fondsen die de EU heeft aangetrokken in het kader van NextGenerationEU. </w:t>
            </w:r>
          </w:p>
        </w:tc>
      </w:tr>
    </w:tbl>
    <w:p w:rsidR="003649FF" w:rsidP="00356EF4" w:rsidRDefault="003649F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3649FF" w:rsidTr="009A33E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3649FF" w:rsidP="009A33E2" w:rsidRDefault="003649FF">
            <w:pPr>
              <w:pStyle w:val="Lijstalinea"/>
              <w:numPr>
                <w:ilvl w:val="0"/>
                <w:numId w:val="10"/>
              </w:numPr>
              <w:spacing w:after="240"/>
              <w:ind w:left="312"/>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Titel</w:t>
            </w:r>
          </w:p>
        </w:tc>
        <w:tc>
          <w:tcPr>
            <w:tcW w:w="6529" w:type="dxa"/>
          </w:tcPr>
          <w:p w:rsidRPr="00DE3FCE" w:rsidR="003649FF" w:rsidP="00DE3FCE" w:rsidRDefault="003649FF">
            <w:pPr>
              <w:shd w:val="clear" w:color="auto" w:fill="FFFFFF"/>
              <w:spacing w:after="75"/>
              <w:rPr>
                <w:szCs w:val="18"/>
                <w:lang w:eastAsia="nl-NL"/>
              </w:rPr>
            </w:pPr>
            <w:r>
              <w:rPr>
                <w:szCs w:val="18"/>
              </w:rPr>
              <w:t xml:space="preserve">REPORT FROM THE COMMISSION TO THE EUROPEAN PARLIAMENT AND THE COUNCIL CONVERGENCE REPORT 2022 (prepared in accordance with Article 140(1) of the Treaty on the Functioning of the European Union) </w:t>
            </w:r>
            <w:hyperlink w:history="1" r:id="rId22">
              <w:r>
                <w:rPr>
                  <w:rStyle w:val="Hyperlink"/>
                  <w:szCs w:val="18"/>
                </w:rPr>
                <w:t>COM(2022)280</w:t>
              </w:r>
            </w:hyperlink>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szCs w:val="18"/>
              </w:rPr>
            </w:pPr>
          </w:p>
        </w:tc>
        <w:tc>
          <w:tcPr>
            <w:tcW w:w="1035" w:type="dxa"/>
          </w:tcPr>
          <w:p w:rsidRPr="00303733" w:rsidR="003649FF" w:rsidP="009A33E2" w:rsidRDefault="003649FF">
            <w:pPr>
              <w:spacing w:after="240"/>
              <w:rPr>
                <w:szCs w:val="18"/>
              </w:rPr>
            </w:pPr>
            <w:r w:rsidRPr="00303733">
              <w:rPr>
                <w:szCs w:val="18"/>
              </w:rPr>
              <w:t>Voorstel</w:t>
            </w:r>
          </w:p>
        </w:tc>
        <w:tc>
          <w:tcPr>
            <w:tcW w:w="6529" w:type="dxa"/>
          </w:tcPr>
          <w:p w:rsidRPr="00303733" w:rsidR="003649FF" w:rsidP="009A33E2" w:rsidRDefault="00DE3FCE">
            <w:pPr>
              <w:spacing w:after="240"/>
              <w:rPr>
                <w:szCs w:val="18"/>
              </w:rPr>
            </w:pPr>
            <w:r>
              <w:rPr>
                <w:szCs w:val="18"/>
              </w:rPr>
              <w:t>Voor kennisgeving aannemen.</w:t>
            </w:r>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Noot</w:t>
            </w:r>
          </w:p>
        </w:tc>
        <w:tc>
          <w:tcPr>
            <w:tcW w:w="6529" w:type="dxa"/>
          </w:tcPr>
          <w:p w:rsidRPr="00303733" w:rsidR="003649FF" w:rsidP="00DE3FCE" w:rsidRDefault="00DE3FCE">
            <w:pPr>
              <w:spacing w:after="240"/>
              <w:rPr>
                <w:color w:val="595959" w:themeColor="text1" w:themeTint="A6"/>
                <w:szCs w:val="18"/>
              </w:rPr>
            </w:pPr>
            <w:r>
              <w:rPr>
                <w:color w:val="595959" w:themeColor="text1" w:themeTint="A6"/>
                <w:szCs w:val="18"/>
              </w:rPr>
              <w:t xml:space="preserve">Dit betreft het convergentierapport van de Europese Commissie, waarin wordt beoordeeld in hoeverre lidstaten die de euro nog dienen in te voeren, voldoen aan de daarvoor geldende criteria. Belangrijkste conclusie is dat </w:t>
            </w:r>
            <w:r w:rsidRPr="003649FF">
              <w:rPr>
                <w:color w:val="595959" w:themeColor="text1" w:themeTint="A6"/>
                <w:szCs w:val="18"/>
              </w:rPr>
              <w:t xml:space="preserve">Kroatië </w:t>
            </w:r>
            <w:r>
              <w:rPr>
                <w:color w:val="595959" w:themeColor="text1" w:themeTint="A6"/>
                <w:szCs w:val="18"/>
              </w:rPr>
              <w:t xml:space="preserve">aan alle vereisten voldoet. </w:t>
            </w:r>
          </w:p>
        </w:tc>
      </w:tr>
    </w:tbl>
    <w:p w:rsidR="003649FF" w:rsidP="00356EF4" w:rsidRDefault="003649FF">
      <w:pPr>
        <w:rPr>
          <w:szCs w:val="18"/>
        </w:rPr>
      </w:pPr>
    </w:p>
    <w:p w:rsidR="003649FF" w:rsidP="00356EF4" w:rsidRDefault="003649F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3649FF" w:rsidTr="009A33E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3649FF" w:rsidP="009A33E2" w:rsidRDefault="003649FF">
            <w:pPr>
              <w:pStyle w:val="Lijstalinea"/>
              <w:numPr>
                <w:ilvl w:val="0"/>
                <w:numId w:val="10"/>
              </w:numPr>
              <w:spacing w:after="240"/>
              <w:ind w:left="312"/>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Titel</w:t>
            </w:r>
          </w:p>
        </w:tc>
        <w:tc>
          <w:tcPr>
            <w:tcW w:w="6529" w:type="dxa"/>
          </w:tcPr>
          <w:p w:rsidRPr="00384151" w:rsidR="003649FF" w:rsidP="00384151" w:rsidRDefault="003649FF">
            <w:pPr>
              <w:shd w:val="clear" w:color="auto" w:fill="FFFFFF"/>
              <w:spacing w:after="75"/>
              <w:rPr>
                <w:szCs w:val="18"/>
                <w:lang w:eastAsia="nl-NL"/>
              </w:rPr>
            </w:pPr>
            <w:r>
              <w:rPr>
                <w:szCs w:val="18"/>
              </w:rPr>
              <w:t xml:space="preserve">Europees Fonds voor strategische investeringen – evaluatie achteraf van de EFSI 2.0-verordening </w:t>
            </w:r>
            <w:hyperlink w:history="1" r:id="rId23">
              <w:r>
                <w:rPr>
                  <w:rStyle w:val="Hyperlink"/>
                  <w:szCs w:val="18"/>
                </w:rPr>
                <w:t>Raadpleging</w:t>
              </w:r>
            </w:hyperlink>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szCs w:val="18"/>
              </w:rPr>
            </w:pPr>
          </w:p>
        </w:tc>
        <w:tc>
          <w:tcPr>
            <w:tcW w:w="1035" w:type="dxa"/>
          </w:tcPr>
          <w:p w:rsidRPr="00303733" w:rsidR="003649FF" w:rsidP="009A33E2" w:rsidRDefault="003649FF">
            <w:pPr>
              <w:spacing w:after="240"/>
              <w:rPr>
                <w:szCs w:val="18"/>
              </w:rPr>
            </w:pPr>
            <w:r w:rsidRPr="00303733">
              <w:rPr>
                <w:szCs w:val="18"/>
              </w:rPr>
              <w:t>Voorstel</w:t>
            </w:r>
          </w:p>
        </w:tc>
        <w:tc>
          <w:tcPr>
            <w:tcW w:w="6529" w:type="dxa"/>
          </w:tcPr>
          <w:p w:rsidRPr="00303733" w:rsidR="003649FF" w:rsidP="009A33E2" w:rsidRDefault="00384151">
            <w:pPr>
              <w:spacing w:after="240"/>
              <w:rPr>
                <w:szCs w:val="18"/>
              </w:rPr>
            </w:pPr>
            <w:r>
              <w:rPr>
                <w:szCs w:val="18"/>
              </w:rPr>
              <w:t>Afschrift van de eventuele kabinetsreactie afwachten.</w:t>
            </w:r>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Noot</w:t>
            </w:r>
          </w:p>
        </w:tc>
        <w:tc>
          <w:tcPr>
            <w:tcW w:w="6529" w:type="dxa"/>
          </w:tcPr>
          <w:p w:rsidRPr="00303733" w:rsidR="003649FF" w:rsidP="00384151" w:rsidRDefault="00384151">
            <w:pPr>
              <w:spacing w:after="240"/>
              <w:rPr>
                <w:color w:val="595959" w:themeColor="text1" w:themeTint="A6"/>
                <w:szCs w:val="18"/>
              </w:rPr>
            </w:pPr>
            <w:r>
              <w:rPr>
                <w:color w:val="595959" w:themeColor="text1" w:themeTint="A6"/>
                <w:szCs w:val="18"/>
              </w:rPr>
              <w:t xml:space="preserve">Dit betreft een raadpleging in het kader van de </w:t>
            </w:r>
            <w:r w:rsidRPr="00384151">
              <w:rPr>
                <w:color w:val="595959" w:themeColor="text1" w:themeTint="A6"/>
                <w:szCs w:val="18"/>
              </w:rPr>
              <w:t>onafhankelijke evaluatie om te beoordelen in hoeverre het Europees Fonds voor str</w:t>
            </w:r>
            <w:r>
              <w:rPr>
                <w:color w:val="595959" w:themeColor="text1" w:themeTint="A6"/>
                <w:szCs w:val="18"/>
              </w:rPr>
              <w:t xml:space="preserve">ategische investeringen (EFSI) </w:t>
            </w:r>
            <w:r w:rsidRPr="00384151">
              <w:rPr>
                <w:color w:val="595959" w:themeColor="text1" w:themeTint="A6"/>
                <w:szCs w:val="18"/>
              </w:rPr>
              <w:t>zijn doelstellingen heeft bereikt</w:t>
            </w:r>
            <w:r>
              <w:rPr>
                <w:color w:val="595959" w:themeColor="text1" w:themeTint="A6"/>
                <w:szCs w:val="18"/>
              </w:rPr>
              <w:t>.</w:t>
            </w:r>
          </w:p>
        </w:tc>
      </w:tr>
    </w:tbl>
    <w:p w:rsidR="003649FF" w:rsidP="00356EF4" w:rsidRDefault="003649F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3649FF" w:rsidTr="009A33E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3649FF" w:rsidP="009A33E2" w:rsidRDefault="003649FF">
            <w:pPr>
              <w:pStyle w:val="Lijstalinea"/>
              <w:numPr>
                <w:ilvl w:val="0"/>
                <w:numId w:val="10"/>
              </w:numPr>
              <w:spacing w:after="240"/>
              <w:ind w:left="312"/>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Titel</w:t>
            </w:r>
          </w:p>
        </w:tc>
        <w:tc>
          <w:tcPr>
            <w:tcW w:w="6529" w:type="dxa"/>
          </w:tcPr>
          <w:p w:rsidR="003649FF" w:rsidP="003649FF" w:rsidRDefault="003649FF">
            <w:pPr>
              <w:shd w:val="clear" w:color="auto" w:fill="FFFFFF"/>
              <w:spacing w:after="75"/>
              <w:rPr>
                <w:szCs w:val="18"/>
                <w:lang w:eastAsia="nl-NL"/>
              </w:rPr>
            </w:pPr>
            <w:r>
              <w:rPr>
                <w:szCs w:val="18"/>
              </w:rPr>
              <w:t>REPORT FROM THE COMMISSION TO THE EUROPEAN PARLIAMENT, THE COUNCIL AND THE COURT OF AUDITORS Annual report to the Discharge Authority on internal audits carried out in 2021</w:t>
            </w:r>
          </w:p>
          <w:p w:rsidRPr="00303733" w:rsidR="003649FF" w:rsidP="003649FF" w:rsidRDefault="0004760F">
            <w:pPr>
              <w:spacing w:after="240"/>
              <w:rPr>
                <w:b/>
                <w:color w:val="595959" w:themeColor="text1" w:themeTint="A6"/>
                <w:szCs w:val="18"/>
              </w:rPr>
            </w:pPr>
            <w:hyperlink w:history="1" r:id="rId24">
              <w:r w:rsidR="003649FF">
                <w:rPr>
                  <w:rStyle w:val="Hyperlink"/>
                  <w:szCs w:val="18"/>
                </w:rPr>
                <w:t>COM/2022/292</w:t>
              </w:r>
            </w:hyperlink>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szCs w:val="18"/>
              </w:rPr>
            </w:pPr>
          </w:p>
        </w:tc>
        <w:tc>
          <w:tcPr>
            <w:tcW w:w="1035" w:type="dxa"/>
          </w:tcPr>
          <w:p w:rsidRPr="00303733" w:rsidR="003649FF" w:rsidP="009A33E2" w:rsidRDefault="003649FF">
            <w:pPr>
              <w:spacing w:after="240"/>
              <w:rPr>
                <w:szCs w:val="18"/>
              </w:rPr>
            </w:pPr>
            <w:r w:rsidRPr="00303733">
              <w:rPr>
                <w:szCs w:val="18"/>
              </w:rPr>
              <w:t>Voorstel</w:t>
            </w:r>
          </w:p>
        </w:tc>
        <w:tc>
          <w:tcPr>
            <w:tcW w:w="6529" w:type="dxa"/>
          </w:tcPr>
          <w:p w:rsidRPr="00303733" w:rsidR="003649FF" w:rsidP="009A33E2" w:rsidRDefault="00384151">
            <w:pPr>
              <w:spacing w:after="240"/>
              <w:rPr>
                <w:szCs w:val="18"/>
              </w:rPr>
            </w:pPr>
            <w:r>
              <w:rPr>
                <w:szCs w:val="18"/>
              </w:rPr>
              <w:t>Voor kennisgeving aannemen.</w:t>
            </w:r>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Noot</w:t>
            </w:r>
          </w:p>
        </w:tc>
        <w:tc>
          <w:tcPr>
            <w:tcW w:w="6529" w:type="dxa"/>
          </w:tcPr>
          <w:p w:rsidRPr="00303733" w:rsidR="003649FF" w:rsidP="003F084C" w:rsidRDefault="00384151">
            <w:pPr>
              <w:spacing w:after="240"/>
              <w:rPr>
                <w:color w:val="595959" w:themeColor="text1" w:themeTint="A6"/>
                <w:szCs w:val="18"/>
              </w:rPr>
            </w:pPr>
            <w:r w:rsidRPr="00384151">
              <w:rPr>
                <w:color w:val="595959" w:themeColor="text1" w:themeTint="A6"/>
                <w:szCs w:val="18"/>
              </w:rPr>
              <w:t xml:space="preserve">Dit verslag informeert het Europees Parlement en de Raad, als onderdeel van de </w:t>
            </w:r>
            <w:r w:rsidR="003F084C">
              <w:rPr>
                <w:color w:val="595959" w:themeColor="text1" w:themeTint="A6"/>
                <w:szCs w:val="18"/>
              </w:rPr>
              <w:t>decharge-</w:t>
            </w:r>
            <w:r w:rsidRPr="00384151">
              <w:rPr>
                <w:color w:val="595959" w:themeColor="text1" w:themeTint="A6"/>
                <w:szCs w:val="18"/>
              </w:rPr>
              <w:t>procedure, over interne audits die in 2021 zijn uitgevoerd door de dienst Interne Audit van de Europese Commissie in de Commissie</w:t>
            </w:r>
            <w:r w:rsidR="003F084C">
              <w:rPr>
                <w:color w:val="595959" w:themeColor="text1" w:themeTint="A6"/>
                <w:szCs w:val="18"/>
              </w:rPr>
              <w:t xml:space="preserve">. </w:t>
            </w:r>
          </w:p>
        </w:tc>
      </w:tr>
    </w:tbl>
    <w:p w:rsidR="003649FF" w:rsidP="00356EF4" w:rsidRDefault="003649F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03733" w:rsidR="003649FF" w:rsidTr="009A33E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303733" w:rsidR="003649FF" w:rsidP="009A33E2" w:rsidRDefault="003649FF">
            <w:pPr>
              <w:pStyle w:val="Lijstalinea"/>
              <w:numPr>
                <w:ilvl w:val="0"/>
                <w:numId w:val="10"/>
              </w:numPr>
              <w:spacing w:after="240"/>
              <w:ind w:left="312"/>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Titel</w:t>
            </w:r>
          </w:p>
        </w:tc>
        <w:tc>
          <w:tcPr>
            <w:tcW w:w="6529" w:type="dxa"/>
          </w:tcPr>
          <w:p w:rsidR="003649FF" w:rsidP="003649FF" w:rsidRDefault="003649FF">
            <w:pPr>
              <w:shd w:val="clear" w:color="auto" w:fill="FFFFFF"/>
              <w:spacing w:after="75"/>
              <w:rPr>
                <w:szCs w:val="18"/>
                <w:lang w:eastAsia="nl-NL"/>
              </w:rPr>
            </w:pPr>
            <w:r>
              <w:rPr>
                <w:szCs w:val="18"/>
              </w:rPr>
              <w:t>VERSLAG VAN DE COMMISSIE AAN HET EUROPEES PARLEMENT EN DE RAAD Zestiende jaarverslag 2021 over de uitvoering van de bijstand van de Unie uit hoofde van Verordening (EG) nr. 389/2006 van de Raad van 27 februari 2006 tot instelling van een instrument voor financiële steun ter bevordering van de economische ontwikkeling van de Turks-Cypriotische gemeenschap</w:t>
            </w:r>
          </w:p>
          <w:p w:rsidRPr="00303733" w:rsidR="003649FF" w:rsidP="003649FF" w:rsidRDefault="0004760F">
            <w:pPr>
              <w:spacing w:after="240"/>
              <w:rPr>
                <w:b/>
                <w:color w:val="595959" w:themeColor="text1" w:themeTint="A6"/>
                <w:szCs w:val="18"/>
              </w:rPr>
            </w:pPr>
            <w:hyperlink w:history="1" r:id="rId25">
              <w:r w:rsidR="003649FF">
                <w:rPr>
                  <w:rStyle w:val="Hyperlink"/>
                  <w:szCs w:val="18"/>
                </w:rPr>
                <w:t>COM/2022/256</w:t>
              </w:r>
            </w:hyperlink>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szCs w:val="18"/>
              </w:rPr>
            </w:pPr>
          </w:p>
        </w:tc>
        <w:tc>
          <w:tcPr>
            <w:tcW w:w="1035" w:type="dxa"/>
          </w:tcPr>
          <w:p w:rsidRPr="00303733" w:rsidR="003649FF" w:rsidP="009A33E2" w:rsidRDefault="003649FF">
            <w:pPr>
              <w:spacing w:after="240"/>
              <w:rPr>
                <w:szCs w:val="18"/>
              </w:rPr>
            </w:pPr>
            <w:r w:rsidRPr="00303733">
              <w:rPr>
                <w:szCs w:val="18"/>
              </w:rPr>
              <w:t>Voorstel</w:t>
            </w:r>
          </w:p>
        </w:tc>
        <w:tc>
          <w:tcPr>
            <w:tcW w:w="6529" w:type="dxa"/>
          </w:tcPr>
          <w:p w:rsidRPr="00303733" w:rsidR="003649FF" w:rsidP="009A33E2" w:rsidRDefault="003F084C">
            <w:pPr>
              <w:spacing w:after="240"/>
              <w:rPr>
                <w:szCs w:val="18"/>
              </w:rPr>
            </w:pPr>
            <w:r>
              <w:rPr>
                <w:szCs w:val="18"/>
              </w:rPr>
              <w:t>Voor kennisgeving aannemen.</w:t>
            </w:r>
          </w:p>
        </w:tc>
      </w:tr>
      <w:tr w:rsidRPr="00303733" w:rsidR="003649FF" w:rsidTr="009A33E2">
        <w:tc>
          <w:tcPr>
            <w:tcW w:w="421" w:type="dxa"/>
            <w:vMerge/>
            <w:tcBorders>
              <w:top w:val="nil"/>
              <w:bottom w:val="single" w:color="D9D9D9" w:themeColor="background1" w:themeShade="D9" w:sz="4" w:space="0"/>
            </w:tcBorders>
            <w:shd w:val="clear" w:color="auto" w:fill="F2F2F2" w:themeFill="background1" w:themeFillShade="F2"/>
          </w:tcPr>
          <w:p w:rsidRPr="00303733" w:rsidR="003649FF" w:rsidP="009A33E2" w:rsidRDefault="003649FF">
            <w:pPr>
              <w:spacing w:after="240"/>
              <w:rPr>
                <w:color w:val="595959" w:themeColor="text1" w:themeTint="A6"/>
                <w:szCs w:val="18"/>
              </w:rPr>
            </w:pPr>
          </w:p>
        </w:tc>
        <w:tc>
          <w:tcPr>
            <w:tcW w:w="1035" w:type="dxa"/>
          </w:tcPr>
          <w:p w:rsidRPr="00303733" w:rsidR="003649FF" w:rsidP="009A33E2" w:rsidRDefault="003649FF">
            <w:pPr>
              <w:spacing w:after="240"/>
              <w:rPr>
                <w:color w:val="595959" w:themeColor="text1" w:themeTint="A6"/>
                <w:szCs w:val="18"/>
              </w:rPr>
            </w:pPr>
            <w:r w:rsidRPr="00303733">
              <w:rPr>
                <w:color w:val="595959" w:themeColor="text1" w:themeTint="A6"/>
                <w:szCs w:val="18"/>
              </w:rPr>
              <w:t>Noot</w:t>
            </w:r>
          </w:p>
        </w:tc>
        <w:tc>
          <w:tcPr>
            <w:tcW w:w="6529" w:type="dxa"/>
          </w:tcPr>
          <w:p w:rsidRPr="00303733" w:rsidR="003649FF" w:rsidP="003F084C" w:rsidRDefault="003F084C">
            <w:pPr>
              <w:spacing w:after="240"/>
              <w:rPr>
                <w:color w:val="595959" w:themeColor="text1" w:themeTint="A6"/>
                <w:szCs w:val="18"/>
              </w:rPr>
            </w:pPr>
            <w:r>
              <w:rPr>
                <w:color w:val="595959" w:themeColor="text1" w:themeTint="A6"/>
                <w:szCs w:val="18"/>
              </w:rPr>
              <w:t xml:space="preserve">Dit betreft het jaarlijkse verslag over de Europese </w:t>
            </w:r>
            <w:r w:rsidRPr="003F084C">
              <w:rPr>
                <w:color w:val="595959" w:themeColor="text1" w:themeTint="A6"/>
                <w:szCs w:val="18"/>
              </w:rPr>
              <w:t>steunverlening aan de Turks-Cypriotische gemeenschap</w:t>
            </w:r>
            <w:r>
              <w:rPr>
                <w:color w:val="595959" w:themeColor="text1" w:themeTint="A6"/>
                <w:szCs w:val="18"/>
              </w:rPr>
              <w:t xml:space="preserve">. </w:t>
            </w:r>
            <w:r w:rsidRPr="003F084C">
              <w:rPr>
                <w:color w:val="595959" w:themeColor="text1" w:themeTint="A6"/>
                <w:szCs w:val="18"/>
              </w:rPr>
              <w:t xml:space="preserve">Het bedrag dat in </w:t>
            </w:r>
            <w:r>
              <w:rPr>
                <w:color w:val="595959" w:themeColor="text1" w:themeTint="A6"/>
                <w:szCs w:val="18"/>
              </w:rPr>
              <w:t>voor 2021</w:t>
            </w:r>
            <w:r w:rsidRPr="003F084C">
              <w:rPr>
                <w:color w:val="595959" w:themeColor="text1" w:themeTint="A6"/>
                <w:szCs w:val="18"/>
              </w:rPr>
              <w:t xml:space="preserve"> was vastgelegd voor het jaarlijkse actieprogramma bedroeg 30,7 miljoen EUR</w:t>
            </w:r>
            <w:r>
              <w:rPr>
                <w:color w:val="595959" w:themeColor="text1" w:themeTint="A6"/>
                <w:szCs w:val="18"/>
              </w:rPr>
              <w:t>. Het</w:t>
            </w:r>
            <w:r w:rsidRPr="003F084C">
              <w:rPr>
                <w:color w:val="595959" w:themeColor="text1" w:themeTint="A6"/>
                <w:szCs w:val="18"/>
              </w:rPr>
              <w:t xml:space="preserve"> st</w:t>
            </w:r>
            <w:r>
              <w:rPr>
                <w:color w:val="595959" w:themeColor="text1" w:themeTint="A6"/>
                <w:szCs w:val="18"/>
              </w:rPr>
              <w:t>eunprogramma is gericht op de voorbereiding voor volledige toep</w:t>
            </w:r>
            <w:r w:rsidRPr="003F084C">
              <w:rPr>
                <w:color w:val="595959" w:themeColor="text1" w:themeTint="A6"/>
                <w:szCs w:val="18"/>
              </w:rPr>
              <w:t>assing van het acquis communautaire in de gebieden van de Republiek Cyprus waarover de regering van de Republiek Cyprus niet feitelijk het gezag uitoefent, na een oplossing van het probleem-Cyprus</w:t>
            </w:r>
            <w:r>
              <w:rPr>
                <w:color w:val="595959" w:themeColor="text1" w:themeTint="A6"/>
                <w:szCs w:val="18"/>
              </w:rPr>
              <w:t xml:space="preserve">. </w:t>
            </w:r>
          </w:p>
        </w:tc>
      </w:tr>
    </w:tbl>
    <w:p w:rsidR="003649FF" w:rsidP="00356EF4" w:rsidRDefault="003649FF">
      <w:pPr>
        <w:rPr>
          <w:szCs w:val="18"/>
        </w:rPr>
      </w:pPr>
    </w:p>
    <w:p w:rsidR="003649FF" w:rsidP="00356EF4" w:rsidRDefault="003649FF">
      <w:pPr>
        <w:rPr>
          <w:szCs w:val="18"/>
        </w:rPr>
      </w:pPr>
    </w:p>
    <w:p w:rsidRPr="00303733" w:rsidR="003649FF" w:rsidP="00356EF4" w:rsidRDefault="003649FF">
      <w:pPr>
        <w:rPr>
          <w:szCs w:val="18"/>
        </w:rPr>
      </w:pPr>
    </w:p>
    <w:sectPr w:rsidRPr="00303733" w:rsidR="003649FF" w:rsidSect="00BF62AD">
      <w:headerReference w:type="default" r:id="rId26"/>
      <w:footerReference w:type="default" r:id="rId27"/>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892" w:rsidRDefault="00FE1892">
      <w:r>
        <w:separator/>
      </w:r>
    </w:p>
  </w:endnote>
  <w:endnote w:type="continuationSeparator" w:id="0">
    <w:p w:rsidR="00FE1892" w:rsidRDefault="00FE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04760F">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04760F">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04760F">
                            <w:rPr>
                              <w:noProof/>
                            </w:rPr>
                            <w:t>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04760F">
                      <w:rPr>
                        <w:noProof/>
                      </w:rPr>
                      <w:t>5</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892" w:rsidRDefault="00FE1892">
      <w:r>
        <w:separator/>
      </w:r>
    </w:p>
  </w:footnote>
  <w:footnote w:type="continuationSeparator" w:id="0">
    <w:p w:rsidR="00FE1892" w:rsidRDefault="00FE1892">
      <w:r>
        <w:continuationSeparator/>
      </w:r>
    </w:p>
  </w:footnote>
  <w:footnote w:id="1">
    <w:p w:rsidR="00D46897" w:rsidRDefault="00D46897">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4760F"/>
    <w:rsid w:val="00050D24"/>
    <w:rsid w:val="00051FEC"/>
    <w:rsid w:val="000546B1"/>
    <w:rsid w:val="000635E6"/>
    <w:rsid w:val="000642C4"/>
    <w:rsid w:val="0006770A"/>
    <w:rsid w:val="00070D31"/>
    <w:rsid w:val="0007162E"/>
    <w:rsid w:val="000722D6"/>
    <w:rsid w:val="00083BDD"/>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D3402"/>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01CC"/>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3733"/>
    <w:rsid w:val="0030416C"/>
    <w:rsid w:val="003066D7"/>
    <w:rsid w:val="0031228D"/>
    <w:rsid w:val="00313734"/>
    <w:rsid w:val="003154A8"/>
    <w:rsid w:val="0031630D"/>
    <w:rsid w:val="003214FD"/>
    <w:rsid w:val="00322A38"/>
    <w:rsid w:val="00324A4E"/>
    <w:rsid w:val="0032616D"/>
    <w:rsid w:val="00326A27"/>
    <w:rsid w:val="00326C25"/>
    <w:rsid w:val="003305E2"/>
    <w:rsid w:val="00331729"/>
    <w:rsid w:val="00331CCE"/>
    <w:rsid w:val="0033344D"/>
    <w:rsid w:val="003354DB"/>
    <w:rsid w:val="003410ED"/>
    <w:rsid w:val="00346125"/>
    <w:rsid w:val="00352A08"/>
    <w:rsid w:val="00355DCC"/>
    <w:rsid w:val="00356E8E"/>
    <w:rsid w:val="00356EF4"/>
    <w:rsid w:val="00361C03"/>
    <w:rsid w:val="003620C8"/>
    <w:rsid w:val="003630D5"/>
    <w:rsid w:val="00363512"/>
    <w:rsid w:val="003649FF"/>
    <w:rsid w:val="00364EE8"/>
    <w:rsid w:val="003664D8"/>
    <w:rsid w:val="0037414F"/>
    <w:rsid w:val="00374B44"/>
    <w:rsid w:val="00376585"/>
    <w:rsid w:val="00377E26"/>
    <w:rsid w:val="003812B9"/>
    <w:rsid w:val="00384151"/>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3BDA"/>
    <w:rsid w:val="003E6EA2"/>
    <w:rsid w:val="003F084C"/>
    <w:rsid w:val="003F628A"/>
    <w:rsid w:val="00403FAF"/>
    <w:rsid w:val="00405747"/>
    <w:rsid w:val="004064BB"/>
    <w:rsid w:val="0041042A"/>
    <w:rsid w:val="00411808"/>
    <w:rsid w:val="0041634B"/>
    <w:rsid w:val="00416E67"/>
    <w:rsid w:val="00420882"/>
    <w:rsid w:val="00424531"/>
    <w:rsid w:val="00424D04"/>
    <w:rsid w:val="004265B2"/>
    <w:rsid w:val="00427600"/>
    <w:rsid w:val="0043382C"/>
    <w:rsid w:val="00433ABC"/>
    <w:rsid w:val="0043446E"/>
    <w:rsid w:val="00434BC6"/>
    <w:rsid w:val="00441745"/>
    <w:rsid w:val="00442D7A"/>
    <w:rsid w:val="004521E2"/>
    <w:rsid w:val="00455D0F"/>
    <w:rsid w:val="004573F4"/>
    <w:rsid w:val="004577D5"/>
    <w:rsid w:val="004605A4"/>
    <w:rsid w:val="00461756"/>
    <w:rsid w:val="0046311A"/>
    <w:rsid w:val="00464077"/>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5D0A"/>
    <w:rsid w:val="005E7B45"/>
    <w:rsid w:val="005F1EDF"/>
    <w:rsid w:val="005F3027"/>
    <w:rsid w:val="00605B5A"/>
    <w:rsid w:val="006060B3"/>
    <w:rsid w:val="0060611D"/>
    <w:rsid w:val="00613764"/>
    <w:rsid w:val="00617577"/>
    <w:rsid w:val="006200E7"/>
    <w:rsid w:val="00621260"/>
    <w:rsid w:val="00626F56"/>
    <w:rsid w:val="00626FD8"/>
    <w:rsid w:val="006301F4"/>
    <w:rsid w:val="00630C2B"/>
    <w:rsid w:val="00633333"/>
    <w:rsid w:val="0064051F"/>
    <w:rsid w:val="00640AA0"/>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28CB"/>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6E"/>
    <w:rsid w:val="00C3378C"/>
    <w:rsid w:val="00C3534E"/>
    <w:rsid w:val="00C3668A"/>
    <w:rsid w:val="00C4073F"/>
    <w:rsid w:val="00C4727D"/>
    <w:rsid w:val="00C5067A"/>
    <w:rsid w:val="00C60BB7"/>
    <w:rsid w:val="00C643E9"/>
    <w:rsid w:val="00C660F6"/>
    <w:rsid w:val="00C71065"/>
    <w:rsid w:val="00C727FA"/>
    <w:rsid w:val="00C75EFA"/>
    <w:rsid w:val="00C7634C"/>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C71FD"/>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46897"/>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3FC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05F78"/>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1892"/>
    <w:rsid w:val="00FE6523"/>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FFC93C6"/>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997">
      <w:bodyDiv w:val="1"/>
      <w:marLeft w:val="0"/>
      <w:marRight w:val="0"/>
      <w:marTop w:val="0"/>
      <w:marBottom w:val="0"/>
      <w:divBdr>
        <w:top w:val="none" w:sz="0" w:space="0" w:color="auto"/>
        <w:left w:val="none" w:sz="0" w:space="0" w:color="auto"/>
        <w:bottom w:val="none" w:sz="0" w:space="0" w:color="auto"/>
        <w:right w:val="none" w:sz="0" w:space="0" w:color="auto"/>
      </w:divBdr>
    </w:div>
    <w:div w:id="41372240">
      <w:bodyDiv w:val="1"/>
      <w:marLeft w:val="0"/>
      <w:marRight w:val="0"/>
      <w:marTop w:val="0"/>
      <w:marBottom w:val="0"/>
      <w:divBdr>
        <w:top w:val="none" w:sz="0" w:space="0" w:color="auto"/>
        <w:left w:val="none" w:sz="0" w:space="0" w:color="auto"/>
        <w:bottom w:val="none" w:sz="0" w:space="0" w:color="auto"/>
        <w:right w:val="none" w:sz="0" w:space="0" w:color="auto"/>
      </w:divBdr>
    </w:div>
    <w:div w:id="61563068">
      <w:bodyDiv w:val="1"/>
      <w:marLeft w:val="0"/>
      <w:marRight w:val="0"/>
      <w:marTop w:val="0"/>
      <w:marBottom w:val="0"/>
      <w:divBdr>
        <w:top w:val="none" w:sz="0" w:space="0" w:color="auto"/>
        <w:left w:val="none" w:sz="0" w:space="0" w:color="auto"/>
        <w:bottom w:val="none" w:sz="0" w:space="0" w:color="auto"/>
        <w:right w:val="none" w:sz="0" w:space="0" w:color="auto"/>
      </w:divBdr>
    </w:div>
    <w:div w:id="150369497">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4830216">
      <w:bodyDiv w:val="1"/>
      <w:marLeft w:val="0"/>
      <w:marRight w:val="0"/>
      <w:marTop w:val="0"/>
      <w:marBottom w:val="0"/>
      <w:divBdr>
        <w:top w:val="none" w:sz="0" w:space="0" w:color="auto"/>
        <w:left w:val="none" w:sz="0" w:space="0" w:color="auto"/>
        <w:bottom w:val="none" w:sz="0" w:space="0" w:color="auto"/>
        <w:right w:val="none" w:sz="0" w:space="0" w:color="auto"/>
      </w:divBdr>
    </w:div>
    <w:div w:id="312831428">
      <w:bodyDiv w:val="1"/>
      <w:marLeft w:val="0"/>
      <w:marRight w:val="0"/>
      <w:marTop w:val="0"/>
      <w:marBottom w:val="0"/>
      <w:divBdr>
        <w:top w:val="none" w:sz="0" w:space="0" w:color="auto"/>
        <w:left w:val="none" w:sz="0" w:space="0" w:color="auto"/>
        <w:bottom w:val="none" w:sz="0" w:space="0" w:color="auto"/>
        <w:right w:val="none" w:sz="0" w:space="0" w:color="auto"/>
      </w:divBdr>
    </w:div>
    <w:div w:id="317657700">
      <w:bodyDiv w:val="1"/>
      <w:marLeft w:val="0"/>
      <w:marRight w:val="0"/>
      <w:marTop w:val="0"/>
      <w:marBottom w:val="0"/>
      <w:divBdr>
        <w:top w:val="none" w:sz="0" w:space="0" w:color="auto"/>
        <w:left w:val="none" w:sz="0" w:space="0" w:color="auto"/>
        <w:bottom w:val="none" w:sz="0" w:space="0" w:color="auto"/>
        <w:right w:val="none" w:sz="0" w:space="0" w:color="auto"/>
      </w:divBdr>
    </w:div>
    <w:div w:id="32659261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51830162">
      <w:bodyDiv w:val="1"/>
      <w:marLeft w:val="0"/>
      <w:marRight w:val="0"/>
      <w:marTop w:val="0"/>
      <w:marBottom w:val="0"/>
      <w:divBdr>
        <w:top w:val="none" w:sz="0" w:space="0" w:color="auto"/>
        <w:left w:val="none" w:sz="0" w:space="0" w:color="auto"/>
        <w:bottom w:val="none" w:sz="0" w:space="0" w:color="auto"/>
        <w:right w:val="none" w:sz="0" w:space="0" w:color="auto"/>
      </w:divBdr>
    </w:div>
    <w:div w:id="460729639">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413174">
      <w:bodyDiv w:val="1"/>
      <w:marLeft w:val="0"/>
      <w:marRight w:val="0"/>
      <w:marTop w:val="0"/>
      <w:marBottom w:val="0"/>
      <w:divBdr>
        <w:top w:val="none" w:sz="0" w:space="0" w:color="auto"/>
        <w:left w:val="none" w:sz="0" w:space="0" w:color="auto"/>
        <w:bottom w:val="none" w:sz="0" w:space="0" w:color="auto"/>
        <w:right w:val="none" w:sz="0" w:space="0" w:color="auto"/>
      </w:divBdr>
    </w:div>
    <w:div w:id="727460085">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50422">
      <w:bodyDiv w:val="1"/>
      <w:marLeft w:val="0"/>
      <w:marRight w:val="0"/>
      <w:marTop w:val="0"/>
      <w:marBottom w:val="0"/>
      <w:divBdr>
        <w:top w:val="none" w:sz="0" w:space="0" w:color="auto"/>
        <w:left w:val="none" w:sz="0" w:space="0" w:color="auto"/>
        <w:bottom w:val="none" w:sz="0" w:space="0" w:color="auto"/>
        <w:right w:val="none" w:sz="0" w:space="0" w:color="auto"/>
      </w:divBdr>
    </w:div>
    <w:div w:id="774441690">
      <w:bodyDiv w:val="1"/>
      <w:marLeft w:val="0"/>
      <w:marRight w:val="0"/>
      <w:marTop w:val="0"/>
      <w:marBottom w:val="0"/>
      <w:divBdr>
        <w:top w:val="none" w:sz="0" w:space="0" w:color="auto"/>
        <w:left w:val="none" w:sz="0" w:space="0" w:color="auto"/>
        <w:bottom w:val="none" w:sz="0" w:space="0" w:color="auto"/>
        <w:right w:val="none" w:sz="0" w:space="0" w:color="auto"/>
      </w:divBdr>
    </w:div>
    <w:div w:id="851263088">
      <w:bodyDiv w:val="1"/>
      <w:marLeft w:val="0"/>
      <w:marRight w:val="0"/>
      <w:marTop w:val="0"/>
      <w:marBottom w:val="0"/>
      <w:divBdr>
        <w:top w:val="none" w:sz="0" w:space="0" w:color="auto"/>
        <w:left w:val="none" w:sz="0" w:space="0" w:color="auto"/>
        <w:bottom w:val="none" w:sz="0" w:space="0" w:color="auto"/>
        <w:right w:val="none" w:sz="0" w:space="0" w:color="auto"/>
      </w:divBdr>
    </w:div>
    <w:div w:id="877745395">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46367855">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18010632">
      <w:bodyDiv w:val="1"/>
      <w:marLeft w:val="0"/>
      <w:marRight w:val="0"/>
      <w:marTop w:val="0"/>
      <w:marBottom w:val="0"/>
      <w:divBdr>
        <w:top w:val="none" w:sz="0" w:space="0" w:color="auto"/>
        <w:left w:val="none" w:sz="0" w:space="0" w:color="auto"/>
        <w:bottom w:val="none" w:sz="0" w:space="0" w:color="auto"/>
        <w:right w:val="none" w:sz="0" w:space="0" w:color="auto"/>
      </w:divBdr>
    </w:div>
    <w:div w:id="1252933350">
      <w:bodyDiv w:val="1"/>
      <w:marLeft w:val="0"/>
      <w:marRight w:val="0"/>
      <w:marTop w:val="0"/>
      <w:marBottom w:val="0"/>
      <w:divBdr>
        <w:top w:val="none" w:sz="0" w:space="0" w:color="auto"/>
        <w:left w:val="none" w:sz="0" w:space="0" w:color="auto"/>
        <w:bottom w:val="none" w:sz="0" w:space="0" w:color="auto"/>
        <w:right w:val="none" w:sz="0" w:space="0" w:color="auto"/>
      </w:divBdr>
    </w:div>
    <w:div w:id="1447966436">
      <w:bodyDiv w:val="1"/>
      <w:marLeft w:val="0"/>
      <w:marRight w:val="0"/>
      <w:marTop w:val="0"/>
      <w:marBottom w:val="0"/>
      <w:divBdr>
        <w:top w:val="none" w:sz="0" w:space="0" w:color="auto"/>
        <w:left w:val="none" w:sz="0" w:space="0" w:color="auto"/>
        <w:bottom w:val="none" w:sz="0" w:space="0" w:color="auto"/>
        <w:right w:val="none" w:sz="0" w:space="0" w:color="auto"/>
      </w:divBdr>
    </w:div>
    <w:div w:id="144849901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22305438">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05642339">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0588855">
      <w:bodyDiv w:val="1"/>
      <w:marLeft w:val="0"/>
      <w:marRight w:val="0"/>
      <w:marTop w:val="0"/>
      <w:marBottom w:val="0"/>
      <w:divBdr>
        <w:top w:val="none" w:sz="0" w:space="0" w:color="auto"/>
        <w:left w:val="none" w:sz="0" w:space="0" w:color="auto"/>
        <w:bottom w:val="none" w:sz="0" w:space="0" w:color="auto"/>
        <w:right w:val="none" w:sz="0" w:space="0" w:color="auto"/>
      </w:divBdr>
    </w:div>
    <w:div w:id="1743673250">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77098209">
      <w:bodyDiv w:val="1"/>
      <w:marLeft w:val="0"/>
      <w:marRight w:val="0"/>
      <w:marTop w:val="0"/>
      <w:marBottom w:val="0"/>
      <w:divBdr>
        <w:top w:val="none" w:sz="0" w:space="0" w:color="auto"/>
        <w:left w:val="none" w:sz="0" w:space="0" w:color="auto"/>
        <w:bottom w:val="none" w:sz="0" w:space="0" w:color="auto"/>
        <w:right w:val="none" w:sz="0" w:space="0" w:color="auto"/>
      </w:divBdr>
    </w:div>
    <w:div w:id="179883903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3867515">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lex.europa.eu/legal-content/NL/TXT/?uri=CELEX%3A52022PC0265&amp;qid=1655191623764" TargetMode="External" Id="rId18" /><Relationship Type="http://schemas.openxmlformats.org/officeDocument/2006/relationships/header" Target="header2.xml" Id="rId26" /><Relationship Type="http://schemas.openxmlformats.org/officeDocument/2006/relationships/hyperlink" Target="https://eur-lex.europa.eu/legal-content/NL/TXT/?uri=CELEX%3A52022DC0401&amp;qid=1655192498028"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legal-content/NL/TXT/?uri=CELEX%3A52022DC0264&amp;qid=1655191572405" TargetMode="External" Id="rId17" /><Relationship Type="http://schemas.openxmlformats.org/officeDocument/2006/relationships/hyperlink" Target="https://eur-lex.europa.eu/legal-content/NL/TXT/?uri=CELEX%3A52022DC0256&amp;qid=1654674645188" TargetMode="External" Id="rId25" /><Relationship Type="http://schemas.openxmlformats.org/officeDocument/2006/relationships/hyperlink" Target="https://eur-lex.europa.eu/legal-content/NL/TXT/?uri=CELEX%3A52022DC0254&amp;qid=1655191402402" TargetMode="External" Id="rId16" /><Relationship Type="http://schemas.openxmlformats.org/officeDocument/2006/relationships/hyperlink" Target="https://eur-lex.europa.eu/legal-content/NL/TXT/?uri=COM%3A2022%3A274%3AFIN&amp;qid=1655192283455" TargetMode="External" Id="rId20" /><Relationship Type="http://schemas.openxmlformats.org/officeDocument/2006/relationships/theme" Target="theme/theme1.xm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lex.europa.eu/legal-content/NL/TXT/?uri=CELEX%3A52022DC0292&amp;qid=1654673496136" TargetMode="External" Id="rId24" /><Relationship Type="http://schemas.openxmlformats.org/officeDocument/2006/relationships/hyperlink" Target="https://eur-lex.europa.eu/legal-content/NL/TXT/?uri=CELEX%3A52022PC0282&amp;qid=1654586330621" TargetMode="External" Id="rId15" /><Relationship Type="http://schemas.openxmlformats.org/officeDocument/2006/relationships/hyperlink" Target="https://ec.europa.eu/info/law/better-regulation/have-your-say/initiatives/13021-Europees-Fonds-voor-strategische-investeringen-evaluatie-achteraf-van-de-EFSI-20-verordening_nl" TargetMode="Externa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https://eur-lex.europa.eu/legal-content/NL/TXT/?uri=CELEX%3A52022PC0268&amp;qid=1655191682211" TargetMode="External" Id="rId19" /><Relationship Type="http://schemas.openxmlformats.org/officeDocument/2006/relationships/webSettings" Target="webSettings.xml" Id="rId9" /><Relationship Type="http://schemas.openxmlformats.org/officeDocument/2006/relationships/hyperlink" Target="https://eur-lex.europa.eu/legal-content/NL/TXT/?uri=CELEX%3A52022PC0281&amp;qid=1654586267258" TargetMode="External" Id="rId14" /><Relationship Type="http://schemas.openxmlformats.org/officeDocument/2006/relationships/hyperlink" Target="https://eur-lex.europa.eu/legal-content/NL/TXT/?uri=CELEX%3A52022DC0280&amp;qid=1654585939665" TargetMode="External" Id="rId22" /><Relationship Type="http://schemas.openxmlformats.org/officeDocument/2006/relationships/footer" Target="footer2.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1314</ap:Words>
  <ap:Characters>9182</ap:Characters>
  <ap:DocSecurity>4</ap:DocSecurity>
  <ap:Lines>76</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2022-06-17T15:57:00.0000000Z</dcterms:created>
  <dcterms:modified xsi:type="dcterms:W3CDTF">2022-06-17T15:57:00.0000000Z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