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6D23" w:rsidR="00C7766A" w:rsidP="00276D23" w:rsidRDefault="0010283B" w14:paraId="39A3FF9A" w14:textId="444CCB16">
      <w:pPr>
        <w:spacing w:line="276" w:lineRule="auto"/>
        <w:rPr>
          <w:rFonts w:ascii="Arial" w:hAnsi="Arial" w:eastAsia="Calibri" w:cs="Arial"/>
          <w:b/>
          <w:bCs/>
          <w:color w:val="000000" w:themeColor="text1"/>
          <w:sz w:val="24"/>
          <w:szCs w:val="24"/>
        </w:rPr>
      </w:pPr>
      <w:r w:rsidRPr="00276D23">
        <w:rPr>
          <w:rFonts w:ascii="Arial" w:hAnsi="Arial" w:eastAsia="Calibri" w:cs="Arial"/>
          <w:b/>
          <w:bCs/>
          <w:color w:val="000000" w:themeColor="text1"/>
          <w:sz w:val="24"/>
          <w:szCs w:val="24"/>
        </w:rPr>
        <w:t xml:space="preserve">Schriftelijke bijdrage </w:t>
      </w:r>
      <w:r w:rsidRPr="00276D23" w:rsidR="007736B6">
        <w:rPr>
          <w:rFonts w:ascii="Arial" w:hAnsi="Arial" w:eastAsia="Calibri" w:cs="Arial"/>
          <w:b/>
          <w:bCs/>
          <w:color w:val="000000" w:themeColor="text1"/>
          <w:sz w:val="24"/>
          <w:szCs w:val="24"/>
        </w:rPr>
        <w:t xml:space="preserve">van Movisie </w:t>
      </w:r>
      <w:r w:rsidRPr="00276D23">
        <w:rPr>
          <w:rFonts w:ascii="Arial" w:hAnsi="Arial" w:eastAsia="Calibri" w:cs="Arial"/>
          <w:b/>
          <w:bCs/>
          <w:color w:val="000000" w:themeColor="text1"/>
          <w:sz w:val="24"/>
          <w:szCs w:val="24"/>
        </w:rPr>
        <w:t xml:space="preserve">aan </w:t>
      </w:r>
      <w:r w:rsidRPr="00276D23" w:rsidR="00E11923">
        <w:rPr>
          <w:rFonts w:ascii="Arial" w:hAnsi="Arial" w:eastAsia="Calibri" w:cs="Arial"/>
          <w:b/>
          <w:bCs/>
          <w:color w:val="000000" w:themeColor="text1"/>
          <w:sz w:val="24"/>
          <w:szCs w:val="24"/>
        </w:rPr>
        <w:t>R</w:t>
      </w:r>
      <w:r w:rsidRPr="00276D23">
        <w:rPr>
          <w:rFonts w:ascii="Arial" w:hAnsi="Arial" w:eastAsia="Calibri" w:cs="Arial"/>
          <w:b/>
          <w:bCs/>
          <w:color w:val="000000" w:themeColor="text1"/>
          <w:sz w:val="24"/>
          <w:szCs w:val="24"/>
        </w:rPr>
        <w:t xml:space="preserve">onde tafel vaste </w:t>
      </w:r>
      <w:proofErr w:type="spellStart"/>
      <w:r w:rsidRPr="00276D23">
        <w:rPr>
          <w:rFonts w:ascii="Arial" w:hAnsi="Arial" w:eastAsia="Calibri" w:cs="Arial"/>
          <w:b/>
          <w:bCs/>
          <w:color w:val="000000" w:themeColor="text1"/>
          <w:sz w:val="24"/>
          <w:szCs w:val="24"/>
        </w:rPr>
        <w:t>kamercommissie</w:t>
      </w:r>
      <w:proofErr w:type="spellEnd"/>
      <w:r w:rsidRPr="00276D23">
        <w:rPr>
          <w:rFonts w:ascii="Arial" w:hAnsi="Arial" w:eastAsia="Calibri" w:cs="Arial"/>
          <w:b/>
          <w:bCs/>
          <w:color w:val="000000" w:themeColor="text1"/>
          <w:sz w:val="24"/>
          <w:szCs w:val="24"/>
        </w:rPr>
        <w:t xml:space="preserve"> OCW: </w:t>
      </w:r>
      <w:r w:rsidRPr="00276D23" w:rsidR="507BAC66">
        <w:rPr>
          <w:rFonts w:ascii="Arial" w:hAnsi="Arial" w:eastAsia="Calibri" w:cs="Arial"/>
          <w:b/>
          <w:bCs/>
          <w:color w:val="000000" w:themeColor="text1"/>
          <w:sz w:val="24"/>
          <w:szCs w:val="24"/>
        </w:rPr>
        <w:t xml:space="preserve">Internationaal perspectief op seksueel grensoverschrijdend gedrag </w:t>
      </w:r>
    </w:p>
    <w:p w:rsidR="00930F67" w:rsidP="00276D23" w:rsidRDefault="4B123A55" w14:paraId="75B24379" w14:textId="45FAB1FA">
      <w:pPr>
        <w:spacing w:line="276" w:lineRule="auto"/>
        <w:rPr>
          <w:rFonts w:ascii="Arial" w:hAnsi="Arial" w:eastAsia="Calibri" w:cs="Arial"/>
          <w:sz w:val="20"/>
          <w:szCs w:val="20"/>
        </w:rPr>
      </w:pPr>
      <w:r w:rsidRPr="00276D23">
        <w:rPr>
          <w:rFonts w:ascii="Arial" w:hAnsi="Arial" w:eastAsia="Calibri" w:cs="Arial"/>
          <w:color w:val="000000" w:themeColor="text1"/>
          <w:sz w:val="20"/>
          <w:szCs w:val="20"/>
        </w:rPr>
        <w:t xml:space="preserve">Door Wendela </w:t>
      </w:r>
      <w:r w:rsidRPr="00276D23">
        <w:rPr>
          <w:rFonts w:ascii="Arial" w:hAnsi="Arial" w:eastAsia="Calibri" w:cs="Arial"/>
          <w:sz w:val="20"/>
          <w:szCs w:val="20"/>
        </w:rPr>
        <w:t>Wentzel i.s.m. Amma Asante en Saskia Daru</w:t>
      </w:r>
      <w:r w:rsidRPr="00276D23" w:rsidR="007775E5">
        <w:rPr>
          <w:rFonts w:ascii="Arial" w:hAnsi="Arial" w:eastAsia="Calibri" w:cs="Arial"/>
          <w:sz w:val="20"/>
          <w:szCs w:val="20"/>
        </w:rPr>
        <w:t>,</w:t>
      </w:r>
      <w:r w:rsidRPr="00276D23">
        <w:rPr>
          <w:rFonts w:ascii="Arial" w:hAnsi="Arial" w:eastAsia="Calibri" w:cs="Arial"/>
          <w:sz w:val="20"/>
          <w:szCs w:val="20"/>
        </w:rPr>
        <w:t xml:space="preserve"> sr. Projectleiders Movisie Sociale veiligheid</w:t>
      </w:r>
    </w:p>
    <w:p w:rsidRPr="00276D23" w:rsidR="00276D23" w:rsidP="00276D23" w:rsidRDefault="00276D23" w14:paraId="3D8A94E5" w14:textId="77777777">
      <w:pPr>
        <w:spacing w:line="276" w:lineRule="auto"/>
        <w:rPr>
          <w:rFonts w:ascii="Arial" w:hAnsi="Arial" w:cs="Arial" w:eastAsiaTheme="minorEastAsia"/>
          <w:color w:val="000000" w:themeColor="text1"/>
          <w:sz w:val="20"/>
          <w:szCs w:val="20"/>
        </w:rPr>
      </w:pPr>
    </w:p>
    <w:p w:rsidRPr="00276D23" w:rsidR="0A970AA2" w:rsidP="00276D23" w:rsidRDefault="0A970AA2" w14:paraId="0320E15B" w14:textId="4ED8FEC2">
      <w:pPr>
        <w:spacing w:line="276" w:lineRule="auto"/>
        <w:rPr>
          <w:rFonts w:ascii="Arial" w:hAnsi="Arial" w:eastAsia="Arial" w:cs="Arial"/>
          <w:color w:val="000000" w:themeColor="text1"/>
          <w:sz w:val="20"/>
          <w:szCs w:val="20"/>
        </w:rPr>
      </w:pPr>
      <w:r w:rsidRPr="00276D23">
        <w:rPr>
          <w:rFonts w:ascii="Arial" w:hAnsi="Arial" w:eastAsia="Calibri" w:cs="Arial"/>
          <w:color w:val="000000" w:themeColor="text1"/>
          <w:sz w:val="20"/>
          <w:szCs w:val="20"/>
        </w:rPr>
        <w:t xml:space="preserve">Grensoverschrijdend gedrag is elke vorm van ongewenst verbaal, non-verbaal of fysiek gedrag dat de waardigheid van een persoon aantast in het bijzonder wanneer een bedreigende, vijandige, beledigende, vernederende of kwetsende situatie wordt </w:t>
      </w:r>
      <w:r w:rsidRPr="00276D23" w:rsidR="00286700">
        <w:rPr>
          <w:rFonts w:ascii="Arial" w:hAnsi="Arial" w:eastAsia="Calibri" w:cs="Arial"/>
          <w:color w:val="000000" w:themeColor="text1"/>
          <w:sz w:val="20"/>
          <w:szCs w:val="20"/>
        </w:rPr>
        <w:t>‘</w:t>
      </w:r>
      <w:r w:rsidRPr="00276D23">
        <w:rPr>
          <w:rFonts w:ascii="Arial" w:hAnsi="Arial" w:eastAsia="Calibri" w:cs="Arial"/>
          <w:color w:val="000000" w:themeColor="text1"/>
          <w:sz w:val="20"/>
          <w:szCs w:val="20"/>
        </w:rPr>
        <w:t xml:space="preserve">gecreëerd’. Grensoverschrijdend gedrag kan een subjectieve beleving zijn: wat de </w:t>
      </w:r>
      <w:r w:rsidRPr="00276D23" w:rsidR="00286700">
        <w:rPr>
          <w:rFonts w:ascii="Arial" w:hAnsi="Arial" w:eastAsia="Calibri" w:cs="Arial"/>
          <w:color w:val="000000" w:themeColor="text1"/>
          <w:sz w:val="20"/>
          <w:szCs w:val="20"/>
        </w:rPr>
        <w:t>éé</w:t>
      </w:r>
      <w:r w:rsidRPr="00276D23">
        <w:rPr>
          <w:rFonts w:ascii="Arial" w:hAnsi="Arial" w:eastAsia="Calibri" w:cs="Arial"/>
          <w:color w:val="000000" w:themeColor="text1"/>
          <w:sz w:val="20"/>
          <w:szCs w:val="20"/>
        </w:rPr>
        <w:t>n als grensoverschrijdend gedrag ervaart, wordt mogelijk door de ander niet zo ervaren. Het is mede hierom dat het van belang is om meer bewustzijn, kennis en gezamenlijke taal te ontwikkelen rondom grensoverschrijdend gedrag. Maatschappelijk dialoog en educatie spelen hierin een belangrijke rol.</w:t>
      </w:r>
    </w:p>
    <w:p w:rsidRPr="00276D23" w:rsidR="00C7766A" w:rsidP="00276D23" w:rsidRDefault="507BAC66" w14:paraId="57A8B6CD" w14:textId="695F2B26">
      <w:pPr>
        <w:spacing w:line="276" w:lineRule="auto"/>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 xml:space="preserve">De samenleving en de politiek is meer dan ooit op zoek naar antwoorden en oplossingen om (seksueel) grensoverschrijdend gedrag te voorkomen en aan te pakken. </w:t>
      </w:r>
      <w:r w:rsidRPr="00276D23" w:rsidR="007736B6">
        <w:rPr>
          <w:rFonts w:ascii="Arial" w:hAnsi="Arial" w:eastAsia="Calibri" w:cs="Arial"/>
          <w:color w:val="000000" w:themeColor="text1"/>
          <w:sz w:val="20"/>
          <w:szCs w:val="20"/>
        </w:rPr>
        <w:t>Movisie pleit voor:</w:t>
      </w:r>
    </w:p>
    <w:p w:rsidRPr="00276D23" w:rsidR="007736B6" w:rsidP="00276D23" w:rsidRDefault="007736B6" w14:paraId="03073D74" w14:textId="67C7D19C">
      <w:pPr>
        <w:pStyle w:val="Lijstalinea"/>
        <w:numPr>
          <w:ilvl w:val="0"/>
          <w:numId w:val="4"/>
        </w:numPr>
        <w:spacing w:line="276" w:lineRule="auto"/>
        <w:ind w:left="567" w:hanging="567"/>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Meer aandacht voor preventie</w:t>
      </w:r>
    </w:p>
    <w:p w:rsidRPr="00276D23" w:rsidR="007736B6" w:rsidP="00276D23" w:rsidRDefault="00E20021" w14:paraId="77C12BEE" w14:textId="7E457813">
      <w:pPr>
        <w:pStyle w:val="Lijstalinea"/>
        <w:numPr>
          <w:ilvl w:val="1"/>
          <w:numId w:val="4"/>
        </w:numPr>
        <w:tabs>
          <w:tab w:val="left" w:pos="993"/>
        </w:tabs>
        <w:spacing w:line="276" w:lineRule="auto"/>
        <w:ind w:left="567" w:firstLine="0"/>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Gezamenlijke sociale norm</w:t>
      </w:r>
    </w:p>
    <w:p w:rsidRPr="00276D23" w:rsidR="007736B6" w:rsidP="00276D23" w:rsidRDefault="007736B6" w14:paraId="0DA73206" w14:textId="3F545F31">
      <w:pPr>
        <w:pStyle w:val="Lijstalinea"/>
        <w:numPr>
          <w:ilvl w:val="1"/>
          <w:numId w:val="4"/>
        </w:numPr>
        <w:tabs>
          <w:tab w:val="left" w:pos="993"/>
        </w:tabs>
        <w:spacing w:line="276" w:lineRule="auto"/>
        <w:ind w:left="567" w:firstLine="0"/>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Rol van burgers, professionals en beleidsmakers</w:t>
      </w:r>
    </w:p>
    <w:p w:rsidRPr="00276D23" w:rsidR="007736B6" w:rsidP="00276D23" w:rsidRDefault="007736B6" w14:paraId="7ADDE236" w14:textId="4D1CE764">
      <w:pPr>
        <w:pStyle w:val="Lijstalinea"/>
        <w:numPr>
          <w:ilvl w:val="0"/>
          <w:numId w:val="4"/>
        </w:numPr>
        <w:spacing w:line="276" w:lineRule="auto"/>
        <w:ind w:left="567" w:hanging="567"/>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Samenhangend beleid vanuit een integrale blik</w:t>
      </w:r>
    </w:p>
    <w:p w:rsidRPr="00276D23" w:rsidR="007736B6" w:rsidP="00276D23" w:rsidRDefault="00E20021" w14:paraId="68E5CE21" w14:textId="3FE20F65">
      <w:pPr>
        <w:pStyle w:val="Lijstalinea"/>
        <w:numPr>
          <w:ilvl w:val="1"/>
          <w:numId w:val="4"/>
        </w:numPr>
        <w:tabs>
          <w:tab w:val="left" w:pos="993"/>
        </w:tabs>
        <w:spacing w:line="276" w:lineRule="auto"/>
        <w:ind w:left="567" w:firstLine="0"/>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Verbinding met ander grensoverschrijdend gedrag</w:t>
      </w:r>
    </w:p>
    <w:p w:rsidRPr="00276D23" w:rsidR="007736B6" w:rsidP="00276D23" w:rsidRDefault="00E20021" w14:paraId="4B8DC317" w14:textId="5C594F4F">
      <w:pPr>
        <w:pStyle w:val="Lijstalinea"/>
        <w:numPr>
          <w:ilvl w:val="1"/>
          <w:numId w:val="4"/>
        </w:numPr>
        <w:tabs>
          <w:tab w:val="left" w:pos="993"/>
        </w:tabs>
        <w:spacing w:line="276" w:lineRule="auto"/>
        <w:ind w:left="567" w:firstLine="0"/>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Seksueel gedrag van gezond en plezierig tot grensoverschrijdend en strafbaar</w:t>
      </w:r>
    </w:p>
    <w:p w:rsidRPr="00276D23" w:rsidR="005E61CE" w:rsidP="00276D23" w:rsidRDefault="005E61CE" w14:paraId="69445EF7" w14:textId="4E8F2D4A">
      <w:pPr>
        <w:spacing w:after="0" w:line="276" w:lineRule="auto"/>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Tot slot gaan we aan het eind van dit paper in op wat dit betekent voor de onderwijssector.</w:t>
      </w:r>
    </w:p>
    <w:p w:rsidRPr="00276D23" w:rsidR="00166A53" w:rsidP="00276D23" w:rsidRDefault="00166A53" w14:paraId="65C955EF" w14:textId="77777777">
      <w:pPr>
        <w:spacing w:after="0" w:line="276" w:lineRule="auto"/>
        <w:rPr>
          <w:rFonts w:ascii="Arial" w:hAnsi="Arial" w:eastAsia="Calibri" w:cs="Arial"/>
          <w:color w:val="000000" w:themeColor="text1"/>
          <w:sz w:val="20"/>
          <w:szCs w:val="20"/>
        </w:rPr>
      </w:pPr>
    </w:p>
    <w:p w:rsidRPr="00276D23" w:rsidR="00E20021" w:rsidP="00276D23" w:rsidRDefault="00E20021" w14:paraId="3E7AF2F4" w14:textId="159E2EB9">
      <w:pPr>
        <w:spacing w:after="0" w:line="276" w:lineRule="auto"/>
        <w:rPr>
          <w:rFonts w:ascii="Arial" w:hAnsi="Arial" w:eastAsia="Calibri" w:cs="Arial"/>
          <w:b/>
          <w:bCs/>
          <w:color w:val="000000" w:themeColor="text1"/>
          <w:sz w:val="20"/>
          <w:szCs w:val="20"/>
        </w:rPr>
      </w:pPr>
      <w:r w:rsidRPr="00276D23">
        <w:rPr>
          <w:rFonts w:ascii="Arial" w:hAnsi="Arial" w:eastAsia="Calibri" w:cs="Arial"/>
          <w:b/>
          <w:bCs/>
          <w:color w:val="000000" w:themeColor="text1"/>
          <w:sz w:val="20"/>
          <w:szCs w:val="20"/>
        </w:rPr>
        <w:t>Movisie werkt aan sociale veiligheid</w:t>
      </w:r>
    </w:p>
    <w:p w:rsidRPr="00276D23" w:rsidR="00C7766A" w:rsidP="00276D23" w:rsidRDefault="507BAC66" w14:paraId="541E14D1" w14:textId="558F2E61">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Movisie is </w:t>
      </w:r>
      <w:r w:rsidRPr="00276D23" w:rsidR="007E1830">
        <w:rPr>
          <w:rFonts w:ascii="Arial" w:hAnsi="Arial" w:eastAsia="Arial" w:cs="Arial"/>
          <w:color w:val="000000" w:themeColor="text1"/>
          <w:sz w:val="20"/>
          <w:szCs w:val="20"/>
        </w:rPr>
        <w:t xml:space="preserve">het </w:t>
      </w:r>
      <w:r w:rsidRPr="00276D23">
        <w:rPr>
          <w:rFonts w:ascii="Arial" w:hAnsi="Arial" w:eastAsia="Arial" w:cs="Arial"/>
          <w:color w:val="000000" w:themeColor="text1"/>
          <w:sz w:val="20"/>
          <w:szCs w:val="20"/>
        </w:rPr>
        <w:t xml:space="preserve">landelijk kennisinstituut voor een samenhangende aanpak van sociale vraagstukken. Samen met de praktijk ontwikkelen we kennis over wat echt goed werkt en passen we die kennis toe. Movisie richt zich op diverse vraagstukken waaronder het vergroten van de sociale veiligheid in </w:t>
      </w:r>
      <w:r w:rsidRPr="00276D23" w:rsidR="007E1830">
        <w:rPr>
          <w:rFonts w:ascii="Arial" w:hAnsi="Arial" w:eastAsia="Arial" w:cs="Arial"/>
          <w:color w:val="000000" w:themeColor="text1"/>
          <w:sz w:val="20"/>
          <w:szCs w:val="20"/>
        </w:rPr>
        <w:t xml:space="preserve">verscheidene </w:t>
      </w:r>
      <w:r w:rsidRPr="00276D23">
        <w:rPr>
          <w:rFonts w:ascii="Arial" w:hAnsi="Arial" w:eastAsia="Arial" w:cs="Arial"/>
          <w:color w:val="000000" w:themeColor="text1"/>
          <w:sz w:val="20"/>
          <w:szCs w:val="20"/>
        </w:rPr>
        <w:t>sectoren</w:t>
      </w:r>
      <w:r w:rsidRPr="00276D23" w:rsidR="00CD6805">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xml:space="preserve"> zowel in het publieke domein als achter de voordeur. Kijk voor meer informatie op </w:t>
      </w:r>
      <w:hyperlink r:id="rId8">
        <w:r w:rsidRPr="00276D23">
          <w:rPr>
            <w:rStyle w:val="Hyperlink"/>
            <w:rFonts w:ascii="Arial" w:hAnsi="Arial" w:eastAsia="Arial" w:cs="Arial"/>
            <w:sz w:val="20"/>
            <w:szCs w:val="20"/>
          </w:rPr>
          <w:t>www.movisie.nl</w:t>
        </w:r>
      </w:hyperlink>
      <w:r w:rsidRPr="00276D23">
        <w:rPr>
          <w:rFonts w:ascii="Arial" w:hAnsi="Arial" w:eastAsia="Arial" w:cs="Arial"/>
          <w:color w:val="000000" w:themeColor="text1"/>
          <w:sz w:val="20"/>
          <w:szCs w:val="20"/>
        </w:rPr>
        <w:t>.</w:t>
      </w:r>
    </w:p>
    <w:p w:rsidR="007A319B" w:rsidP="00276D23" w:rsidRDefault="507BAC66" w14:paraId="05F8B65D" w14:textId="77777777">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Het team </w:t>
      </w:r>
      <w:r w:rsidRPr="00276D23" w:rsidR="00CD6805">
        <w:rPr>
          <w:rFonts w:ascii="Arial" w:hAnsi="Arial" w:eastAsia="Arial" w:cs="Arial"/>
          <w:color w:val="000000" w:themeColor="text1"/>
          <w:sz w:val="20"/>
          <w:szCs w:val="20"/>
        </w:rPr>
        <w:t>S</w:t>
      </w:r>
      <w:r w:rsidRPr="00276D23">
        <w:rPr>
          <w:rFonts w:ascii="Arial" w:hAnsi="Arial" w:eastAsia="Arial" w:cs="Arial"/>
          <w:color w:val="000000" w:themeColor="text1"/>
          <w:sz w:val="20"/>
          <w:szCs w:val="20"/>
        </w:rPr>
        <w:t>ociale veiligheid werkt op meerdere thema’s, zoals seksueel grensoverschrijdend gedrag bij kinderen/jongeren en volwassenen, (ex)-partnergeweld, ouderenmishandeling, maar ook eenzaamheid, armoede, discriminatie en polarisatie. Grensoverschrijdend gedrag en met name huiselijk geweld en seksueel geweld zijn moeilijk bespreekbare onderwerpen en complexe maatschappelijke vraagstukken. Van professionals weten we – uit de praktijk – dat praten over grensoverschrijdend gedrag en met name huiselijk en seksueel geweld niet makkelijk is. Het daadwerkelijk doorvragen, het beestje bij de naam noemen, het vragen naar intieme en pijnlijke kwestie</w:t>
      </w:r>
      <w:r w:rsidRPr="00276D23" w:rsidR="007E1830">
        <w:rPr>
          <w:rFonts w:ascii="Arial" w:hAnsi="Arial" w:eastAsia="Arial" w:cs="Arial"/>
          <w:color w:val="000000" w:themeColor="text1"/>
          <w:sz w:val="20"/>
          <w:szCs w:val="20"/>
        </w:rPr>
        <w:t>s</w:t>
      </w:r>
      <w:r w:rsidRPr="00276D23">
        <w:rPr>
          <w:rFonts w:ascii="Arial" w:hAnsi="Arial" w:eastAsia="Arial" w:cs="Arial"/>
          <w:color w:val="000000" w:themeColor="text1"/>
          <w:sz w:val="20"/>
          <w:szCs w:val="20"/>
        </w:rPr>
        <w:t xml:space="preserve"> vraagt professionele kennis, reflectie op eigen attitude en de inzet van vaardigheden. Hier ontbreekt het vaak aan.</w:t>
      </w:r>
    </w:p>
    <w:p w:rsidR="00C7766A" w:rsidP="00276D23" w:rsidRDefault="507BAC66" w14:paraId="030E9005" w14:textId="3178B02E">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In de berichtgeving horen we uitspraken als </w:t>
      </w:r>
      <w:r w:rsidRPr="00276D23" w:rsidR="00CD6805">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Iedereen heeft zijn eigen ‘erg’</w:t>
      </w:r>
      <w:r w:rsidRPr="00276D23" w:rsidR="00CD6805">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Begrijpelijk, dit verschil in perceptie, want ons oordeel over grensoverschrijdend gedrag is afhankelijk van onze ervaring en van onze waarden en normen.</w:t>
      </w:r>
    </w:p>
    <w:p w:rsidRPr="00276D23" w:rsidR="00276D23" w:rsidP="00276D23" w:rsidRDefault="00276D23" w14:paraId="7E0B967F" w14:textId="77777777">
      <w:pPr>
        <w:spacing w:line="276" w:lineRule="auto"/>
        <w:rPr>
          <w:rFonts w:ascii="Arial" w:hAnsi="Arial" w:eastAsia="Arial" w:cs="Arial"/>
          <w:color w:val="000000" w:themeColor="text1"/>
          <w:sz w:val="20"/>
          <w:szCs w:val="20"/>
        </w:rPr>
      </w:pPr>
    </w:p>
    <w:p w:rsidRPr="00276D23" w:rsidR="009176FB" w:rsidP="00276D23" w:rsidRDefault="507BAC66" w14:paraId="75680A28" w14:textId="77777777">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lastRenderedPageBreak/>
        <w:t xml:space="preserve">Het blijkt moeilijk te zijn om bij huiselijk geweld een norm te stellen en te interveniëren, in het bijzonder bij volwassenen. Ook blijkt uit onderzoek dat er verschillend gedacht wordt over wat grensoverschrijdend is en wat niet. Begrippen zoals huiselijk geweld, (ex-)partnergeweld, seksuele intimidatie en seksueel misbruik blijken rekbaar te zijn. Er is sprake van bagatellisering, niet al het geweld telt (even zwaar). Negentig procent van de Nederlanders is het erover eens dat geweld binnen een relatie onaanvaardbaar is. Maar wanneer men concrete situaties krijgt voorgelegd vindt 29 procent het gebruik van geweld tegen de partner onder bepaalde omstandigheden acceptabel. Dat geldt ook voor jongeren. Onder hen is er een relatief hoge tolerantie voor partnergeweld, vooral voor seksueel geweld. </w:t>
      </w:r>
    </w:p>
    <w:p w:rsidRPr="00276D23" w:rsidR="00C7766A" w:rsidP="00276D23" w:rsidRDefault="507BAC66" w14:paraId="6E01B299" w14:textId="3E9BADD1">
      <w:pPr>
        <w:spacing w:after="0" w:line="276" w:lineRule="auto"/>
        <w:rPr>
          <w:rStyle w:val="Hyperlink"/>
          <w:rFonts w:ascii="Arial" w:hAnsi="Arial" w:eastAsia="Arial" w:cs="Arial"/>
          <w:sz w:val="20"/>
          <w:szCs w:val="20"/>
        </w:rPr>
      </w:pPr>
      <w:r w:rsidRPr="00276D23">
        <w:rPr>
          <w:rFonts w:ascii="Arial" w:hAnsi="Arial" w:eastAsia="Arial" w:cs="Arial"/>
          <w:color w:val="000000" w:themeColor="text1"/>
          <w:sz w:val="20"/>
          <w:szCs w:val="20"/>
        </w:rPr>
        <w:t xml:space="preserve">Zie: </w:t>
      </w:r>
      <w:hyperlink r:id="rId9">
        <w:r w:rsidRPr="00276D23">
          <w:rPr>
            <w:rStyle w:val="Hyperlink"/>
            <w:rFonts w:ascii="Arial" w:hAnsi="Arial" w:eastAsia="Arial" w:cs="Arial"/>
            <w:sz w:val="20"/>
            <w:szCs w:val="20"/>
          </w:rPr>
          <w:t>https://www.movisie.nl/artikel/wie-ben-ik-om-hier-iets-te-vinden</w:t>
        </w:r>
      </w:hyperlink>
    </w:p>
    <w:p w:rsidRPr="00276D23" w:rsidR="009176FB" w:rsidP="00276D23" w:rsidRDefault="009176FB" w14:paraId="6AE7184A" w14:textId="77777777">
      <w:pPr>
        <w:spacing w:after="0" w:line="276" w:lineRule="auto"/>
        <w:rPr>
          <w:rFonts w:ascii="Arial" w:hAnsi="Arial" w:eastAsia="Arial" w:cs="Arial"/>
          <w:color w:val="000000" w:themeColor="text1"/>
          <w:sz w:val="20"/>
          <w:szCs w:val="20"/>
        </w:rPr>
      </w:pPr>
    </w:p>
    <w:p w:rsidRPr="00276D23" w:rsidR="00C7766A" w:rsidP="00276D23" w:rsidRDefault="507BAC66" w14:paraId="6198EBED" w14:textId="46E2B168">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Wanneer de inschatting verschilt, belemmert dit een eenduidig, adequaat en slagvaardig handelen. Het kan leiden tot een laissez-faire houding en bagatelliseren, wanneer handelen vereist is of overreageren wanneer er sprake is van gezond seksueel experimenteergedrag bij bijvoorbeeld kinderen en jongeren. Het ontbreken van objectiviteit en een gezamenlijke taal is het gevolg.</w:t>
      </w:r>
    </w:p>
    <w:p w:rsidRPr="00276D23" w:rsidR="00166A53" w:rsidP="00276D23" w:rsidRDefault="00166A53" w14:paraId="01BCAC97" w14:textId="77777777">
      <w:pPr>
        <w:spacing w:after="0" w:line="276" w:lineRule="auto"/>
        <w:rPr>
          <w:rFonts w:ascii="Arial" w:hAnsi="Arial" w:eastAsia="Arial" w:cs="Arial"/>
          <w:color w:val="000000" w:themeColor="text1"/>
          <w:sz w:val="20"/>
          <w:szCs w:val="20"/>
        </w:rPr>
      </w:pPr>
    </w:p>
    <w:p w:rsidRPr="00276D23" w:rsidR="00C7766A" w:rsidP="00276D23" w:rsidRDefault="00E20021" w14:paraId="647A9609" w14:textId="1719FE18">
      <w:pPr>
        <w:spacing w:after="0" w:line="276" w:lineRule="auto"/>
        <w:ind w:left="426" w:hanging="426"/>
        <w:rPr>
          <w:rFonts w:ascii="Arial" w:hAnsi="Arial" w:eastAsia="Arial" w:cs="Arial"/>
          <w:b/>
          <w:bCs/>
          <w:color w:val="000000" w:themeColor="text1"/>
          <w:sz w:val="20"/>
          <w:szCs w:val="20"/>
        </w:rPr>
      </w:pPr>
      <w:r w:rsidRPr="00276D23">
        <w:rPr>
          <w:rFonts w:ascii="Arial" w:hAnsi="Arial" w:eastAsia="Arial" w:cs="Arial"/>
          <w:b/>
          <w:bCs/>
          <w:color w:val="000000" w:themeColor="text1"/>
          <w:sz w:val="20"/>
          <w:szCs w:val="20"/>
        </w:rPr>
        <w:t xml:space="preserve">1. </w:t>
      </w:r>
      <w:r w:rsidRPr="00276D23" w:rsidR="00CD6805">
        <w:rPr>
          <w:rFonts w:ascii="Arial" w:hAnsi="Arial" w:eastAsia="Arial" w:cs="Arial"/>
          <w:b/>
          <w:bCs/>
          <w:color w:val="000000" w:themeColor="text1"/>
          <w:sz w:val="20"/>
          <w:szCs w:val="20"/>
        </w:rPr>
        <w:tab/>
      </w:r>
      <w:r w:rsidRPr="00276D23">
        <w:rPr>
          <w:rFonts w:ascii="Arial" w:hAnsi="Arial" w:eastAsia="Arial" w:cs="Arial"/>
          <w:b/>
          <w:bCs/>
          <w:color w:val="000000" w:themeColor="text1"/>
          <w:sz w:val="20"/>
          <w:szCs w:val="20"/>
        </w:rPr>
        <w:t>Meer aandacht voor preventie</w:t>
      </w:r>
    </w:p>
    <w:p w:rsidRPr="00276D23" w:rsidR="00E20021" w:rsidP="00276D23" w:rsidRDefault="00E20021" w14:paraId="663087CA" w14:textId="1CCABB18">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Hoewel er veel gesproken wordt over preventie, wordt dit niet voldoende vertaald naar onderzoek naar wat werkt en het toepassen van wat we weten dat werkt. Uit onderzoek naar wat werkt bij het tegengaan van discriminatoir gedrag </w:t>
      </w:r>
      <w:r w:rsidRPr="00276D23" w:rsidR="005E61CE">
        <w:rPr>
          <w:rFonts w:ascii="Arial" w:hAnsi="Arial" w:eastAsia="Arial" w:cs="Arial"/>
          <w:color w:val="000000" w:themeColor="text1"/>
          <w:sz w:val="20"/>
          <w:szCs w:val="20"/>
        </w:rPr>
        <w:t>weten we dat het stellen van een sociale norm helpt om ongewenst gedrag tegen te gaan.</w:t>
      </w:r>
      <w:r w:rsidRPr="00276D23" w:rsidR="00187661">
        <w:rPr>
          <w:rStyle w:val="Voetnootmarkering"/>
          <w:rFonts w:ascii="Arial" w:hAnsi="Arial" w:eastAsia="Arial" w:cs="Arial"/>
          <w:b/>
          <w:bCs/>
          <w:color w:val="000000" w:themeColor="text1"/>
          <w:sz w:val="20"/>
          <w:szCs w:val="20"/>
        </w:rPr>
        <w:footnoteReference w:id="1"/>
      </w:r>
      <w:r w:rsidRPr="00276D23" w:rsidR="005E61CE">
        <w:rPr>
          <w:rFonts w:ascii="Arial" w:hAnsi="Arial" w:eastAsia="Arial" w:cs="Arial"/>
          <w:color w:val="000000" w:themeColor="text1"/>
          <w:sz w:val="20"/>
          <w:szCs w:val="20"/>
        </w:rPr>
        <w:t xml:space="preserve"> Dit is ook iets dat we bepleiten bij het tegengaan van seksueel grensoverschrijdend gedrag. Movisie heeft hier een normstellend kader voor ontwikkeld. </w:t>
      </w:r>
    </w:p>
    <w:p w:rsidRPr="00276D23" w:rsidR="00166A53" w:rsidP="00276D23" w:rsidRDefault="00166A53" w14:paraId="03C0FEC9" w14:textId="77777777">
      <w:pPr>
        <w:spacing w:after="0" w:line="276" w:lineRule="auto"/>
        <w:rPr>
          <w:rFonts w:ascii="Arial" w:hAnsi="Arial" w:eastAsia="Arial" w:cs="Arial"/>
          <w:color w:val="000000" w:themeColor="text1"/>
          <w:sz w:val="20"/>
          <w:szCs w:val="20"/>
        </w:rPr>
      </w:pPr>
    </w:p>
    <w:p w:rsidRPr="00276D23" w:rsidR="00C7766A" w:rsidP="00276D23" w:rsidRDefault="005E61CE" w14:paraId="69989E28" w14:textId="3D09FCC9">
      <w:pPr>
        <w:spacing w:after="0" w:line="276" w:lineRule="auto"/>
        <w:rPr>
          <w:rFonts w:ascii="Arial" w:hAnsi="Arial" w:eastAsia="Arial" w:cs="Arial"/>
          <w:color w:val="000000" w:themeColor="text1"/>
          <w:sz w:val="20"/>
          <w:szCs w:val="20"/>
        </w:rPr>
      </w:pPr>
      <w:r w:rsidRPr="00276D23">
        <w:rPr>
          <w:rFonts w:ascii="Arial" w:hAnsi="Arial" w:eastAsia="Arial" w:cs="Arial"/>
          <w:b/>
          <w:bCs/>
          <w:color w:val="000000" w:themeColor="text1"/>
          <w:sz w:val="20"/>
          <w:szCs w:val="20"/>
        </w:rPr>
        <w:t>1.a. Gezamenlijke sociale norm</w:t>
      </w:r>
    </w:p>
    <w:p w:rsidRPr="00276D23" w:rsidR="00C7766A" w:rsidP="00276D23" w:rsidRDefault="507BAC66" w14:paraId="489EB6F1" w14:textId="35FC457E">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Om een antwoord te bieden op het ontbreken van een eenduidig beoordelingskader ontwikkelde Movisie</w:t>
      </w:r>
      <w:r w:rsidRPr="00276D23" w:rsidR="009303C7">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xml:space="preserve"> in samenwerking met experts en professionals</w:t>
      </w:r>
      <w:r w:rsidRPr="00276D23" w:rsidR="009303C7">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xml:space="preserve"> diverse methodieken gericht op het duiden en beoordelen van (seksueel) grensoverschrijdend gedrag. </w:t>
      </w:r>
    </w:p>
    <w:p w:rsidRPr="00276D23" w:rsidR="00C7766A" w:rsidP="00276D23" w:rsidRDefault="507BAC66" w14:paraId="1A76E5D9" w14:textId="6F583164">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Ingezet is op het vergroten van kennis, de attitude en het versterken van de vaardigheden. Deze methodieken geven bestuurders, professionals en omstanders tools om deze belangrijke thematiek te duiden, te beoordelen en aan te pakken.</w:t>
      </w:r>
    </w:p>
    <w:p w:rsidRPr="00276D23" w:rsidR="00C7766A" w:rsidP="00276D23" w:rsidRDefault="507BAC66" w14:paraId="78715718" w14:textId="287858A5">
      <w:pPr>
        <w:pStyle w:val="Lijstalinea"/>
        <w:numPr>
          <w:ilvl w:val="0"/>
          <w:numId w:val="1"/>
        </w:numPr>
        <w:spacing w:line="276" w:lineRule="auto"/>
        <w:rPr>
          <w:rFonts w:ascii="Arial" w:hAnsi="Arial" w:cs="Arial" w:eastAsiaTheme="minorEastAsia"/>
          <w:color w:val="000000" w:themeColor="text1"/>
          <w:sz w:val="20"/>
          <w:szCs w:val="20"/>
        </w:rPr>
      </w:pPr>
      <w:r w:rsidRPr="00276D23">
        <w:rPr>
          <w:rFonts w:ascii="Arial" w:hAnsi="Arial" w:eastAsia="Arial" w:cs="Arial"/>
          <w:color w:val="000000" w:themeColor="text1"/>
          <w:sz w:val="20"/>
          <w:szCs w:val="20"/>
        </w:rPr>
        <w:t xml:space="preserve">Het Vlaggensysteem; doorontwikkeling voor Nederland gebaseerd op het Vlaggensysteem van </w:t>
      </w:r>
      <w:proofErr w:type="spellStart"/>
      <w:r w:rsidRPr="00276D23">
        <w:rPr>
          <w:rFonts w:ascii="Arial" w:hAnsi="Arial" w:eastAsia="Arial" w:cs="Arial"/>
          <w:color w:val="000000" w:themeColor="text1"/>
          <w:sz w:val="20"/>
          <w:szCs w:val="20"/>
        </w:rPr>
        <w:t>Sensoa</w:t>
      </w:r>
      <w:proofErr w:type="spellEnd"/>
      <w:r w:rsidRPr="00276D23" w:rsidR="009303C7">
        <w:rPr>
          <w:rFonts w:ascii="Arial" w:hAnsi="Arial" w:eastAsia="Arial" w:cs="Arial"/>
          <w:color w:val="000000" w:themeColor="text1"/>
          <w:sz w:val="20"/>
          <w:szCs w:val="20"/>
        </w:rPr>
        <w:t xml:space="preserve">. Zie: </w:t>
      </w:r>
      <w:hyperlink r:id="rId10">
        <w:r w:rsidRPr="00276D23">
          <w:rPr>
            <w:rStyle w:val="Hyperlink"/>
            <w:rFonts w:ascii="Arial" w:hAnsi="Arial" w:eastAsia="Arial" w:cs="Arial"/>
            <w:sz w:val="20"/>
            <w:szCs w:val="20"/>
          </w:rPr>
          <w:t>https://www.movisie.nl/publicatie/over-grens-seksueel-opvoeden-vlaggensysteem</w:t>
        </w:r>
      </w:hyperlink>
      <w:r w:rsidRPr="00276D23">
        <w:rPr>
          <w:rFonts w:ascii="Arial" w:hAnsi="Arial" w:eastAsia="Arial" w:cs="Arial"/>
          <w:color w:val="000000" w:themeColor="text1"/>
          <w:sz w:val="20"/>
          <w:szCs w:val="20"/>
        </w:rPr>
        <w:t xml:space="preserve"> en </w:t>
      </w:r>
      <w:hyperlink r:id="rId11">
        <w:r w:rsidRPr="00276D23">
          <w:rPr>
            <w:rStyle w:val="Hyperlink"/>
            <w:rFonts w:ascii="Arial" w:hAnsi="Arial" w:eastAsia="Arial" w:cs="Arial"/>
            <w:sz w:val="20"/>
            <w:szCs w:val="20"/>
          </w:rPr>
          <w:t>https://www.movisie.nl/artikel/seksueel-gedrag-jeugdigen-bespreekbaar-maken-vlaggensysteem</w:t>
        </w:r>
      </w:hyperlink>
      <w:r w:rsidRPr="00276D23">
        <w:rPr>
          <w:rFonts w:ascii="Arial" w:hAnsi="Arial" w:eastAsia="Arial" w:cs="Arial"/>
          <w:color w:val="000000" w:themeColor="text1"/>
          <w:sz w:val="20"/>
          <w:szCs w:val="20"/>
        </w:rPr>
        <w:t xml:space="preserve"> </w:t>
      </w:r>
    </w:p>
    <w:p w:rsidRPr="00276D23" w:rsidR="00C7766A" w:rsidP="00276D23" w:rsidRDefault="009303C7" w14:paraId="74B7A34F" w14:textId="7F7BCD3B">
      <w:pPr>
        <w:pStyle w:val="Lijstalinea"/>
        <w:numPr>
          <w:ilvl w:val="0"/>
          <w:numId w:val="1"/>
        </w:numPr>
        <w:spacing w:line="276" w:lineRule="auto"/>
        <w:rPr>
          <w:rFonts w:ascii="Arial" w:hAnsi="Arial" w:cs="Arial" w:eastAsiaTheme="minorEastAsia"/>
          <w:color w:val="000000" w:themeColor="text1"/>
          <w:sz w:val="20"/>
          <w:szCs w:val="20"/>
        </w:rPr>
      </w:pPr>
      <w:r w:rsidRPr="00276D23">
        <w:rPr>
          <w:rFonts w:ascii="Arial" w:hAnsi="Arial" w:eastAsia="Arial" w:cs="Arial"/>
          <w:sz w:val="20"/>
          <w:szCs w:val="20"/>
        </w:rPr>
        <w:t>‘</w:t>
      </w:r>
      <w:r w:rsidRPr="00276D23" w:rsidR="507BAC66">
        <w:rPr>
          <w:rFonts w:ascii="Arial" w:hAnsi="Arial" w:eastAsia="Arial" w:cs="Arial"/>
          <w:sz w:val="20"/>
          <w:szCs w:val="20"/>
        </w:rPr>
        <w:t>Je Lijf, je Lief!’ een lesprogramma met als doel relationeel en seksueel gezond gedrag te bevorderen bij leerlingen in het praktijkonderwijs. Doel is hen te ondersteunen in het beter herkennen en respecteren van de eigen wensen en grenzen en die van anderen op het gebied van relaties en seks.</w:t>
      </w:r>
      <w:r w:rsidRPr="00276D23">
        <w:rPr>
          <w:rFonts w:ascii="Arial" w:hAnsi="Arial" w:eastAsia="Arial" w:cs="Arial"/>
          <w:color w:val="000000" w:themeColor="text1"/>
          <w:sz w:val="20"/>
          <w:szCs w:val="20"/>
        </w:rPr>
        <w:t xml:space="preserve"> Zie: </w:t>
      </w:r>
      <w:hyperlink r:id="rId12">
        <w:r w:rsidRPr="00276D23" w:rsidR="507BAC66">
          <w:rPr>
            <w:rStyle w:val="Hyperlink"/>
            <w:rFonts w:ascii="Arial" w:hAnsi="Arial" w:eastAsia="Arial" w:cs="Arial"/>
            <w:sz w:val="20"/>
            <w:szCs w:val="20"/>
          </w:rPr>
          <w:t>https://www.movisie.nl/interventie/je-lijf-je-lief</w:t>
        </w:r>
      </w:hyperlink>
      <w:r w:rsidRPr="00276D23" w:rsidR="507BAC66">
        <w:rPr>
          <w:rFonts w:ascii="Arial" w:hAnsi="Arial" w:eastAsia="Arial" w:cs="Arial"/>
          <w:color w:val="000000" w:themeColor="text1"/>
          <w:sz w:val="20"/>
          <w:szCs w:val="20"/>
        </w:rPr>
        <w:t xml:space="preserve"> </w:t>
      </w:r>
    </w:p>
    <w:p w:rsidRPr="00276D23" w:rsidR="00C7766A" w:rsidP="00276D23" w:rsidRDefault="507BAC66" w14:paraId="666B2BAC" w14:textId="1D997269">
      <w:pPr>
        <w:pStyle w:val="Lijstalinea"/>
        <w:numPr>
          <w:ilvl w:val="0"/>
          <w:numId w:val="1"/>
        </w:numPr>
        <w:spacing w:line="276" w:lineRule="auto"/>
        <w:rPr>
          <w:rStyle w:val="Hyperlink"/>
          <w:rFonts w:ascii="Arial" w:hAnsi="Arial" w:cs="Arial" w:eastAsiaTheme="minorEastAsia"/>
          <w:color w:val="000000" w:themeColor="text1"/>
          <w:sz w:val="20"/>
          <w:szCs w:val="20"/>
          <w:u w:val="none"/>
        </w:rPr>
      </w:pPr>
      <w:r w:rsidRPr="00276D23">
        <w:rPr>
          <w:rFonts w:ascii="Arial" w:hAnsi="Arial" w:eastAsia="Arial" w:cs="Arial"/>
          <w:color w:val="000000" w:themeColor="text1"/>
          <w:sz w:val="20"/>
          <w:szCs w:val="20"/>
        </w:rPr>
        <w:t>Wegwijzer voor sport verenigingen</w:t>
      </w:r>
      <w:r w:rsidRPr="00276D23" w:rsidR="009303C7">
        <w:rPr>
          <w:rFonts w:ascii="Arial" w:hAnsi="Arial" w:eastAsia="Arial" w:cs="Arial"/>
          <w:color w:val="000000" w:themeColor="text1"/>
          <w:sz w:val="20"/>
          <w:szCs w:val="20"/>
        </w:rPr>
        <w:t xml:space="preserve">. Zie: </w:t>
      </w:r>
      <w:hyperlink r:id="rId13">
        <w:r w:rsidRPr="00276D23">
          <w:rPr>
            <w:rStyle w:val="Hyperlink"/>
            <w:rFonts w:ascii="Arial" w:hAnsi="Arial" w:eastAsia="Arial" w:cs="Arial"/>
            <w:sz w:val="20"/>
            <w:szCs w:val="20"/>
          </w:rPr>
          <w:t>https://www.movisie.nl/publicatie/wegwijzer-sportverenigingen-normen-stellen-grensoverschrijdend-gedrag</w:t>
        </w:r>
      </w:hyperlink>
    </w:p>
    <w:p w:rsidR="00276D23" w:rsidP="00276D23" w:rsidRDefault="00276D23" w14:paraId="22C6EBC1" w14:textId="3F481E27">
      <w:pPr>
        <w:spacing w:line="276" w:lineRule="auto"/>
        <w:rPr>
          <w:rFonts w:ascii="Arial" w:hAnsi="Arial" w:cs="Arial" w:eastAsiaTheme="minorEastAsia"/>
          <w:color w:val="000000" w:themeColor="text1"/>
          <w:sz w:val="20"/>
          <w:szCs w:val="20"/>
        </w:rPr>
      </w:pPr>
    </w:p>
    <w:p w:rsidRPr="00276D23" w:rsidR="00276D23" w:rsidP="00276D23" w:rsidRDefault="00276D23" w14:paraId="4CB98FD7" w14:textId="77777777">
      <w:pPr>
        <w:spacing w:line="276" w:lineRule="auto"/>
        <w:rPr>
          <w:rFonts w:ascii="Arial" w:hAnsi="Arial" w:cs="Arial" w:eastAsiaTheme="minorEastAsia"/>
          <w:color w:val="000000" w:themeColor="text1"/>
          <w:sz w:val="20"/>
          <w:szCs w:val="20"/>
        </w:rPr>
      </w:pPr>
    </w:p>
    <w:p w:rsidRPr="00276D23" w:rsidR="00C7766A" w:rsidP="00276D23" w:rsidRDefault="507BAC66" w14:paraId="4522328E" w14:textId="2BED6C03">
      <w:pPr>
        <w:pStyle w:val="Lijstalinea"/>
        <w:numPr>
          <w:ilvl w:val="0"/>
          <w:numId w:val="1"/>
        </w:numPr>
        <w:spacing w:line="276" w:lineRule="auto"/>
        <w:rPr>
          <w:rFonts w:ascii="Arial" w:hAnsi="Arial" w:cs="Arial" w:eastAsiaTheme="minorEastAsia"/>
          <w:color w:val="000000" w:themeColor="text1"/>
          <w:sz w:val="20"/>
          <w:szCs w:val="20"/>
        </w:rPr>
      </w:pPr>
      <w:proofErr w:type="spellStart"/>
      <w:r w:rsidRPr="00276D23">
        <w:rPr>
          <w:rFonts w:ascii="Arial" w:hAnsi="Arial" w:eastAsia="Arial" w:cs="Arial"/>
          <w:color w:val="000000" w:themeColor="text1"/>
          <w:sz w:val="20"/>
          <w:szCs w:val="20"/>
        </w:rPr>
        <w:lastRenderedPageBreak/>
        <w:t>RelatieWijs</w:t>
      </w:r>
      <w:proofErr w:type="spellEnd"/>
      <w:r w:rsidRPr="00276D23" w:rsidR="009303C7">
        <w:rPr>
          <w:rFonts w:ascii="Arial" w:hAnsi="Arial" w:eastAsia="Arial" w:cs="Arial"/>
          <w:color w:val="000000" w:themeColor="text1"/>
          <w:sz w:val="20"/>
          <w:szCs w:val="20"/>
        </w:rPr>
        <w:t xml:space="preserve">. Zie: </w:t>
      </w:r>
      <w:hyperlink r:id="rId14">
        <w:r w:rsidRPr="00276D23">
          <w:rPr>
            <w:rStyle w:val="Hyperlink"/>
            <w:rFonts w:ascii="Arial" w:hAnsi="Arial" w:eastAsia="Arial" w:cs="Arial"/>
            <w:sz w:val="20"/>
            <w:szCs w:val="20"/>
          </w:rPr>
          <w:t>https://www.movisie.nl/artikel/relatiewijs-bijgesteld-komt-digitaal-beschikbaar</w:t>
        </w:r>
      </w:hyperlink>
      <w:r w:rsidRPr="00276D23">
        <w:rPr>
          <w:rFonts w:ascii="Arial" w:hAnsi="Arial" w:eastAsia="Arial" w:cs="Arial"/>
          <w:color w:val="000000" w:themeColor="text1"/>
          <w:sz w:val="20"/>
          <w:szCs w:val="20"/>
        </w:rPr>
        <w:t xml:space="preserve"> (Ex)-</w:t>
      </w:r>
      <w:r w:rsidRPr="00276D23" w:rsidR="009303C7">
        <w:rPr>
          <w:rFonts w:ascii="Arial" w:hAnsi="Arial" w:eastAsia="Arial" w:cs="Arial"/>
          <w:color w:val="000000" w:themeColor="text1"/>
          <w:sz w:val="20"/>
          <w:szCs w:val="20"/>
        </w:rPr>
        <w:t>partner</w:t>
      </w:r>
      <w:r w:rsidRPr="00276D23">
        <w:rPr>
          <w:rFonts w:ascii="Arial" w:hAnsi="Arial" w:eastAsia="Arial" w:cs="Arial"/>
          <w:color w:val="000000" w:themeColor="text1"/>
          <w:sz w:val="20"/>
          <w:szCs w:val="20"/>
        </w:rPr>
        <w:t xml:space="preserve"> geweld is de meest voorkomende vorm van geweld</w:t>
      </w:r>
      <w:r w:rsidRPr="00276D23" w:rsidR="009303C7">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xml:space="preserve"> </w:t>
      </w:r>
      <w:proofErr w:type="spellStart"/>
      <w:r w:rsidRPr="00276D23">
        <w:rPr>
          <w:rFonts w:ascii="Arial" w:hAnsi="Arial" w:eastAsia="Arial" w:cs="Arial"/>
          <w:color w:val="000000" w:themeColor="text1"/>
          <w:sz w:val="20"/>
          <w:szCs w:val="20"/>
        </w:rPr>
        <w:t>RelatieWijs</w:t>
      </w:r>
      <w:proofErr w:type="spellEnd"/>
      <w:r w:rsidRPr="00276D23">
        <w:rPr>
          <w:rFonts w:ascii="Arial" w:hAnsi="Arial" w:eastAsia="Arial" w:cs="Arial"/>
          <w:color w:val="000000" w:themeColor="text1"/>
          <w:sz w:val="20"/>
          <w:szCs w:val="20"/>
        </w:rPr>
        <w:t xml:space="preserve"> biedt een instrumentarium voor het voorkómen en duurzaam stoppen van relationeel grensoverschrijdend gedrag onder (jong)volwassenen, door het verg</w:t>
      </w:r>
      <w:r w:rsidRPr="00276D23" w:rsidR="009303C7">
        <w:rPr>
          <w:rFonts w:ascii="Arial" w:hAnsi="Arial" w:eastAsia="Arial" w:cs="Arial"/>
          <w:color w:val="000000" w:themeColor="text1"/>
          <w:sz w:val="20"/>
          <w:szCs w:val="20"/>
        </w:rPr>
        <w:t>r</w:t>
      </w:r>
      <w:r w:rsidRPr="00276D23">
        <w:rPr>
          <w:rFonts w:ascii="Arial" w:hAnsi="Arial" w:eastAsia="Arial" w:cs="Arial"/>
          <w:color w:val="000000" w:themeColor="text1"/>
          <w:sz w:val="20"/>
          <w:szCs w:val="20"/>
        </w:rPr>
        <w:t>oten van de handelingsbekwaamheid van professional</w:t>
      </w:r>
      <w:r w:rsidRPr="00276D23" w:rsidR="009303C7">
        <w:rPr>
          <w:rFonts w:ascii="Arial" w:hAnsi="Arial" w:eastAsia="Arial" w:cs="Arial"/>
          <w:color w:val="000000" w:themeColor="text1"/>
          <w:sz w:val="20"/>
          <w:szCs w:val="20"/>
        </w:rPr>
        <w:t>.</w:t>
      </w:r>
    </w:p>
    <w:p w:rsidRPr="00276D23" w:rsidR="00C7766A" w:rsidP="00276D23" w:rsidRDefault="507BAC66" w14:paraId="28663B88" w14:textId="4E558029">
      <w:pPr>
        <w:pStyle w:val="Lijstalinea"/>
        <w:numPr>
          <w:ilvl w:val="0"/>
          <w:numId w:val="1"/>
        </w:numPr>
        <w:spacing w:line="276" w:lineRule="auto"/>
        <w:rPr>
          <w:rFonts w:ascii="Arial" w:hAnsi="Arial" w:cs="Arial" w:eastAsiaTheme="minorEastAsia"/>
          <w:color w:val="000000" w:themeColor="text1"/>
          <w:sz w:val="20"/>
          <w:szCs w:val="20"/>
        </w:rPr>
      </w:pPr>
      <w:r w:rsidRPr="00276D23">
        <w:rPr>
          <w:rFonts w:ascii="Arial" w:hAnsi="Arial" w:eastAsia="Arial" w:cs="Arial"/>
          <w:color w:val="000000" w:themeColor="text1"/>
          <w:sz w:val="20"/>
          <w:szCs w:val="20"/>
        </w:rPr>
        <w:t>In ontwikkeling: een tool voor duiden en beoordelen van seksueel grensoverschrijdend gedrag tussen volwassenen in het publieke domein. O</w:t>
      </w:r>
      <w:r w:rsidRPr="00276D23" w:rsidR="00646269">
        <w:rPr>
          <w:rFonts w:ascii="Arial" w:hAnsi="Arial" w:eastAsia="Arial" w:cs="Arial"/>
          <w:color w:val="000000" w:themeColor="text1"/>
          <w:sz w:val="20"/>
          <w:szCs w:val="20"/>
        </w:rPr>
        <w:t>p</w:t>
      </w:r>
      <w:r w:rsidRPr="00276D23">
        <w:rPr>
          <w:rFonts w:ascii="Arial" w:hAnsi="Arial" w:eastAsia="Arial" w:cs="Arial"/>
          <w:color w:val="000000" w:themeColor="text1"/>
          <w:sz w:val="20"/>
          <w:szCs w:val="20"/>
        </w:rPr>
        <w:t xml:space="preserve"> termijn bruikbaar voor onderwijs, zorginstellingen, vrijwilligerswerk.</w:t>
      </w:r>
    </w:p>
    <w:p w:rsidRPr="00276D23" w:rsidR="00C7766A" w:rsidP="00276D23" w:rsidRDefault="507BAC66" w14:paraId="1578510A" w14:textId="0080EBBD">
      <w:pPr>
        <w:pStyle w:val="Lijstalinea"/>
        <w:numPr>
          <w:ilvl w:val="0"/>
          <w:numId w:val="1"/>
        </w:numPr>
        <w:spacing w:after="0" w:line="276" w:lineRule="auto"/>
        <w:rPr>
          <w:rFonts w:ascii="Arial" w:hAnsi="Arial" w:cs="Arial" w:eastAsiaTheme="minorEastAsia"/>
          <w:color w:val="000000" w:themeColor="text1"/>
          <w:sz w:val="20"/>
          <w:szCs w:val="20"/>
        </w:rPr>
      </w:pPr>
      <w:r w:rsidRPr="00276D23">
        <w:rPr>
          <w:rFonts w:ascii="Arial" w:hAnsi="Arial" w:eastAsia="Arial" w:cs="Arial"/>
          <w:color w:val="000000" w:themeColor="text1"/>
          <w:sz w:val="20"/>
          <w:szCs w:val="20"/>
        </w:rPr>
        <w:t xml:space="preserve">Het </w:t>
      </w:r>
      <w:hyperlink r:id="rId15">
        <w:r w:rsidRPr="00276D23">
          <w:rPr>
            <w:rStyle w:val="Hyperlink"/>
            <w:rFonts w:ascii="Arial" w:hAnsi="Arial" w:eastAsia="Arial" w:cs="Arial"/>
            <w:sz w:val="20"/>
            <w:szCs w:val="20"/>
          </w:rPr>
          <w:t>rapport Ingrijpen bij grensoverschrijdend gedrag, hoe rust je omstanders toe</w:t>
        </w:r>
      </w:hyperlink>
      <w:r w:rsidRPr="00276D23">
        <w:rPr>
          <w:rFonts w:ascii="Arial" w:hAnsi="Arial" w:eastAsia="Arial" w:cs="Arial"/>
          <w:color w:val="000000" w:themeColor="text1"/>
          <w:sz w:val="20"/>
          <w:szCs w:val="20"/>
        </w:rPr>
        <w:t xml:space="preserve"> </w:t>
      </w:r>
    </w:p>
    <w:p w:rsidRPr="00276D23" w:rsidR="00A15C62" w:rsidP="00276D23" w:rsidRDefault="00A15C62" w14:paraId="6CE057CC" w14:textId="77777777">
      <w:pPr>
        <w:pStyle w:val="Lijstalinea"/>
        <w:spacing w:after="0" w:line="276" w:lineRule="auto"/>
        <w:rPr>
          <w:rFonts w:ascii="Arial" w:hAnsi="Arial" w:cs="Arial" w:eastAsiaTheme="minorEastAsia"/>
          <w:color w:val="000000" w:themeColor="text1"/>
          <w:sz w:val="20"/>
          <w:szCs w:val="20"/>
        </w:rPr>
      </w:pPr>
    </w:p>
    <w:p w:rsidRPr="00276D23" w:rsidR="00C7766A" w:rsidP="00276D23" w:rsidRDefault="507BAC66" w14:paraId="0C5B572E" w14:textId="1118D0DE">
      <w:pPr>
        <w:pStyle w:val="Kop2"/>
        <w:spacing w:line="276" w:lineRule="auto"/>
        <w:rPr>
          <w:rFonts w:ascii="Arial" w:hAnsi="Arial" w:eastAsia="Arial" w:cs="Arial"/>
          <w:i/>
          <w:iCs/>
          <w:color w:val="000000" w:themeColor="text1"/>
          <w:sz w:val="20"/>
          <w:szCs w:val="20"/>
        </w:rPr>
      </w:pPr>
      <w:r w:rsidRPr="00276D23">
        <w:rPr>
          <w:rFonts w:ascii="Arial" w:hAnsi="Arial" w:eastAsia="Arial" w:cs="Arial"/>
          <w:b/>
          <w:bCs/>
          <w:i/>
          <w:iCs/>
          <w:color w:val="000000" w:themeColor="text1"/>
          <w:sz w:val="20"/>
          <w:szCs w:val="20"/>
        </w:rPr>
        <w:t>Beoordelingssystematiek en handelingskader vormen samen het normstellend kader</w:t>
      </w:r>
    </w:p>
    <w:p w:rsidRPr="00276D23" w:rsidR="00C7766A" w:rsidP="00276D23" w:rsidRDefault="507BAC66" w14:paraId="3A63A037" w14:textId="530C2E11">
      <w:pPr>
        <w:pStyle w:val="Kop2"/>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Gezamenlijke noemer van bovengenoemde methodieken is het normstellend kader. </w:t>
      </w:r>
    </w:p>
    <w:p w:rsidRPr="00276D23" w:rsidR="0010283B" w:rsidP="00276D23" w:rsidRDefault="507BAC66" w14:paraId="1784A9A4" w14:textId="77777777">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Voor het beoordelen van seksueel gedrag vindt toetsing plaats met behulp van criteria: </w:t>
      </w:r>
    </w:p>
    <w:p w:rsidRPr="00276D23" w:rsidR="0010283B" w:rsidP="00276D23" w:rsidRDefault="507BAC66" w14:paraId="0AF13041" w14:textId="77777777">
      <w:pPr>
        <w:pStyle w:val="Lijstalinea"/>
        <w:numPr>
          <w:ilvl w:val="0"/>
          <w:numId w:val="3"/>
        </w:numPr>
        <w:spacing w:line="276" w:lineRule="auto"/>
        <w:rPr>
          <w:rFonts w:ascii="Arial" w:hAnsi="Arial" w:eastAsia="Calibri" w:cs="Arial"/>
          <w:color w:val="000000" w:themeColor="text1"/>
          <w:sz w:val="20"/>
          <w:szCs w:val="20"/>
        </w:rPr>
      </w:pPr>
      <w:r w:rsidRPr="00276D23">
        <w:rPr>
          <w:rFonts w:ascii="Arial" w:hAnsi="Arial" w:eastAsia="Arial" w:cs="Arial"/>
          <w:color w:val="000000" w:themeColor="text1"/>
          <w:sz w:val="20"/>
          <w:szCs w:val="20"/>
        </w:rPr>
        <w:t xml:space="preserve">wederzijdse toestemming, </w:t>
      </w:r>
    </w:p>
    <w:p w:rsidRPr="00276D23" w:rsidR="0010283B" w:rsidP="00276D23" w:rsidRDefault="507BAC66" w14:paraId="4BE52420" w14:textId="77777777">
      <w:pPr>
        <w:pStyle w:val="Lijstalinea"/>
        <w:numPr>
          <w:ilvl w:val="0"/>
          <w:numId w:val="3"/>
        </w:numPr>
        <w:spacing w:line="276" w:lineRule="auto"/>
        <w:rPr>
          <w:rFonts w:ascii="Arial" w:hAnsi="Arial" w:eastAsia="Calibri" w:cs="Arial"/>
          <w:color w:val="000000" w:themeColor="text1"/>
          <w:sz w:val="20"/>
          <w:szCs w:val="20"/>
        </w:rPr>
      </w:pPr>
      <w:r w:rsidRPr="00276D23">
        <w:rPr>
          <w:rFonts w:ascii="Arial" w:hAnsi="Arial" w:eastAsia="Arial" w:cs="Arial"/>
          <w:color w:val="000000" w:themeColor="text1"/>
          <w:sz w:val="20"/>
          <w:szCs w:val="20"/>
        </w:rPr>
        <w:t xml:space="preserve">vrijwilligheid, </w:t>
      </w:r>
    </w:p>
    <w:p w:rsidRPr="00276D23" w:rsidR="0010283B" w:rsidP="00276D23" w:rsidRDefault="507BAC66" w14:paraId="2BD6528D" w14:textId="77777777">
      <w:pPr>
        <w:pStyle w:val="Lijstalinea"/>
        <w:numPr>
          <w:ilvl w:val="0"/>
          <w:numId w:val="3"/>
        </w:numPr>
        <w:spacing w:line="276" w:lineRule="auto"/>
        <w:rPr>
          <w:rFonts w:ascii="Arial" w:hAnsi="Arial" w:eastAsia="Calibri" w:cs="Arial"/>
          <w:color w:val="000000" w:themeColor="text1"/>
          <w:sz w:val="20"/>
          <w:szCs w:val="20"/>
        </w:rPr>
      </w:pPr>
      <w:r w:rsidRPr="00276D23">
        <w:rPr>
          <w:rFonts w:ascii="Arial" w:hAnsi="Arial" w:eastAsia="Arial" w:cs="Arial"/>
          <w:color w:val="000000" w:themeColor="text1"/>
          <w:sz w:val="20"/>
          <w:szCs w:val="20"/>
        </w:rPr>
        <w:t xml:space="preserve">gelijkwaardigheid, </w:t>
      </w:r>
    </w:p>
    <w:p w:rsidRPr="00276D23" w:rsidR="0010283B" w:rsidP="00276D23" w:rsidRDefault="0010283B" w14:paraId="4F7541FA" w14:textId="03B97833">
      <w:pPr>
        <w:pStyle w:val="Lijstalinea"/>
        <w:numPr>
          <w:ilvl w:val="0"/>
          <w:numId w:val="3"/>
        </w:numPr>
        <w:spacing w:line="276" w:lineRule="auto"/>
        <w:rPr>
          <w:rFonts w:ascii="Arial" w:hAnsi="Arial" w:eastAsia="Calibri" w:cs="Arial"/>
          <w:color w:val="000000" w:themeColor="text1"/>
          <w:sz w:val="20"/>
          <w:szCs w:val="20"/>
        </w:rPr>
      </w:pPr>
      <w:r w:rsidRPr="00276D23">
        <w:rPr>
          <w:rFonts w:ascii="Arial" w:hAnsi="Arial" w:eastAsia="Arial" w:cs="Arial"/>
          <w:color w:val="000000" w:themeColor="text1"/>
          <w:sz w:val="20"/>
          <w:szCs w:val="20"/>
        </w:rPr>
        <w:t>passend bij de leeftijd</w:t>
      </w:r>
      <w:r w:rsidRPr="00276D23" w:rsidR="507BAC66">
        <w:rPr>
          <w:rFonts w:ascii="Arial" w:hAnsi="Arial" w:eastAsia="Arial" w:cs="Arial"/>
          <w:color w:val="000000" w:themeColor="text1"/>
          <w:sz w:val="20"/>
          <w:szCs w:val="20"/>
        </w:rPr>
        <w:t xml:space="preserve">, </w:t>
      </w:r>
    </w:p>
    <w:p w:rsidRPr="00276D23" w:rsidR="0010283B" w:rsidP="00276D23" w:rsidRDefault="507BAC66" w14:paraId="485DCA11" w14:textId="77777777">
      <w:pPr>
        <w:pStyle w:val="Lijstalinea"/>
        <w:numPr>
          <w:ilvl w:val="0"/>
          <w:numId w:val="3"/>
        </w:numPr>
        <w:spacing w:line="276" w:lineRule="auto"/>
        <w:rPr>
          <w:rFonts w:ascii="Arial" w:hAnsi="Arial" w:eastAsia="Calibri" w:cs="Arial"/>
          <w:color w:val="000000" w:themeColor="text1"/>
          <w:sz w:val="20"/>
          <w:szCs w:val="20"/>
        </w:rPr>
      </w:pPr>
      <w:r w:rsidRPr="00276D23">
        <w:rPr>
          <w:rFonts w:ascii="Arial" w:hAnsi="Arial" w:eastAsia="Arial" w:cs="Arial"/>
          <w:color w:val="000000" w:themeColor="text1"/>
          <w:sz w:val="20"/>
          <w:szCs w:val="20"/>
        </w:rPr>
        <w:t xml:space="preserve">passend bij de omgeving, </w:t>
      </w:r>
    </w:p>
    <w:p w:rsidRPr="00276D23" w:rsidR="0010283B" w:rsidP="00276D23" w:rsidRDefault="507BAC66" w14:paraId="20BAA47E" w14:textId="34268986">
      <w:pPr>
        <w:pStyle w:val="Lijstalinea"/>
        <w:numPr>
          <w:ilvl w:val="0"/>
          <w:numId w:val="3"/>
        </w:numPr>
        <w:spacing w:line="276" w:lineRule="auto"/>
        <w:rPr>
          <w:rFonts w:ascii="Arial" w:hAnsi="Arial" w:cs="Arial" w:eastAsiaTheme="minorEastAsia"/>
          <w:color w:val="000000" w:themeColor="text1"/>
          <w:sz w:val="20"/>
          <w:szCs w:val="20"/>
        </w:rPr>
      </w:pPr>
      <w:r w:rsidRPr="00276D23">
        <w:rPr>
          <w:rFonts w:ascii="Arial" w:hAnsi="Arial" w:eastAsia="Arial" w:cs="Arial"/>
          <w:color w:val="000000" w:themeColor="text1"/>
          <w:sz w:val="20"/>
          <w:szCs w:val="20"/>
        </w:rPr>
        <w:t xml:space="preserve">zelfrespect  </w:t>
      </w:r>
    </w:p>
    <w:p w:rsidRPr="00276D23" w:rsidR="0010283B" w:rsidP="00276D23" w:rsidRDefault="507BAC66" w14:paraId="46DED385" w14:textId="45551D8C">
      <w:pPr>
        <w:pStyle w:val="Lijstalinea"/>
        <w:numPr>
          <w:ilvl w:val="0"/>
          <w:numId w:val="3"/>
        </w:numPr>
        <w:spacing w:line="276" w:lineRule="auto"/>
        <w:rPr>
          <w:rFonts w:ascii="Arial" w:hAnsi="Arial" w:cs="Arial"/>
          <w:color w:val="000000" w:themeColor="text1"/>
          <w:sz w:val="20"/>
          <w:szCs w:val="20"/>
        </w:rPr>
      </w:pPr>
      <w:r w:rsidRPr="00276D23">
        <w:rPr>
          <w:rFonts w:ascii="Arial" w:hAnsi="Arial" w:eastAsia="Arial" w:cs="Arial"/>
          <w:color w:val="000000" w:themeColor="text1"/>
          <w:sz w:val="20"/>
          <w:szCs w:val="20"/>
        </w:rPr>
        <w:t xml:space="preserve">respect voor de ander. </w:t>
      </w:r>
    </w:p>
    <w:p w:rsidRPr="00276D23" w:rsidR="00C7766A" w:rsidP="00276D23" w:rsidRDefault="507BAC66" w14:paraId="6C80AD5B" w14:textId="6534614C">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Deze criteria, samen met richtlijnen voor het wegen en beoordelen, vormen de basis van de beoordelingssystematiek. Om te bepalen of gedrag positief en gezond is, óf grensoverschrijdend, wordt gekeken naar de aard en frequentie van het gedrag. Na weging wordt het gedrag beoordeeld met een vlag of kleurkaart: positief en gezond (groen) of grensoverschrijdend: licht (geel), ernstig (oranje) of zeer ernstig (rood). De kleurkaart geeft richting aan het professionele handelen. </w:t>
      </w:r>
    </w:p>
    <w:p w:rsidRPr="00276D23" w:rsidR="00166A53" w:rsidP="00276D23" w:rsidRDefault="00166A53" w14:paraId="25858B16" w14:textId="77777777">
      <w:pPr>
        <w:spacing w:after="0" w:line="276" w:lineRule="auto"/>
        <w:rPr>
          <w:rFonts w:ascii="Arial" w:hAnsi="Arial" w:eastAsia="Arial" w:cs="Arial"/>
          <w:color w:val="000000" w:themeColor="text1"/>
          <w:sz w:val="20"/>
          <w:szCs w:val="20"/>
        </w:rPr>
      </w:pPr>
    </w:p>
    <w:p w:rsidRPr="00276D23" w:rsidR="00C7766A" w:rsidP="00276D23" w:rsidRDefault="005E61CE" w14:paraId="26312FB9" w14:textId="457A6F82">
      <w:pPr>
        <w:spacing w:line="276" w:lineRule="auto"/>
        <w:rPr>
          <w:rFonts w:ascii="Arial" w:hAnsi="Arial" w:eastAsia="Arial" w:cs="Arial"/>
          <w:color w:val="000000" w:themeColor="text1"/>
          <w:sz w:val="20"/>
          <w:szCs w:val="20"/>
        </w:rPr>
      </w:pPr>
      <w:r w:rsidRPr="00276D23">
        <w:rPr>
          <w:rFonts w:ascii="Arial" w:hAnsi="Arial" w:eastAsia="Arial" w:cs="Arial"/>
          <w:b/>
          <w:bCs/>
          <w:color w:val="000000" w:themeColor="text1"/>
          <w:sz w:val="20"/>
          <w:szCs w:val="20"/>
        </w:rPr>
        <w:t>1.b. Rol van burgers, professionals en beleidsmakers</w:t>
      </w:r>
    </w:p>
    <w:p w:rsidRPr="00276D23" w:rsidR="00C7766A" w:rsidP="00276D23" w:rsidRDefault="507BAC66" w14:paraId="21751673" w14:textId="77424ED5">
      <w:pPr>
        <w:spacing w:line="276" w:lineRule="auto"/>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Als je weet wat we verstaan onder gelijkwaardigheid, vrijwilligheid et cetera, dan ga je anders naar situaties kijken, signalen oppikken en creëer je dus met elkaar een gemeenschappelijke taal. Het criterium is geen lege huls, er zitten vragen achter die helpen om naar de praktijk te kijken.</w:t>
      </w:r>
      <w:r w:rsidRPr="00276D23">
        <w:rPr>
          <w:rFonts w:ascii="Arial" w:hAnsi="Arial" w:eastAsia="Arial" w:cs="Arial"/>
          <w:color w:val="000000" w:themeColor="text1"/>
          <w:sz w:val="20"/>
          <w:szCs w:val="20"/>
        </w:rPr>
        <w:t xml:space="preserve"> </w:t>
      </w:r>
    </w:p>
    <w:p w:rsidRPr="00276D23" w:rsidR="00C7766A" w:rsidP="00276D23" w:rsidRDefault="507BAC66" w14:paraId="1E4B8F78" w14:textId="1D23AD21">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Met een normstellend kader kan beoordeeld worden of gedrag in het grijze middenveld acceptabel of onacceptabel is. Het normstellend kader helpt om het gesprek over grensoverschrijdend gedrag aan te gaan op de werkvloer en geeft richting aan het handelen bij incidenten. Een normstellend kader heeft drie functies:</w:t>
      </w:r>
    </w:p>
    <w:p w:rsidRPr="00276D23" w:rsidR="00C7766A" w:rsidP="00276D23" w:rsidRDefault="507BAC66" w14:paraId="44EAC8B3" w14:textId="523E5F96">
      <w:pPr>
        <w:spacing w:line="276" w:lineRule="auto"/>
        <w:ind w:left="426" w:hanging="425"/>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1. </w:t>
      </w:r>
      <w:r w:rsidRPr="00276D23" w:rsidR="00646269">
        <w:rPr>
          <w:rFonts w:ascii="Arial" w:hAnsi="Arial" w:eastAsia="Arial" w:cs="Arial"/>
          <w:color w:val="000000" w:themeColor="text1"/>
          <w:sz w:val="20"/>
          <w:szCs w:val="20"/>
        </w:rPr>
        <w:tab/>
      </w:r>
      <w:r w:rsidRPr="00276D23">
        <w:rPr>
          <w:rFonts w:ascii="Arial" w:hAnsi="Arial" w:eastAsia="Arial" w:cs="Arial"/>
          <w:color w:val="000000" w:themeColor="text1"/>
          <w:sz w:val="20"/>
          <w:szCs w:val="20"/>
        </w:rPr>
        <w:t>Het helpt professionals, bestuurders en omstanders om grensoverschrijdend gedrag te herkennen en te zien wat er moet worden gezien.</w:t>
      </w:r>
    </w:p>
    <w:p w:rsidRPr="00276D23" w:rsidR="00C7766A" w:rsidP="00276D23" w:rsidRDefault="507BAC66" w14:paraId="2D255FBE" w14:textId="3C196DEE">
      <w:pPr>
        <w:spacing w:line="276" w:lineRule="auto"/>
        <w:ind w:left="426" w:hanging="425"/>
        <w:rPr>
          <w:rFonts w:ascii="Arial" w:hAnsi="Arial" w:eastAsia="Arial" w:cs="Arial"/>
          <w:color w:val="000000" w:themeColor="text1"/>
          <w:sz w:val="20"/>
          <w:szCs w:val="20"/>
        </w:rPr>
      </w:pPr>
      <w:r w:rsidRPr="00276D23">
        <w:rPr>
          <w:rFonts w:ascii="Arial" w:hAnsi="Arial" w:eastAsia="Arial" w:cs="Arial"/>
          <w:color w:val="000000" w:themeColor="text1"/>
          <w:sz w:val="20"/>
          <w:szCs w:val="20"/>
        </w:rPr>
        <w:t>2.</w:t>
      </w:r>
      <w:r w:rsidRPr="00276D23" w:rsidR="00646269">
        <w:rPr>
          <w:rFonts w:ascii="Arial" w:hAnsi="Arial" w:eastAsia="Arial" w:cs="Arial"/>
          <w:color w:val="000000" w:themeColor="text1"/>
          <w:sz w:val="20"/>
          <w:szCs w:val="20"/>
        </w:rPr>
        <w:tab/>
      </w:r>
      <w:r w:rsidRPr="00276D23">
        <w:rPr>
          <w:rFonts w:ascii="Arial" w:hAnsi="Arial" w:eastAsia="Arial" w:cs="Arial"/>
          <w:color w:val="000000" w:themeColor="text1"/>
          <w:sz w:val="20"/>
          <w:szCs w:val="20"/>
        </w:rPr>
        <w:t xml:space="preserve">Het helpt om verantwoordelijkheid te nemen, zowel bij ‘het grijze gebied’ als bij grensoverschrijdend gedrag, omdat het kader duidelijk maakt wanneer een grens overschreden wordt of dreigt te worden. </w:t>
      </w:r>
    </w:p>
    <w:p w:rsidRPr="00276D23" w:rsidR="00C7766A" w:rsidP="00276D23" w:rsidRDefault="507BAC66" w14:paraId="35E48B80" w14:textId="15CB8081">
      <w:pPr>
        <w:spacing w:after="0" w:line="276" w:lineRule="auto"/>
        <w:ind w:left="426" w:hanging="425"/>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3. </w:t>
      </w:r>
      <w:r w:rsidRPr="00276D23" w:rsidR="00646269">
        <w:rPr>
          <w:rFonts w:ascii="Arial" w:hAnsi="Arial" w:eastAsia="Arial" w:cs="Arial"/>
          <w:color w:val="000000" w:themeColor="text1"/>
          <w:sz w:val="20"/>
          <w:szCs w:val="20"/>
        </w:rPr>
        <w:tab/>
      </w:r>
      <w:r w:rsidRPr="00276D23">
        <w:rPr>
          <w:rFonts w:ascii="Arial" w:hAnsi="Arial" w:eastAsia="Arial" w:cs="Arial"/>
          <w:color w:val="000000" w:themeColor="text1"/>
          <w:sz w:val="20"/>
          <w:szCs w:val="20"/>
        </w:rPr>
        <w:t>Het vergroot de handelingsbekwaamheid van vrijwilligers en professionals, omdat zij zich beter toegerust en gesteund voelen.</w:t>
      </w:r>
    </w:p>
    <w:p w:rsidRPr="00276D23" w:rsidR="00166A53" w:rsidP="00276D23" w:rsidRDefault="00166A53" w14:paraId="3B0D9E98" w14:textId="7F4B92F9">
      <w:pPr>
        <w:spacing w:after="0" w:line="276" w:lineRule="auto"/>
        <w:ind w:left="284" w:hanging="283"/>
        <w:rPr>
          <w:rFonts w:ascii="Arial" w:hAnsi="Arial" w:eastAsia="Arial" w:cs="Arial"/>
          <w:color w:val="000000" w:themeColor="text1"/>
          <w:sz w:val="20"/>
          <w:szCs w:val="20"/>
        </w:rPr>
      </w:pPr>
    </w:p>
    <w:p w:rsidRPr="00276D23" w:rsidR="00E82244" w:rsidP="00276D23" w:rsidRDefault="00E82244" w14:paraId="11526334" w14:textId="77777777">
      <w:pPr>
        <w:spacing w:after="0" w:line="276" w:lineRule="auto"/>
        <w:ind w:left="284" w:hanging="283"/>
        <w:rPr>
          <w:rFonts w:ascii="Arial" w:hAnsi="Arial" w:eastAsia="Arial" w:cs="Arial"/>
          <w:color w:val="000000" w:themeColor="text1"/>
          <w:sz w:val="20"/>
          <w:szCs w:val="20"/>
        </w:rPr>
      </w:pPr>
    </w:p>
    <w:p w:rsidRPr="00276D23" w:rsidR="007E5FBD" w:rsidP="00276D23" w:rsidRDefault="1542533A" w14:paraId="202437BD" w14:textId="34B27211">
      <w:pPr>
        <w:spacing w:after="0" w:line="276" w:lineRule="auto"/>
        <w:ind w:left="426" w:hanging="426"/>
        <w:rPr>
          <w:rFonts w:ascii="Arial" w:hAnsi="Arial" w:eastAsia="Arial" w:cs="Arial"/>
          <w:b/>
          <w:bCs/>
          <w:color w:val="000000" w:themeColor="text1"/>
          <w:sz w:val="20"/>
          <w:szCs w:val="20"/>
        </w:rPr>
      </w:pPr>
      <w:r w:rsidRPr="00276D23">
        <w:rPr>
          <w:rFonts w:ascii="Arial" w:hAnsi="Arial" w:eastAsia="Arial" w:cs="Arial"/>
          <w:b/>
          <w:bCs/>
          <w:color w:val="000000" w:themeColor="text1"/>
          <w:sz w:val="20"/>
          <w:szCs w:val="20"/>
        </w:rPr>
        <w:t xml:space="preserve">2. </w:t>
      </w:r>
      <w:r w:rsidRPr="00276D23" w:rsidR="5206B369">
        <w:rPr>
          <w:rFonts w:ascii="Arial" w:hAnsi="Arial" w:eastAsia="Arial" w:cs="Arial"/>
          <w:b/>
          <w:bCs/>
          <w:color w:val="000000" w:themeColor="text1"/>
          <w:sz w:val="20"/>
          <w:szCs w:val="20"/>
        </w:rPr>
        <w:t>Samenhangend beleid vanuit een integrale blik</w:t>
      </w:r>
    </w:p>
    <w:p w:rsidRPr="00276D23" w:rsidR="00256EEC" w:rsidP="00276D23" w:rsidRDefault="00256EEC" w14:paraId="3CCEB4BE" w14:textId="77777777">
      <w:pPr>
        <w:spacing w:after="0" w:line="276" w:lineRule="auto"/>
        <w:ind w:left="426" w:hanging="426"/>
        <w:rPr>
          <w:rFonts w:ascii="Arial" w:hAnsi="Arial" w:eastAsia="Arial" w:cs="Arial"/>
          <w:b/>
          <w:bCs/>
          <w:color w:val="000000" w:themeColor="text1"/>
          <w:sz w:val="20"/>
          <w:szCs w:val="20"/>
        </w:rPr>
      </w:pPr>
    </w:p>
    <w:p w:rsidRPr="00276D23" w:rsidR="007E5FBD" w:rsidP="00276D23" w:rsidRDefault="5206B369" w14:paraId="79819500" w14:textId="0A9C9E60">
      <w:pPr>
        <w:spacing w:line="276" w:lineRule="auto"/>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 xml:space="preserve">Zowel in het openbaar als op de werkvloer komen meerdere vormen van grensoverschrijdend gedrag voor: pesten, discriminatie, seksueel grensoverschrijdend gedrag. Deze zorgen allemaal voor een sociaal onveilige werkvloer, een sociaal onveilige publieke ruimte. </w:t>
      </w:r>
      <w:r w:rsidRPr="00276D23" w:rsidR="4FAAE05B">
        <w:rPr>
          <w:rFonts w:ascii="Arial" w:hAnsi="Arial" w:eastAsia="Calibri" w:cs="Arial"/>
          <w:color w:val="000000" w:themeColor="text1"/>
          <w:sz w:val="20"/>
          <w:szCs w:val="20"/>
        </w:rPr>
        <w:t xml:space="preserve">Degene die het overkomt wordt in zijn of haar rechten aangetast. </w:t>
      </w:r>
    </w:p>
    <w:p w:rsidRPr="00276D23" w:rsidR="007E5FBD" w:rsidP="00276D23" w:rsidRDefault="00E82244" w14:paraId="287B094E" w14:textId="23833E74">
      <w:pPr>
        <w:spacing w:line="276" w:lineRule="auto"/>
        <w:ind w:left="426" w:hanging="425"/>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a.</w:t>
      </w:r>
      <w:r w:rsidRPr="00276D23" w:rsidR="008442FA">
        <w:rPr>
          <w:rFonts w:ascii="Arial" w:hAnsi="Arial" w:eastAsia="Calibri" w:cs="Arial"/>
          <w:color w:val="000000" w:themeColor="text1"/>
          <w:sz w:val="20"/>
          <w:szCs w:val="20"/>
        </w:rPr>
        <w:tab/>
      </w:r>
      <w:r w:rsidRPr="00276D23" w:rsidR="5206B369">
        <w:rPr>
          <w:rFonts w:ascii="Arial" w:hAnsi="Arial" w:eastAsia="Arial" w:cs="Arial"/>
          <w:color w:val="000000" w:themeColor="text1"/>
          <w:sz w:val="20"/>
          <w:szCs w:val="20"/>
        </w:rPr>
        <w:t>Verbinding</w:t>
      </w:r>
      <w:r w:rsidRPr="00276D23" w:rsidR="5206B369">
        <w:rPr>
          <w:rFonts w:ascii="Arial" w:hAnsi="Arial" w:eastAsia="Calibri" w:cs="Arial"/>
          <w:color w:val="000000" w:themeColor="text1"/>
          <w:sz w:val="20"/>
          <w:szCs w:val="20"/>
        </w:rPr>
        <w:t xml:space="preserve"> met ander grensoverschrijdend gedrag</w:t>
      </w:r>
    </w:p>
    <w:p w:rsidR="00276D23" w:rsidP="00276D23" w:rsidRDefault="4FAAE05B" w14:paraId="1EA8AF9B" w14:textId="77777777">
      <w:pPr>
        <w:spacing w:after="0" w:line="276" w:lineRule="auto"/>
        <w:rPr>
          <w:rFonts w:ascii="Arial" w:hAnsi="Arial" w:eastAsia="Calibri" w:cs="Arial"/>
          <w:sz w:val="20"/>
          <w:szCs w:val="20"/>
        </w:rPr>
      </w:pPr>
      <w:r w:rsidRPr="00276D23">
        <w:rPr>
          <w:rFonts w:ascii="Arial" w:hAnsi="Arial" w:eastAsia="Calibri" w:cs="Arial"/>
          <w:color w:val="000000" w:themeColor="text1"/>
          <w:sz w:val="20"/>
          <w:szCs w:val="20"/>
        </w:rPr>
        <w:t>In de openbare ruimte is seksueel grensoverschrijdend gedrag één van de onveilige situaties waar de overheid iets aan moet en kan doen. Daarbij is het van belang goed in beeld te hebben wie zich waar en wanneer onveilig voelt. Er zijn meerdere programma’s en projecten die zich richten op het veilig meedoen van verschillende groepen in de samenleving.</w:t>
      </w:r>
      <w:r w:rsidRPr="00276D23" w:rsidR="126ADFEB">
        <w:rPr>
          <w:rFonts w:ascii="Arial" w:hAnsi="Arial" w:eastAsia="Calibri" w:cs="Arial"/>
          <w:color w:val="000000" w:themeColor="text1"/>
          <w:sz w:val="20"/>
          <w:szCs w:val="20"/>
        </w:rPr>
        <w:t xml:space="preserve"> Zo bestaan er Regenboog steden (LHBTIQ), Veilige steden (seksuele intimidatie/vrouwen), Lokale Inclusie-agenda’s (mensen met een beperking/chronische ziekte). Door deze te verbinden en ook de preventieve aanpak met de repressieve aanpak te </w:t>
      </w:r>
      <w:r w:rsidRPr="00276D23" w:rsidR="126ADFEB">
        <w:rPr>
          <w:rFonts w:ascii="Arial" w:hAnsi="Arial" w:eastAsia="Calibri" w:cs="Arial"/>
          <w:sz w:val="20"/>
          <w:szCs w:val="20"/>
        </w:rPr>
        <w:t>verbinden,</w:t>
      </w:r>
      <w:r w:rsidRPr="00276D23" w:rsidR="007775E5">
        <w:rPr>
          <w:rFonts w:ascii="Arial" w:hAnsi="Arial" w:eastAsia="Calibri" w:cs="Arial"/>
          <w:sz w:val="20"/>
          <w:szCs w:val="20"/>
        </w:rPr>
        <w:t xml:space="preserve"> </w:t>
      </w:r>
      <w:r w:rsidRPr="00276D23" w:rsidR="126ADFEB">
        <w:rPr>
          <w:rFonts w:ascii="Arial" w:hAnsi="Arial" w:eastAsia="Calibri" w:cs="Arial"/>
          <w:sz w:val="20"/>
          <w:szCs w:val="20"/>
        </w:rPr>
        <w:t xml:space="preserve">versterken </w:t>
      </w:r>
      <w:r w:rsidRPr="00276D23" w:rsidR="126ADFEB">
        <w:rPr>
          <w:rFonts w:ascii="Arial" w:hAnsi="Arial" w:eastAsia="Calibri" w:cs="Arial"/>
          <w:color w:val="000000" w:themeColor="text1"/>
          <w:sz w:val="20"/>
          <w:szCs w:val="20"/>
        </w:rPr>
        <w:t>we het geheel.</w:t>
      </w:r>
      <w:r w:rsidRPr="00276D23" w:rsidR="19088740">
        <w:rPr>
          <w:rFonts w:ascii="Arial" w:hAnsi="Arial" w:eastAsia="Calibri" w:cs="Arial"/>
          <w:sz w:val="20"/>
          <w:szCs w:val="20"/>
        </w:rPr>
        <w:t xml:space="preserve"> </w:t>
      </w:r>
    </w:p>
    <w:p w:rsidRPr="00276D23" w:rsidR="004037FE" w:rsidP="00276D23" w:rsidRDefault="00256EEC" w14:paraId="23597518" w14:textId="30A0AA0E">
      <w:pPr>
        <w:spacing w:after="0" w:line="276" w:lineRule="auto"/>
        <w:rPr>
          <w:rFonts w:ascii="Arial" w:hAnsi="Arial" w:eastAsia="Calibri" w:cs="Arial"/>
          <w:sz w:val="20"/>
          <w:szCs w:val="20"/>
        </w:rPr>
      </w:pPr>
      <w:r w:rsidRPr="00276D23">
        <w:rPr>
          <w:rFonts w:ascii="Arial" w:hAnsi="Arial" w:eastAsia="Calibri" w:cs="Arial"/>
          <w:sz w:val="20"/>
          <w:szCs w:val="20"/>
        </w:rPr>
        <w:t xml:space="preserve">Zie: </w:t>
      </w:r>
      <w:hyperlink r:id="rId16">
        <w:r w:rsidRPr="00276D23">
          <w:rPr>
            <w:rStyle w:val="Hyperlink"/>
            <w:rFonts w:ascii="Arial" w:hAnsi="Arial" w:eastAsia="Calibri" w:cs="Arial"/>
            <w:sz w:val="20"/>
            <w:szCs w:val="20"/>
          </w:rPr>
          <w:t>https://www.movisie.nl/artikel/podcast-regenboogsteden-belang-zichtbaarheid</w:t>
        </w:r>
      </w:hyperlink>
      <w:r w:rsidRPr="00276D23">
        <w:rPr>
          <w:rFonts w:ascii="Arial" w:hAnsi="Arial" w:eastAsia="Calibri" w:cs="Arial"/>
          <w:b/>
          <w:bCs/>
          <w:sz w:val="20"/>
          <w:szCs w:val="20"/>
        </w:rPr>
        <w:t>,</w:t>
      </w:r>
      <w:r w:rsidRPr="00276D23" w:rsidR="19088740">
        <w:rPr>
          <w:rFonts w:ascii="Arial" w:hAnsi="Arial" w:eastAsia="Calibri" w:cs="Arial"/>
          <w:sz w:val="20"/>
          <w:szCs w:val="20"/>
        </w:rPr>
        <w:t xml:space="preserve"> </w:t>
      </w:r>
      <w:hyperlink r:id="rId17">
        <w:r w:rsidRPr="00276D23" w:rsidR="19088740">
          <w:rPr>
            <w:rStyle w:val="Hyperlink"/>
            <w:rFonts w:ascii="Arial" w:hAnsi="Arial" w:eastAsia="Calibri" w:cs="Arial"/>
            <w:sz w:val="20"/>
            <w:szCs w:val="20"/>
          </w:rPr>
          <w:t>https://www.movisie.nl/artikel/kwetsbare-vrijwilligers-meedoen-gaat-niet-vanzelf</w:t>
        </w:r>
      </w:hyperlink>
      <w:r w:rsidRPr="00276D23" w:rsidR="19088740">
        <w:rPr>
          <w:rFonts w:ascii="Arial" w:hAnsi="Arial" w:eastAsia="Calibri" w:cs="Arial"/>
          <w:sz w:val="20"/>
          <w:szCs w:val="20"/>
        </w:rPr>
        <w:t xml:space="preserve"> </w:t>
      </w:r>
      <w:r w:rsidRPr="00276D23">
        <w:rPr>
          <w:rFonts w:ascii="Arial" w:hAnsi="Arial" w:eastAsia="Calibri" w:cs="Arial"/>
          <w:sz w:val="20"/>
          <w:szCs w:val="20"/>
        </w:rPr>
        <w:t xml:space="preserve">en </w:t>
      </w:r>
      <w:hyperlink r:id="rId18">
        <w:r w:rsidRPr="00276D23">
          <w:rPr>
            <w:rStyle w:val="Hyperlink"/>
            <w:rFonts w:ascii="Arial" w:hAnsi="Arial" w:eastAsia="Calibri" w:cs="Arial"/>
            <w:sz w:val="20"/>
            <w:szCs w:val="20"/>
          </w:rPr>
          <w:t>https://www.movisie.nl/artikel/verontrustende-feiten-cijfers-over-acceptatie-lhbti-personen</w:t>
        </w:r>
      </w:hyperlink>
      <w:r w:rsidRPr="00276D23" w:rsidR="19088740">
        <w:rPr>
          <w:rFonts w:ascii="Arial" w:hAnsi="Arial" w:eastAsia="Calibri" w:cs="Arial"/>
          <w:sz w:val="20"/>
          <w:szCs w:val="20"/>
        </w:rPr>
        <w:t xml:space="preserve"> </w:t>
      </w:r>
    </w:p>
    <w:p w:rsidRPr="00276D23" w:rsidR="00E82244" w:rsidP="00276D23" w:rsidRDefault="00E82244" w14:paraId="10E8E5A9" w14:textId="77777777">
      <w:pPr>
        <w:spacing w:after="0" w:line="276" w:lineRule="auto"/>
        <w:rPr>
          <w:rFonts w:ascii="Arial" w:hAnsi="Arial" w:eastAsia="Calibri" w:cs="Arial"/>
          <w:sz w:val="20"/>
          <w:szCs w:val="20"/>
        </w:rPr>
      </w:pPr>
    </w:p>
    <w:p w:rsidRPr="00276D23" w:rsidR="007E5FBD" w:rsidP="00276D23" w:rsidRDefault="00E82244" w14:paraId="1320BF4B" w14:textId="2A753005">
      <w:pPr>
        <w:spacing w:line="276" w:lineRule="auto"/>
        <w:ind w:left="426" w:hanging="425"/>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b.</w:t>
      </w:r>
      <w:r w:rsidRPr="00276D23">
        <w:rPr>
          <w:rFonts w:ascii="Arial" w:hAnsi="Arial" w:eastAsia="Calibri" w:cs="Arial"/>
          <w:color w:val="000000" w:themeColor="text1"/>
          <w:sz w:val="20"/>
          <w:szCs w:val="20"/>
        </w:rPr>
        <w:tab/>
      </w:r>
      <w:r w:rsidRPr="00276D23" w:rsidR="5206B369">
        <w:rPr>
          <w:rFonts w:ascii="Arial" w:hAnsi="Arial" w:eastAsia="Arial" w:cs="Arial"/>
          <w:color w:val="000000" w:themeColor="text1"/>
          <w:sz w:val="20"/>
          <w:szCs w:val="20"/>
        </w:rPr>
        <w:t>Seksueel</w:t>
      </w:r>
      <w:r w:rsidRPr="00276D23" w:rsidR="5206B369">
        <w:rPr>
          <w:rFonts w:ascii="Arial" w:hAnsi="Arial" w:eastAsia="Calibri" w:cs="Arial"/>
          <w:color w:val="000000" w:themeColor="text1"/>
          <w:sz w:val="20"/>
          <w:szCs w:val="20"/>
        </w:rPr>
        <w:t xml:space="preserve"> gedrag van gezond en plezierig tot grensoverschrijdend en strafbaar</w:t>
      </w:r>
    </w:p>
    <w:p w:rsidRPr="00276D23" w:rsidR="006F22D7" w:rsidP="00276D23" w:rsidRDefault="126ADFEB" w14:paraId="321B6749" w14:textId="02EE7F68">
      <w:pPr>
        <w:spacing w:line="276" w:lineRule="auto"/>
        <w:rPr>
          <w:rFonts w:ascii="Arial" w:hAnsi="Arial" w:eastAsia="Calibri" w:cs="Arial"/>
          <w:color w:val="000000" w:themeColor="text1"/>
          <w:sz w:val="20"/>
          <w:szCs w:val="20"/>
        </w:rPr>
      </w:pPr>
      <w:r w:rsidRPr="00276D23">
        <w:rPr>
          <w:rFonts w:ascii="Arial" w:hAnsi="Arial" w:eastAsia="Calibri" w:cs="Arial"/>
          <w:color w:val="000000" w:themeColor="text1"/>
          <w:sz w:val="20"/>
          <w:szCs w:val="20"/>
        </w:rPr>
        <w:t>Met name jongeren worstelen met seksualiteit. Ze krijgen via pornobeelden mee van onrealistische seksuele technieken</w:t>
      </w:r>
      <w:r w:rsidRPr="00276D23" w:rsidR="00256EEC">
        <w:rPr>
          <w:rFonts w:ascii="Arial" w:hAnsi="Arial" w:eastAsia="Calibri" w:cs="Arial"/>
          <w:color w:val="000000" w:themeColor="text1"/>
          <w:sz w:val="20"/>
          <w:szCs w:val="20"/>
        </w:rPr>
        <w:t>,</w:t>
      </w:r>
      <w:r w:rsidRPr="00276D23">
        <w:rPr>
          <w:rFonts w:ascii="Arial" w:hAnsi="Arial" w:eastAsia="Calibri" w:cs="Arial"/>
          <w:color w:val="000000" w:themeColor="text1"/>
          <w:sz w:val="20"/>
          <w:szCs w:val="20"/>
        </w:rPr>
        <w:t xml:space="preserve"> waarbij het maar de vraag is voor wie ze prettig zijn. Op Instagram zien ze allerlei </w:t>
      </w:r>
      <w:r w:rsidRPr="00276D23">
        <w:rPr>
          <w:rFonts w:ascii="Arial" w:hAnsi="Arial" w:eastAsia="Calibri" w:cs="Arial"/>
          <w:sz w:val="20"/>
          <w:szCs w:val="20"/>
        </w:rPr>
        <w:t xml:space="preserve">romantische </w:t>
      </w:r>
      <w:r w:rsidRPr="00276D23" w:rsidR="7DBC3209">
        <w:rPr>
          <w:rFonts w:ascii="Arial" w:hAnsi="Arial" w:eastAsia="Calibri" w:cs="Arial"/>
          <w:sz w:val="20"/>
          <w:szCs w:val="20"/>
        </w:rPr>
        <w:t xml:space="preserve">#relationshipgoals die lastig te bereiken zijn. En volwassenen verzuchten ‘dat er tegenwoordig ook niets meer mag’ en dat alles anders was toen zij jong waren. Voorlichting en preventie moet normen bijbrengen over seksueel grensoverschrijdend gedrag, maar daarbij ook meenemen wat wel kan, wat wel mag en wat wel fijn is. In het normstellend kader noemen we dat ook wel ‘groene vlag gedrag’. Het Vlaggensysteem, waarin geaccepteerd wordt dat jongeren soms over de grens gaan, </w:t>
      </w:r>
      <w:r w:rsidRPr="00276D23" w:rsidR="00276D23">
        <w:rPr>
          <w:rFonts w:ascii="Arial" w:hAnsi="Arial" w:eastAsia="Calibri" w:cs="Arial"/>
          <w:sz w:val="20"/>
          <w:szCs w:val="20"/>
        </w:rPr>
        <w:t>biedt handvatten om gezond gedrag te stimuleren.</w:t>
      </w:r>
      <w:r w:rsidRPr="00276D23" w:rsidR="00276D23">
        <w:rPr>
          <w:rStyle w:val="eop"/>
          <w:rFonts w:ascii="Arial" w:hAnsi="Arial" w:eastAsia="Times New Roman" w:cs="Arial"/>
          <w:color w:val="FF0000"/>
          <w:sz w:val="20"/>
          <w:szCs w:val="20"/>
          <w:shd w:val="clear" w:color="auto" w:fill="FFFFFF"/>
        </w:rPr>
        <w:t> </w:t>
      </w:r>
    </w:p>
    <w:p w:rsidRPr="00276D23" w:rsidR="00256EEC" w:rsidP="00276D23" w:rsidRDefault="00256EEC" w14:paraId="147BF002" w14:textId="77777777">
      <w:pPr>
        <w:spacing w:line="276" w:lineRule="auto"/>
        <w:rPr>
          <w:rFonts w:ascii="Arial" w:hAnsi="Arial" w:eastAsia="Calibri" w:cs="Arial"/>
          <w:color w:val="000000" w:themeColor="text1"/>
          <w:sz w:val="20"/>
          <w:szCs w:val="20"/>
        </w:rPr>
      </w:pPr>
    </w:p>
    <w:p w:rsidRPr="00276D23" w:rsidR="00C7766A" w:rsidP="00276D23" w:rsidRDefault="05B47657" w14:paraId="4B1863C9" w14:textId="398F69FE">
      <w:pPr>
        <w:spacing w:line="276" w:lineRule="auto"/>
        <w:rPr>
          <w:rFonts w:ascii="Arial" w:hAnsi="Arial" w:eastAsia="Arial" w:cs="Arial"/>
          <w:color w:val="000000" w:themeColor="text1"/>
          <w:sz w:val="20"/>
          <w:szCs w:val="20"/>
        </w:rPr>
      </w:pPr>
      <w:r w:rsidRPr="00276D23">
        <w:rPr>
          <w:rFonts w:ascii="Arial" w:hAnsi="Arial" w:eastAsia="Arial" w:cs="Arial"/>
          <w:b/>
          <w:bCs/>
          <w:color w:val="000000" w:themeColor="text1"/>
          <w:sz w:val="20"/>
          <w:szCs w:val="20"/>
        </w:rPr>
        <w:t xml:space="preserve">3. </w:t>
      </w:r>
      <w:r w:rsidRPr="00276D23" w:rsidR="4B123A55">
        <w:rPr>
          <w:rFonts w:ascii="Arial" w:hAnsi="Arial" w:eastAsia="Arial" w:cs="Arial"/>
          <w:b/>
          <w:bCs/>
          <w:color w:val="000000" w:themeColor="text1"/>
          <w:sz w:val="20"/>
          <w:szCs w:val="20"/>
        </w:rPr>
        <w:t>Toepassing onderwijssectoren</w:t>
      </w:r>
    </w:p>
    <w:p w:rsidRPr="00276D23" w:rsidR="00D365AA" w:rsidP="00276D23" w:rsidRDefault="4A0BC4F8" w14:paraId="4D3EB40E" w14:textId="7D95572F">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Scholen zijn een plek om over sociale normen te leren, het zijn ook plekken waar jongeren oefenen met die sociale normen over seksueel gedrag en het zijn werkplekken waar alle werknemers veilig moeten kunnen werken. </w:t>
      </w:r>
    </w:p>
    <w:p w:rsidRPr="00276D23" w:rsidR="00D365AA" w:rsidP="00276D23" w:rsidRDefault="4A0BC4F8" w14:paraId="7587E586" w14:textId="77777777">
      <w:pPr>
        <w:spacing w:line="276" w:lineRule="auto"/>
        <w:rPr>
          <w:rFonts w:ascii="Arial" w:hAnsi="Arial" w:eastAsia="Arial" w:cs="Arial"/>
          <w:i/>
          <w:iCs/>
          <w:color w:val="000000" w:themeColor="text1"/>
          <w:sz w:val="20"/>
          <w:szCs w:val="20"/>
        </w:rPr>
      </w:pPr>
      <w:r w:rsidRPr="00276D23">
        <w:rPr>
          <w:rFonts w:ascii="Arial" w:hAnsi="Arial" w:eastAsia="Arial" w:cs="Arial"/>
          <w:i/>
          <w:iCs/>
          <w:color w:val="000000" w:themeColor="text1"/>
          <w:sz w:val="20"/>
          <w:szCs w:val="20"/>
        </w:rPr>
        <w:t>Leren over sociale normen rond seksueel grensoverschrijdend gedrag</w:t>
      </w:r>
    </w:p>
    <w:p w:rsidRPr="00276D23" w:rsidR="00D365AA" w:rsidP="00276D23" w:rsidRDefault="4A0BC4F8" w14:paraId="0FA56711" w14:textId="44D401F5">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Tijdens de lessen burgerschap komt aan de orde hoe de maatschappij werkt, inclusief sociale en juridische normen. Er wordt ook aandacht besteed aan gelijkwaardigheid en diversiteit. Er ligt ook een duidelijke link met gezonde relatievorming, hetgeen ook vanuit de bril van de biologie en/of gezondheidskunde wordt behandeld. Er liggen dus voldoende aanknopingspunten om leerlingen meer kennis en vaardigheden bij te brengen rond het onderwerp van prettig en grensoverschrijdend seksueel gedrag. Het is wel zaak dat dit ook te zien is in de concrete einddoelen voor burgerschap, die nu in ontwikkeling zijn. </w:t>
      </w:r>
    </w:p>
    <w:p w:rsidR="00256EEC" w:rsidP="00276D23" w:rsidRDefault="00256EEC" w14:paraId="145BDAAA" w14:textId="05D00480">
      <w:pPr>
        <w:spacing w:after="0" w:line="276" w:lineRule="auto"/>
        <w:rPr>
          <w:rFonts w:ascii="Arial" w:hAnsi="Arial" w:eastAsia="Arial" w:cs="Arial"/>
          <w:color w:val="000000" w:themeColor="text1"/>
          <w:sz w:val="20"/>
          <w:szCs w:val="20"/>
        </w:rPr>
      </w:pPr>
    </w:p>
    <w:p w:rsidR="00276D23" w:rsidP="00276D23" w:rsidRDefault="00276D23" w14:paraId="18494A5D" w14:textId="4EB69D89">
      <w:pPr>
        <w:spacing w:after="0" w:line="276" w:lineRule="auto"/>
        <w:rPr>
          <w:rFonts w:ascii="Arial" w:hAnsi="Arial" w:eastAsia="Arial" w:cs="Arial"/>
          <w:color w:val="000000" w:themeColor="text1"/>
          <w:sz w:val="20"/>
          <w:szCs w:val="20"/>
        </w:rPr>
      </w:pPr>
    </w:p>
    <w:p w:rsidRPr="00276D23" w:rsidR="00276D23" w:rsidP="00276D23" w:rsidRDefault="00276D23" w14:paraId="4EC6831C" w14:textId="77777777">
      <w:pPr>
        <w:spacing w:after="0" w:line="276" w:lineRule="auto"/>
        <w:rPr>
          <w:rFonts w:ascii="Arial" w:hAnsi="Arial" w:eastAsia="Arial" w:cs="Arial"/>
          <w:color w:val="000000" w:themeColor="text1"/>
          <w:sz w:val="20"/>
          <w:szCs w:val="20"/>
        </w:rPr>
      </w:pPr>
    </w:p>
    <w:p w:rsidRPr="00276D23" w:rsidR="00684B72" w:rsidP="00276D23" w:rsidRDefault="4A0BC4F8" w14:paraId="49286B17" w14:textId="77777777">
      <w:pPr>
        <w:spacing w:line="276" w:lineRule="auto"/>
        <w:rPr>
          <w:rFonts w:ascii="Arial" w:hAnsi="Arial" w:eastAsia="Arial" w:cs="Arial"/>
          <w:i/>
          <w:iCs/>
          <w:color w:val="000000" w:themeColor="text1"/>
          <w:sz w:val="20"/>
          <w:szCs w:val="20"/>
        </w:rPr>
      </w:pPr>
      <w:r w:rsidRPr="00276D23">
        <w:rPr>
          <w:rFonts w:ascii="Arial" w:hAnsi="Arial" w:eastAsia="Arial" w:cs="Arial"/>
          <w:i/>
          <w:iCs/>
          <w:color w:val="000000" w:themeColor="text1"/>
          <w:sz w:val="20"/>
          <w:szCs w:val="20"/>
        </w:rPr>
        <w:t xml:space="preserve">Oefenen met </w:t>
      </w:r>
      <w:r w:rsidRPr="00276D23" w:rsidR="1542533A">
        <w:rPr>
          <w:rFonts w:ascii="Arial" w:hAnsi="Arial" w:eastAsia="Arial" w:cs="Arial"/>
          <w:i/>
          <w:iCs/>
          <w:color w:val="000000" w:themeColor="text1"/>
          <w:sz w:val="20"/>
          <w:szCs w:val="20"/>
        </w:rPr>
        <w:t>sociale normen over seksueel gedrag</w:t>
      </w:r>
    </w:p>
    <w:p w:rsidRPr="00276D23" w:rsidR="00C7766A" w:rsidP="00276D23" w:rsidRDefault="1542533A" w14:paraId="6D55F47B" w14:textId="7F289587">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Het is essentieel dat scholen adequaat omgaan met seksueel gedrag van jongeren. </w:t>
      </w:r>
      <w:r w:rsidRPr="00276D23" w:rsidR="4B123A55">
        <w:rPr>
          <w:rFonts w:ascii="Arial" w:hAnsi="Arial" w:eastAsia="Arial" w:cs="Arial"/>
          <w:color w:val="000000" w:themeColor="text1"/>
          <w:sz w:val="20"/>
          <w:szCs w:val="20"/>
        </w:rPr>
        <w:t xml:space="preserve">Op scholen zitten kwetsbare kinderen, studenten krijgen te maken met hoogleraren, die grensoverschrijdend gedrag vertonen, in de </w:t>
      </w:r>
      <w:r w:rsidRPr="00276D23" w:rsidR="740F624A">
        <w:rPr>
          <w:rFonts w:ascii="Arial" w:hAnsi="Arial" w:eastAsia="Arial" w:cs="Arial"/>
          <w:color w:val="000000" w:themeColor="text1"/>
          <w:sz w:val="20"/>
          <w:szCs w:val="20"/>
        </w:rPr>
        <w:t>r</w:t>
      </w:r>
      <w:r w:rsidRPr="00276D23" w:rsidR="4B123A55">
        <w:rPr>
          <w:rFonts w:ascii="Arial" w:hAnsi="Arial" w:eastAsia="Arial" w:cs="Arial"/>
          <w:color w:val="000000" w:themeColor="text1"/>
          <w:sz w:val="20"/>
          <w:szCs w:val="20"/>
        </w:rPr>
        <w:t>esidenti</w:t>
      </w:r>
      <w:r w:rsidRPr="00276D23" w:rsidR="740F624A">
        <w:rPr>
          <w:rFonts w:ascii="Arial" w:hAnsi="Arial" w:eastAsia="Arial" w:cs="Arial"/>
          <w:color w:val="000000" w:themeColor="text1"/>
          <w:sz w:val="20"/>
          <w:szCs w:val="20"/>
        </w:rPr>
        <w:t>ë</w:t>
      </w:r>
      <w:r w:rsidRPr="00276D23" w:rsidR="4B123A55">
        <w:rPr>
          <w:rFonts w:ascii="Arial" w:hAnsi="Arial" w:eastAsia="Arial" w:cs="Arial"/>
          <w:color w:val="000000" w:themeColor="text1"/>
          <w:sz w:val="20"/>
          <w:szCs w:val="20"/>
        </w:rPr>
        <w:t xml:space="preserve">le </w:t>
      </w:r>
      <w:r w:rsidRPr="00276D23" w:rsidR="740F624A">
        <w:rPr>
          <w:rFonts w:ascii="Arial" w:hAnsi="Arial" w:eastAsia="Arial" w:cs="Arial"/>
          <w:color w:val="000000" w:themeColor="text1"/>
          <w:sz w:val="20"/>
          <w:szCs w:val="20"/>
        </w:rPr>
        <w:t>j</w:t>
      </w:r>
      <w:r w:rsidRPr="00276D23" w:rsidR="4B123A55">
        <w:rPr>
          <w:rFonts w:ascii="Arial" w:hAnsi="Arial" w:eastAsia="Arial" w:cs="Arial"/>
          <w:color w:val="000000" w:themeColor="text1"/>
          <w:sz w:val="20"/>
          <w:szCs w:val="20"/>
        </w:rPr>
        <w:t xml:space="preserve">eugdzorg waar getraumatiseerde jongeren leven en naar school gaan, is weinig seksuele experimenteerruimte. </w:t>
      </w:r>
    </w:p>
    <w:p w:rsidRPr="00276D23" w:rsidR="00C7766A" w:rsidP="00276D23" w:rsidRDefault="4B123A55" w14:paraId="42D8C421" w14:textId="4C13D38E">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In de onderwijssector zijn </w:t>
      </w:r>
      <w:r w:rsidRPr="00276D23" w:rsidR="740F624A">
        <w:rPr>
          <w:rFonts w:ascii="Arial" w:hAnsi="Arial" w:eastAsia="Arial" w:cs="Arial"/>
          <w:color w:val="000000" w:themeColor="text1"/>
          <w:sz w:val="20"/>
          <w:szCs w:val="20"/>
        </w:rPr>
        <w:t>i</w:t>
      </w:r>
      <w:r w:rsidRPr="00276D23">
        <w:rPr>
          <w:rFonts w:ascii="Arial" w:hAnsi="Arial" w:eastAsia="Arial" w:cs="Arial"/>
          <w:color w:val="000000" w:themeColor="text1"/>
          <w:sz w:val="20"/>
          <w:szCs w:val="20"/>
        </w:rPr>
        <w:t xml:space="preserve">nmiddels honderden medewerkers van </w:t>
      </w:r>
      <w:proofErr w:type="spellStart"/>
      <w:r w:rsidRPr="00276D23">
        <w:rPr>
          <w:rFonts w:ascii="Arial" w:hAnsi="Arial" w:eastAsia="Arial" w:cs="Arial"/>
          <w:color w:val="000000" w:themeColor="text1"/>
          <w:sz w:val="20"/>
          <w:szCs w:val="20"/>
        </w:rPr>
        <w:t>GGD's</w:t>
      </w:r>
      <w:proofErr w:type="spellEnd"/>
      <w:r w:rsidRPr="00276D23">
        <w:rPr>
          <w:rFonts w:ascii="Arial" w:hAnsi="Arial" w:eastAsia="Arial" w:cs="Arial"/>
          <w:color w:val="000000" w:themeColor="text1"/>
          <w:sz w:val="20"/>
          <w:szCs w:val="20"/>
        </w:rPr>
        <w:t xml:space="preserve"> die voorlichting geven op scholen opgeleid in het Vlaggensysteem, leerkrachten zetten het in om seksueel gedrag te duiden en gedragsdeskundigen gebruiken het bij casuïstiek besprekingen.  </w:t>
      </w:r>
    </w:p>
    <w:p w:rsidRPr="00276D23" w:rsidR="00684B72" w:rsidP="00276D23" w:rsidRDefault="1542533A" w14:paraId="47C95163" w14:textId="4C6F5B44">
      <w:pPr>
        <w:spacing w:line="276" w:lineRule="auto"/>
        <w:rPr>
          <w:rFonts w:ascii="Arial" w:hAnsi="Arial" w:eastAsia="Arial" w:cs="Arial"/>
          <w:i/>
          <w:iCs/>
          <w:color w:val="000000" w:themeColor="text1"/>
          <w:sz w:val="20"/>
          <w:szCs w:val="20"/>
        </w:rPr>
      </w:pPr>
      <w:r w:rsidRPr="00276D23">
        <w:rPr>
          <w:rFonts w:ascii="Arial" w:hAnsi="Arial" w:eastAsia="Arial" w:cs="Arial"/>
          <w:i/>
          <w:iCs/>
          <w:color w:val="000000" w:themeColor="text1"/>
          <w:sz w:val="20"/>
          <w:szCs w:val="20"/>
        </w:rPr>
        <w:t>Veilig werken in het onderwijs</w:t>
      </w:r>
    </w:p>
    <w:p w:rsidRPr="00276D23" w:rsidR="00684B72" w:rsidP="00276D23" w:rsidRDefault="1542533A" w14:paraId="670D0BFB" w14:textId="2A54F85E">
      <w:pPr>
        <w:spacing w:after="0"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Van funderend tot wetenschappelijk onderwijs: werknemers moeten veilig kunnen werken. Er zou ook hier aandacht moeten zijn voor de mogelijkheid dat machtsmisbruik plaats vindt, soms door middel van seksueel grensoverschrijdend gedrag. Daarbij moet extra aandacht zijn voor kwetsbare werknemers, zoals tijdelijke krachten en stagiaires. De kwetsbare positie van studenten die als stagiaires vanuit de onderwijsinstelling begeleid worden vraagt ook aandacht.</w:t>
      </w:r>
    </w:p>
    <w:p w:rsidRPr="00276D23" w:rsidR="008442FA" w:rsidP="00276D23" w:rsidRDefault="008442FA" w14:paraId="18C8E5F9" w14:textId="77777777">
      <w:pPr>
        <w:spacing w:after="0" w:line="276" w:lineRule="auto"/>
        <w:rPr>
          <w:rFonts w:ascii="Arial" w:hAnsi="Arial" w:eastAsia="Arial" w:cs="Arial"/>
          <w:color w:val="000000" w:themeColor="text1"/>
          <w:sz w:val="20"/>
          <w:szCs w:val="20"/>
        </w:rPr>
      </w:pPr>
    </w:p>
    <w:p w:rsidRPr="00276D23" w:rsidR="00684B72" w:rsidP="00276D23" w:rsidRDefault="1542533A" w14:paraId="03EB2345" w14:textId="6EB45CD8">
      <w:pPr>
        <w:spacing w:line="276" w:lineRule="auto"/>
        <w:rPr>
          <w:rFonts w:ascii="Arial" w:hAnsi="Arial" w:eastAsia="Arial" w:cs="Arial"/>
          <w:b/>
          <w:bCs/>
          <w:color w:val="000000" w:themeColor="text1"/>
          <w:sz w:val="20"/>
          <w:szCs w:val="20"/>
        </w:rPr>
      </w:pPr>
      <w:r w:rsidRPr="00276D23">
        <w:rPr>
          <w:rFonts w:ascii="Arial" w:hAnsi="Arial" w:eastAsia="Arial" w:cs="Arial"/>
          <w:b/>
          <w:bCs/>
          <w:color w:val="000000" w:themeColor="text1"/>
          <w:sz w:val="20"/>
          <w:szCs w:val="20"/>
        </w:rPr>
        <w:t>Tot slot</w:t>
      </w:r>
    </w:p>
    <w:p w:rsidRPr="00276D23" w:rsidR="00C7766A" w:rsidP="00276D23" w:rsidRDefault="507BAC66" w14:paraId="542BB45F" w14:textId="3043725C">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Het stimuleren van de adaptatie en ontwikkeling van het normstellend kader vanuit de politiek levert winst op: </w:t>
      </w:r>
      <w:r w:rsidRPr="00276D23" w:rsidR="00E82244">
        <w:rPr>
          <w:rFonts w:ascii="Arial" w:hAnsi="Arial" w:eastAsia="Arial" w:cs="Arial"/>
          <w:color w:val="000000" w:themeColor="text1"/>
          <w:sz w:val="20"/>
          <w:szCs w:val="20"/>
        </w:rPr>
        <w:t>h</w:t>
      </w:r>
      <w:r w:rsidRPr="00276D23">
        <w:rPr>
          <w:rFonts w:ascii="Arial" w:hAnsi="Arial" w:eastAsia="Arial" w:cs="Arial"/>
          <w:color w:val="000000" w:themeColor="text1"/>
          <w:sz w:val="20"/>
          <w:szCs w:val="20"/>
        </w:rPr>
        <w:t>et stimuleert de multidisciplinaire samenwerking</w:t>
      </w:r>
      <w:r w:rsidRPr="00276D23" w:rsidR="00E82244">
        <w:rPr>
          <w:rFonts w:ascii="Arial" w:hAnsi="Arial" w:eastAsia="Arial" w:cs="Arial"/>
          <w:color w:val="000000" w:themeColor="text1"/>
          <w:sz w:val="20"/>
          <w:szCs w:val="20"/>
        </w:rPr>
        <w:t>,</w:t>
      </w:r>
      <w:r w:rsidRPr="00276D23">
        <w:rPr>
          <w:rFonts w:ascii="Arial" w:hAnsi="Arial" w:eastAsia="Arial" w:cs="Arial"/>
          <w:color w:val="000000" w:themeColor="text1"/>
          <w:sz w:val="20"/>
          <w:szCs w:val="20"/>
        </w:rPr>
        <w:t xml:space="preserve"> omdat het een gezamenlijke taal creëert met als resultaat heldere gedragsregels en een veiliger leeromgeving.  </w:t>
      </w:r>
    </w:p>
    <w:p w:rsidRPr="00276D23" w:rsidR="00C7766A" w:rsidP="00276D23" w:rsidRDefault="507BAC66" w14:paraId="7B5CAEB5" w14:textId="3C14EB1E">
      <w:pPr>
        <w:spacing w:line="276" w:lineRule="auto"/>
        <w:rPr>
          <w:rFonts w:ascii="Arial" w:hAnsi="Arial" w:eastAsia="Arial" w:cs="Arial"/>
          <w:color w:val="000000" w:themeColor="text1"/>
          <w:sz w:val="20"/>
          <w:szCs w:val="20"/>
        </w:rPr>
      </w:pPr>
      <w:r w:rsidRPr="00276D23">
        <w:rPr>
          <w:rFonts w:ascii="Arial" w:hAnsi="Arial" w:eastAsia="Arial" w:cs="Arial"/>
          <w:color w:val="000000" w:themeColor="text1"/>
          <w:sz w:val="20"/>
          <w:szCs w:val="20"/>
        </w:rPr>
        <w:t xml:space="preserve">Door </w:t>
      </w:r>
      <w:r w:rsidRPr="00276D23">
        <w:rPr>
          <w:rFonts w:ascii="Arial" w:hAnsi="Arial" w:eastAsia="Arial" w:cs="Arial"/>
          <w:color w:val="333333"/>
          <w:sz w:val="20"/>
          <w:szCs w:val="20"/>
        </w:rPr>
        <w:t xml:space="preserve">objectiever kijken naar (seksueel) grensoverschrijdend gedrag en geweld pakken we bovendien als gemeenschap een cultuur van verzwijgen, verbergen en bagatelliseren aan. Slachtoffers en de omgeving weten zich hierdoor gesteund en dit </w:t>
      </w:r>
      <w:r w:rsidRPr="00276D23">
        <w:rPr>
          <w:rFonts w:ascii="Arial" w:hAnsi="Arial" w:eastAsia="Arial" w:cs="Arial"/>
          <w:color w:val="000000" w:themeColor="text1"/>
          <w:sz w:val="20"/>
          <w:szCs w:val="20"/>
        </w:rPr>
        <w:t>helpt zowel hen als anderen om eerder te melden en het machtsmisbruik te doorbreken. Bovendien worden (vermeende) plegers beoordeeld op hun gedrag. Het biedt ruimte aan tegenspraak en weerwoord.</w:t>
      </w:r>
    </w:p>
    <w:sectPr w:rsidRPr="00276D23" w:rsidR="00C7766A" w:rsidSect="004430ED">
      <w:headerReference w:type="default" r:id="rId19"/>
      <w:footerReference w:type="default" r:id="rId20"/>
      <w:headerReference w:type="first" r:id="rId21"/>
      <w:footerReference w:type="first" r:id="rId22"/>
      <w:endnotePr>
        <w:numFmt w:val="decimal"/>
      </w:endnotePr>
      <w:pgSz w:w="11906" w:h="16838"/>
      <w:pgMar w:top="1440" w:right="1274" w:bottom="1440" w:left="1440" w:header="2438"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E7E3" w14:textId="77777777" w:rsidR="001A0CA1" w:rsidRDefault="001A0CA1" w:rsidP="005E61CE">
      <w:pPr>
        <w:spacing w:after="0" w:line="240" w:lineRule="auto"/>
      </w:pPr>
      <w:r>
        <w:separator/>
      </w:r>
    </w:p>
  </w:endnote>
  <w:endnote w:type="continuationSeparator" w:id="0">
    <w:p w14:paraId="39B27657" w14:textId="77777777" w:rsidR="001A0CA1" w:rsidRDefault="001A0CA1" w:rsidP="005E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5704" w14:textId="7C17EBBE" w:rsidR="002154CA" w:rsidRDefault="002154CA" w:rsidP="002154CA">
    <w:pPr>
      <w:pStyle w:val="Voettekst"/>
    </w:pPr>
    <w:r>
      <w:rPr>
        <w:rFonts w:ascii="Calibri" w:hAnsi="Calibri"/>
        <w:noProof/>
        <w:sz w:val="16"/>
        <w:szCs w:val="16"/>
      </w:rPr>
      <w:drawing>
        <wp:anchor distT="0" distB="0" distL="114300" distR="114300" simplePos="0" relativeHeight="251667456" behindDoc="1" locked="0" layoutInCell="1" allowOverlap="1" wp14:anchorId="58F30D51" wp14:editId="7F52C698">
          <wp:simplePos x="0" y="0"/>
          <wp:positionH relativeFrom="margin">
            <wp:posOffset>-512446</wp:posOffset>
          </wp:positionH>
          <wp:positionV relativeFrom="page">
            <wp:posOffset>10063163</wp:posOffset>
          </wp:positionV>
          <wp:extent cx="6692400" cy="392400"/>
          <wp:effectExtent l="0" t="0" r="0" b="825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visie-briefpapier_footer_zonder-tekst_2020-09-17.png"/>
                  <pic:cNvPicPr/>
                </pic:nvPicPr>
                <pic:blipFill>
                  <a:blip r:embed="rId1">
                    <a:extLst>
                      <a:ext uri="{28A0092B-C50C-407E-A947-70E740481C1C}">
                        <a14:useLocalDpi xmlns:a14="http://schemas.microsoft.com/office/drawing/2010/main" val="0"/>
                      </a:ext>
                    </a:extLst>
                  </a:blip>
                  <a:stretch>
                    <a:fillRect/>
                  </a:stretch>
                </pic:blipFill>
                <pic:spPr>
                  <a:xfrm>
                    <a:off x="0" y="0"/>
                    <a:ext cx="6692400" cy="392400"/>
                  </a:xfrm>
                  <a:prstGeom prst="rect">
                    <a:avLst/>
                  </a:prstGeom>
                </pic:spPr>
              </pic:pic>
            </a:graphicData>
          </a:graphic>
          <wp14:sizeRelH relativeFrom="margin">
            <wp14:pctWidth>0</wp14:pctWidth>
          </wp14:sizeRelH>
          <wp14:sizeRelV relativeFrom="margin">
            <wp14:pctHeight>0</wp14:pctHeight>
          </wp14:sizeRelV>
        </wp:anchor>
      </w:drawing>
    </w:r>
  </w:p>
  <w:p w14:paraId="1D04FF17" w14:textId="0084A76F" w:rsidR="00D37683" w:rsidRPr="00F5202F" w:rsidRDefault="00C537B2">
    <w:pPr>
      <w:pStyle w:val="Voettekst"/>
      <w:rPr>
        <w:rFonts w:ascii="Arial" w:hAnsi="Arial" w:cs="Arial"/>
        <w:sz w:val="18"/>
        <w:szCs w:val="18"/>
      </w:rPr>
    </w:pPr>
    <w:r>
      <w:rPr>
        <w:rFonts w:ascii="Calibri" w:hAnsi="Calibri"/>
        <w:noProof/>
        <w:sz w:val="16"/>
        <w:szCs w:val="16"/>
      </w:rPr>
      <w:drawing>
        <wp:anchor distT="0" distB="0" distL="114300" distR="114300" simplePos="0" relativeHeight="251665408" behindDoc="1" locked="0" layoutInCell="1" allowOverlap="1" wp14:anchorId="156004DE" wp14:editId="1FA783A7">
          <wp:simplePos x="0" y="0"/>
          <wp:positionH relativeFrom="margin">
            <wp:posOffset>-512446</wp:posOffset>
          </wp:positionH>
          <wp:positionV relativeFrom="page">
            <wp:posOffset>10063163</wp:posOffset>
          </wp:positionV>
          <wp:extent cx="6692400" cy="392400"/>
          <wp:effectExtent l="0" t="0" r="0" b="825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visie-briefpapier_footer_zonder-tekst_2020-09-17.png"/>
                  <pic:cNvPicPr/>
                </pic:nvPicPr>
                <pic:blipFill>
                  <a:blip r:embed="rId1">
                    <a:extLst>
                      <a:ext uri="{28A0092B-C50C-407E-A947-70E740481C1C}">
                        <a14:useLocalDpi xmlns:a14="http://schemas.microsoft.com/office/drawing/2010/main" val="0"/>
                      </a:ext>
                    </a:extLst>
                  </a:blip>
                  <a:stretch>
                    <a:fillRect/>
                  </a:stretch>
                </pic:blipFill>
                <pic:spPr>
                  <a:xfrm>
                    <a:off x="0" y="0"/>
                    <a:ext cx="6692400" cy="392400"/>
                  </a:xfrm>
                  <a:prstGeom prst="rect">
                    <a:avLst/>
                  </a:prstGeom>
                </pic:spPr>
              </pic:pic>
            </a:graphicData>
          </a:graphic>
          <wp14:sizeRelH relativeFrom="margin">
            <wp14:pctWidth>0</wp14:pctWidth>
          </wp14:sizeRelH>
          <wp14:sizeRelV relativeFrom="margin">
            <wp14:pctHeight>0</wp14:pctHeight>
          </wp14:sizeRelV>
        </wp:anchor>
      </w:drawing>
    </w:r>
    <w:r w:rsidR="002154CA">
      <w:tab/>
    </w:r>
    <w:r w:rsidR="00F5202F">
      <w:tab/>
    </w:r>
    <w:r w:rsidR="00A15C62">
      <w:fldChar w:fldCharType="begin"/>
    </w:r>
    <w:r w:rsidR="00A15C62">
      <w:instrText>PAGE   \* MERGEFORMAT</w:instrText>
    </w:r>
    <w:r w:rsidR="00A15C62">
      <w:fldChar w:fldCharType="separate"/>
    </w:r>
    <w:r w:rsidR="00A15C62">
      <w:t>1</w:t>
    </w:r>
    <w:r w:rsidR="00A15C6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6CDB" w14:textId="714DC2DE" w:rsidR="004430ED" w:rsidRDefault="00707D56">
    <w:pPr>
      <w:pStyle w:val="Voettekst"/>
    </w:pPr>
    <w:r>
      <w:rPr>
        <w:noProof/>
      </w:rPr>
      <w:drawing>
        <wp:anchor distT="0" distB="0" distL="114300" distR="114300" simplePos="0" relativeHeight="251671552" behindDoc="1" locked="0" layoutInCell="1" allowOverlap="1" wp14:anchorId="4F39AB25" wp14:editId="5D7AB00C">
          <wp:simplePos x="0" y="0"/>
          <wp:positionH relativeFrom="margin">
            <wp:posOffset>-619125</wp:posOffset>
          </wp:positionH>
          <wp:positionV relativeFrom="page">
            <wp:posOffset>10018395</wp:posOffset>
          </wp:positionV>
          <wp:extent cx="6912000" cy="4068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visie-briefpapier_footer_sansa_2020-09-17.png"/>
                  <pic:cNvPicPr/>
                </pic:nvPicPr>
                <pic:blipFill>
                  <a:blip r:embed="rId1">
                    <a:extLst>
                      <a:ext uri="{28A0092B-C50C-407E-A947-70E740481C1C}">
                        <a14:useLocalDpi xmlns:a14="http://schemas.microsoft.com/office/drawing/2010/main" val="0"/>
                      </a:ext>
                    </a:extLst>
                  </a:blip>
                  <a:stretch>
                    <a:fillRect/>
                  </a:stretch>
                </pic:blipFill>
                <pic:spPr>
                  <a:xfrm>
                    <a:off x="0" y="0"/>
                    <a:ext cx="6912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D5FC" w14:textId="77777777" w:rsidR="001A0CA1" w:rsidRDefault="001A0CA1" w:rsidP="005E61CE">
      <w:pPr>
        <w:spacing w:after="0" w:line="240" w:lineRule="auto"/>
      </w:pPr>
      <w:r>
        <w:separator/>
      </w:r>
    </w:p>
  </w:footnote>
  <w:footnote w:type="continuationSeparator" w:id="0">
    <w:p w14:paraId="47A92FF7" w14:textId="77777777" w:rsidR="001A0CA1" w:rsidRDefault="001A0CA1" w:rsidP="005E61CE">
      <w:pPr>
        <w:spacing w:after="0" w:line="240" w:lineRule="auto"/>
      </w:pPr>
      <w:r>
        <w:continuationSeparator/>
      </w:r>
    </w:p>
  </w:footnote>
  <w:footnote w:id="1">
    <w:p w14:paraId="00919BCA" w14:textId="43F9BEF0" w:rsidR="00187661" w:rsidRDefault="00187661">
      <w:pPr>
        <w:pStyle w:val="Voetnoottekst"/>
      </w:pPr>
      <w:r w:rsidRPr="00F85547">
        <w:rPr>
          <w:rStyle w:val="Voetnootmarkering"/>
          <w:b/>
          <w:bCs/>
        </w:rPr>
        <w:footnoteRef/>
      </w:r>
      <w:r w:rsidRPr="00F85547">
        <w:rPr>
          <w:b/>
          <w:bCs/>
        </w:rPr>
        <w:t xml:space="preserve"> </w:t>
      </w:r>
      <w:hyperlink r:id="rId1" w:history="1">
        <w:r>
          <w:rPr>
            <w:rStyle w:val="Hyperlink"/>
          </w:rPr>
          <w:t>Discriminatie aanpakken op de werkvloer: wat werkt volgens de wetenschap? | Movisie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CEA9" w14:textId="1B947219" w:rsidR="00E944E3" w:rsidRDefault="00E944E3">
    <w:pPr>
      <w:pStyle w:val="Koptekst"/>
    </w:pPr>
    <w:r>
      <w:rPr>
        <w:noProof/>
      </w:rPr>
      <w:drawing>
        <wp:anchor distT="0" distB="0" distL="114300" distR="114300" simplePos="0" relativeHeight="251663360" behindDoc="1" locked="0" layoutInCell="0" allowOverlap="1" wp14:anchorId="28E9DB23" wp14:editId="77F445F8">
          <wp:simplePos x="0" y="0"/>
          <wp:positionH relativeFrom="page">
            <wp:posOffset>6029325</wp:posOffset>
          </wp:positionH>
          <wp:positionV relativeFrom="page">
            <wp:posOffset>775970</wp:posOffset>
          </wp:positionV>
          <wp:extent cx="504825" cy="502920"/>
          <wp:effectExtent l="0" t="0" r="0" b="0"/>
          <wp:wrapNone/>
          <wp:docPr id="7" name="Picture 91" descr="Kop logo groot ZONDER PayOff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op logo groot ZONDER PayOffLab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29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5FBC" w14:textId="410D0AD8" w:rsidR="004430ED" w:rsidRDefault="004430ED">
    <w:pPr>
      <w:pStyle w:val="Koptekst"/>
    </w:pPr>
    <w:r>
      <w:rPr>
        <w:rFonts w:ascii="Calibri" w:hAnsi="Calibri"/>
        <w:noProof/>
      </w:rPr>
      <w:drawing>
        <wp:anchor distT="0" distB="0" distL="114300" distR="114300" simplePos="0" relativeHeight="251669504" behindDoc="1" locked="0" layoutInCell="0" allowOverlap="1" wp14:anchorId="2C65D357" wp14:editId="71C75EFE">
          <wp:simplePos x="0" y="0"/>
          <wp:positionH relativeFrom="page">
            <wp:posOffset>4248150</wp:posOffset>
          </wp:positionH>
          <wp:positionV relativeFrom="page">
            <wp:posOffset>447040</wp:posOffset>
          </wp:positionV>
          <wp:extent cx="2478405" cy="1100455"/>
          <wp:effectExtent l="0" t="0" r="0" b="4445"/>
          <wp:wrapNone/>
          <wp:docPr id="2" name="logo movisie fc.png3003121126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visie fc.png3003121126r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1100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7075E"/>
    <w:multiLevelType w:val="hybridMultilevel"/>
    <w:tmpl w:val="2626F72A"/>
    <w:lvl w:ilvl="0" w:tplc="FFFFFFFF">
      <w:start w:val="1"/>
      <w:numFmt w:val="decimal"/>
      <w:lvlText w:val="%1."/>
      <w:lvlJc w:val="left"/>
      <w:pPr>
        <w:ind w:left="720" w:hanging="360"/>
      </w:pPr>
      <w:rPr>
        <w:rFonts w:ascii="Calibri" w:hAnsi="Calibri" w:hint="default"/>
      </w:rPr>
    </w:lvl>
    <w:lvl w:ilvl="1" w:tplc="130ADB80">
      <w:start w:val="1"/>
      <w:numFmt w:val="lowerLetter"/>
      <w:lvlText w:val="%2."/>
      <w:lvlJc w:val="left"/>
      <w:pPr>
        <w:ind w:left="1440" w:hanging="360"/>
      </w:pPr>
    </w:lvl>
    <w:lvl w:ilvl="2" w:tplc="42680E48">
      <w:start w:val="1"/>
      <w:numFmt w:val="lowerRoman"/>
      <w:lvlText w:val="%3."/>
      <w:lvlJc w:val="right"/>
      <w:pPr>
        <w:ind w:left="2160" w:hanging="180"/>
      </w:pPr>
    </w:lvl>
    <w:lvl w:ilvl="3" w:tplc="2902AC4A">
      <w:start w:val="1"/>
      <w:numFmt w:val="decimal"/>
      <w:lvlText w:val="%4."/>
      <w:lvlJc w:val="left"/>
      <w:pPr>
        <w:ind w:left="2880" w:hanging="360"/>
      </w:pPr>
    </w:lvl>
    <w:lvl w:ilvl="4" w:tplc="070CB92A">
      <w:start w:val="1"/>
      <w:numFmt w:val="lowerLetter"/>
      <w:lvlText w:val="%5."/>
      <w:lvlJc w:val="left"/>
      <w:pPr>
        <w:ind w:left="3600" w:hanging="360"/>
      </w:pPr>
    </w:lvl>
    <w:lvl w:ilvl="5" w:tplc="1242BD38">
      <w:start w:val="1"/>
      <w:numFmt w:val="lowerRoman"/>
      <w:lvlText w:val="%6."/>
      <w:lvlJc w:val="right"/>
      <w:pPr>
        <w:ind w:left="4320" w:hanging="180"/>
      </w:pPr>
    </w:lvl>
    <w:lvl w:ilvl="6" w:tplc="8000EF74">
      <w:start w:val="1"/>
      <w:numFmt w:val="decimal"/>
      <w:lvlText w:val="%7."/>
      <w:lvlJc w:val="left"/>
      <w:pPr>
        <w:ind w:left="5040" w:hanging="360"/>
      </w:pPr>
    </w:lvl>
    <w:lvl w:ilvl="7" w:tplc="DEEC84EE">
      <w:start w:val="1"/>
      <w:numFmt w:val="lowerLetter"/>
      <w:lvlText w:val="%8."/>
      <w:lvlJc w:val="left"/>
      <w:pPr>
        <w:ind w:left="5760" w:hanging="360"/>
      </w:pPr>
    </w:lvl>
    <w:lvl w:ilvl="8" w:tplc="336CFC9C">
      <w:start w:val="1"/>
      <w:numFmt w:val="lowerRoman"/>
      <w:lvlText w:val="%9."/>
      <w:lvlJc w:val="right"/>
      <w:pPr>
        <w:ind w:left="6480" w:hanging="180"/>
      </w:pPr>
    </w:lvl>
  </w:abstractNum>
  <w:abstractNum w:abstractNumId="1" w15:restartNumberingAfterBreak="0">
    <w:nsid w:val="361E6972"/>
    <w:multiLevelType w:val="hybridMultilevel"/>
    <w:tmpl w:val="1F34504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36AABA"/>
    <w:multiLevelType w:val="hybridMultilevel"/>
    <w:tmpl w:val="253CF536"/>
    <w:lvl w:ilvl="0" w:tplc="98DEF308">
      <w:start w:val="1"/>
      <w:numFmt w:val="bullet"/>
      <w:lvlText w:val=""/>
      <w:lvlJc w:val="left"/>
      <w:pPr>
        <w:ind w:left="720" w:hanging="360"/>
      </w:pPr>
      <w:rPr>
        <w:rFonts w:ascii="Symbol" w:hAnsi="Symbol" w:hint="default"/>
      </w:rPr>
    </w:lvl>
    <w:lvl w:ilvl="1" w:tplc="FC607D9C">
      <w:start w:val="1"/>
      <w:numFmt w:val="bullet"/>
      <w:lvlText w:val="o"/>
      <w:lvlJc w:val="left"/>
      <w:pPr>
        <w:ind w:left="1440" w:hanging="360"/>
      </w:pPr>
      <w:rPr>
        <w:rFonts w:ascii="Courier New" w:hAnsi="Courier New" w:hint="default"/>
      </w:rPr>
    </w:lvl>
    <w:lvl w:ilvl="2" w:tplc="6A62CB46">
      <w:start w:val="1"/>
      <w:numFmt w:val="bullet"/>
      <w:lvlText w:val=""/>
      <w:lvlJc w:val="left"/>
      <w:pPr>
        <w:ind w:left="2160" w:hanging="360"/>
      </w:pPr>
      <w:rPr>
        <w:rFonts w:ascii="Wingdings" w:hAnsi="Wingdings" w:hint="default"/>
      </w:rPr>
    </w:lvl>
    <w:lvl w:ilvl="3" w:tplc="E110A11A">
      <w:start w:val="1"/>
      <w:numFmt w:val="bullet"/>
      <w:lvlText w:val=""/>
      <w:lvlJc w:val="left"/>
      <w:pPr>
        <w:ind w:left="2880" w:hanging="360"/>
      </w:pPr>
      <w:rPr>
        <w:rFonts w:ascii="Symbol" w:hAnsi="Symbol" w:hint="default"/>
      </w:rPr>
    </w:lvl>
    <w:lvl w:ilvl="4" w:tplc="00AAD24C">
      <w:start w:val="1"/>
      <w:numFmt w:val="bullet"/>
      <w:lvlText w:val="o"/>
      <w:lvlJc w:val="left"/>
      <w:pPr>
        <w:ind w:left="3600" w:hanging="360"/>
      </w:pPr>
      <w:rPr>
        <w:rFonts w:ascii="Courier New" w:hAnsi="Courier New" w:hint="default"/>
      </w:rPr>
    </w:lvl>
    <w:lvl w:ilvl="5" w:tplc="3050E2A0">
      <w:start w:val="1"/>
      <w:numFmt w:val="bullet"/>
      <w:lvlText w:val=""/>
      <w:lvlJc w:val="left"/>
      <w:pPr>
        <w:ind w:left="4320" w:hanging="360"/>
      </w:pPr>
      <w:rPr>
        <w:rFonts w:ascii="Wingdings" w:hAnsi="Wingdings" w:hint="default"/>
      </w:rPr>
    </w:lvl>
    <w:lvl w:ilvl="6" w:tplc="9F2CF61C">
      <w:start w:val="1"/>
      <w:numFmt w:val="bullet"/>
      <w:lvlText w:val=""/>
      <w:lvlJc w:val="left"/>
      <w:pPr>
        <w:ind w:left="5040" w:hanging="360"/>
      </w:pPr>
      <w:rPr>
        <w:rFonts w:ascii="Symbol" w:hAnsi="Symbol" w:hint="default"/>
      </w:rPr>
    </w:lvl>
    <w:lvl w:ilvl="7" w:tplc="408465C0">
      <w:start w:val="1"/>
      <w:numFmt w:val="bullet"/>
      <w:lvlText w:val="o"/>
      <w:lvlJc w:val="left"/>
      <w:pPr>
        <w:ind w:left="5760" w:hanging="360"/>
      </w:pPr>
      <w:rPr>
        <w:rFonts w:ascii="Courier New" w:hAnsi="Courier New" w:hint="default"/>
      </w:rPr>
    </w:lvl>
    <w:lvl w:ilvl="8" w:tplc="08A885DA">
      <w:start w:val="1"/>
      <w:numFmt w:val="bullet"/>
      <w:lvlText w:val=""/>
      <w:lvlJc w:val="left"/>
      <w:pPr>
        <w:ind w:left="6480" w:hanging="360"/>
      </w:pPr>
      <w:rPr>
        <w:rFonts w:ascii="Wingdings" w:hAnsi="Wingdings" w:hint="default"/>
      </w:rPr>
    </w:lvl>
  </w:abstractNum>
  <w:abstractNum w:abstractNumId="3" w15:restartNumberingAfterBreak="0">
    <w:nsid w:val="51A32C93"/>
    <w:multiLevelType w:val="hybridMultilevel"/>
    <w:tmpl w:val="5FFCC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9F0417"/>
    <w:multiLevelType w:val="hybridMultilevel"/>
    <w:tmpl w:val="1F3450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38118">
    <w:abstractNumId w:val="2"/>
  </w:num>
  <w:num w:numId="2" w16cid:durableId="642732238">
    <w:abstractNumId w:val="0"/>
  </w:num>
  <w:num w:numId="3" w16cid:durableId="1328242098">
    <w:abstractNumId w:val="3"/>
  </w:num>
  <w:num w:numId="4" w16cid:durableId="286620868">
    <w:abstractNumId w:val="1"/>
  </w:num>
  <w:num w:numId="5" w16cid:durableId="192889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B1F448"/>
    <w:rsid w:val="0010283B"/>
    <w:rsid w:val="00166A53"/>
    <w:rsid w:val="00187661"/>
    <w:rsid w:val="001909F3"/>
    <w:rsid w:val="001A0CA1"/>
    <w:rsid w:val="002154CA"/>
    <w:rsid w:val="00216F88"/>
    <w:rsid w:val="00256EEC"/>
    <w:rsid w:val="00276D23"/>
    <w:rsid w:val="00286700"/>
    <w:rsid w:val="004037FE"/>
    <w:rsid w:val="004430ED"/>
    <w:rsid w:val="005A763C"/>
    <w:rsid w:val="005E61CE"/>
    <w:rsid w:val="00646269"/>
    <w:rsid w:val="00684B72"/>
    <w:rsid w:val="006F22D7"/>
    <w:rsid w:val="00707D56"/>
    <w:rsid w:val="00743390"/>
    <w:rsid w:val="007736B6"/>
    <w:rsid w:val="007775E5"/>
    <w:rsid w:val="007A319B"/>
    <w:rsid w:val="007E1830"/>
    <w:rsid w:val="007E5FBD"/>
    <w:rsid w:val="008442FA"/>
    <w:rsid w:val="008C0B26"/>
    <w:rsid w:val="009176FB"/>
    <w:rsid w:val="009303C7"/>
    <w:rsid w:val="00930F67"/>
    <w:rsid w:val="00A15C62"/>
    <w:rsid w:val="00C537B2"/>
    <w:rsid w:val="00C7766A"/>
    <w:rsid w:val="00CD6805"/>
    <w:rsid w:val="00D365AA"/>
    <w:rsid w:val="00D37683"/>
    <w:rsid w:val="00E11923"/>
    <w:rsid w:val="00E20021"/>
    <w:rsid w:val="00E82244"/>
    <w:rsid w:val="00E863CA"/>
    <w:rsid w:val="00E944E3"/>
    <w:rsid w:val="00F22834"/>
    <w:rsid w:val="00F5202F"/>
    <w:rsid w:val="00F85547"/>
    <w:rsid w:val="02158AA0"/>
    <w:rsid w:val="0248AD4F"/>
    <w:rsid w:val="03809144"/>
    <w:rsid w:val="04BC9ACE"/>
    <w:rsid w:val="04D840A3"/>
    <w:rsid w:val="05B47657"/>
    <w:rsid w:val="08B7EED3"/>
    <w:rsid w:val="09ABB1C6"/>
    <w:rsid w:val="0A970AA2"/>
    <w:rsid w:val="0BEF8F95"/>
    <w:rsid w:val="0E7F22E9"/>
    <w:rsid w:val="11B6C3AB"/>
    <w:rsid w:val="126ADFEB"/>
    <w:rsid w:val="1542533A"/>
    <w:rsid w:val="1569912F"/>
    <w:rsid w:val="1784A9B8"/>
    <w:rsid w:val="181D03A0"/>
    <w:rsid w:val="1826052F"/>
    <w:rsid w:val="19088740"/>
    <w:rsid w:val="1C503AEA"/>
    <w:rsid w:val="1CF074C3"/>
    <w:rsid w:val="25376E62"/>
    <w:rsid w:val="267377EC"/>
    <w:rsid w:val="29D6E551"/>
    <w:rsid w:val="3129C2FA"/>
    <w:rsid w:val="379F51CE"/>
    <w:rsid w:val="3B87522B"/>
    <w:rsid w:val="3E4AA730"/>
    <w:rsid w:val="3EE6EF4F"/>
    <w:rsid w:val="3FE39864"/>
    <w:rsid w:val="4126BE67"/>
    <w:rsid w:val="412D705E"/>
    <w:rsid w:val="446E85F7"/>
    <w:rsid w:val="4549B805"/>
    <w:rsid w:val="4567C029"/>
    <w:rsid w:val="45FA2F8A"/>
    <w:rsid w:val="4805F613"/>
    <w:rsid w:val="488158C7"/>
    <w:rsid w:val="48CDE3E0"/>
    <w:rsid w:val="4A0BC4F8"/>
    <w:rsid w:val="4B123A55"/>
    <w:rsid w:val="4FAAE05B"/>
    <w:rsid w:val="507BAC66"/>
    <w:rsid w:val="50A0D100"/>
    <w:rsid w:val="5206B369"/>
    <w:rsid w:val="52177CC7"/>
    <w:rsid w:val="547C7079"/>
    <w:rsid w:val="594FE19C"/>
    <w:rsid w:val="5E2224C5"/>
    <w:rsid w:val="5EB1F448"/>
    <w:rsid w:val="5FE158AB"/>
    <w:rsid w:val="6001BD25"/>
    <w:rsid w:val="619D8D86"/>
    <w:rsid w:val="65654153"/>
    <w:rsid w:val="6656ECDA"/>
    <w:rsid w:val="68A4CF9B"/>
    <w:rsid w:val="6B3871A6"/>
    <w:rsid w:val="6E204E2C"/>
    <w:rsid w:val="740F624A"/>
    <w:rsid w:val="7DBC3209"/>
    <w:rsid w:val="7F98F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1F448"/>
  <w15:chartTrackingRefBased/>
  <w15:docId w15:val="{5AB638EF-C531-4F31-8BF5-7FAA7FF4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7E1830"/>
    <w:pPr>
      <w:spacing w:after="0" w:line="240" w:lineRule="auto"/>
    </w:pPr>
  </w:style>
  <w:style w:type="character" w:styleId="Verwijzingopmerking">
    <w:name w:val="annotation reference"/>
    <w:basedOn w:val="Standaardalinea-lettertype"/>
    <w:uiPriority w:val="99"/>
    <w:semiHidden/>
    <w:unhideWhenUsed/>
    <w:rsid w:val="007E1830"/>
    <w:rPr>
      <w:sz w:val="16"/>
      <w:szCs w:val="16"/>
    </w:rPr>
  </w:style>
  <w:style w:type="paragraph" w:styleId="Tekstopmerking">
    <w:name w:val="annotation text"/>
    <w:basedOn w:val="Standaard"/>
    <w:link w:val="TekstopmerkingChar"/>
    <w:uiPriority w:val="99"/>
    <w:unhideWhenUsed/>
    <w:rsid w:val="007E1830"/>
    <w:pPr>
      <w:spacing w:line="240" w:lineRule="auto"/>
    </w:pPr>
    <w:rPr>
      <w:sz w:val="20"/>
      <w:szCs w:val="20"/>
    </w:rPr>
  </w:style>
  <w:style w:type="character" w:customStyle="1" w:styleId="TekstopmerkingChar">
    <w:name w:val="Tekst opmerking Char"/>
    <w:basedOn w:val="Standaardalinea-lettertype"/>
    <w:link w:val="Tekstopmerking"/>
    <w:uiPriority w:val="99"/>
    <w:rsid w:val="007E1830"/>
    <w:rPr>
      <w:sz w:val="20"/>
      <w:szCs w:val="20"/>
    </w:rPr>
  </w:style>
  <w:style w:type="paragraph" w:styleId="Onderwerpvanopmerking">
    <w:name w:val="annotation subject"/>
    <w:basedOn w:val="Tekstopmerking"/>
    <w:next w:val="Tekstopmerking"/>
    <w:link w:val="OnderwerpvanopmerkingChar"/>
    <w:uiPriority w:val="99"/>
    <w:semiHidden/>
    <w:unhideWhenUsed/>
    <w:rsid w:val="007E1830"/>
    <w:rPr>
      <w:b/>
      <w:bCs/>
    </w:rPr>
  </w:style>
  <w:style w:type="character" w:customStyle="1" w:styleId="OnderwerpvanopmerkingChar">
    <w:name w:val="Onderwerp van opmerking Char"/>
    <w:basedOn w:val="TekstopmerkingChar"/>
    <w:link w:val="Onderwerpvanopmerking"/>
    <w:uiPriority w:val="99"/>
    <w:semiHidden/>
    <w:rsid w:val="007E1830"/>
    <w:rPr>
      <w:b/>
      <w:bCs/>
      <w:sz w:val="20"/>
      <w:szCs w:val="20"/>
    </w:rPr>
  </w:style>
  <w:style w:type="character" w:styleId="GevolgdeHyperlink">
    <w:name w:val="FollowedHyperlink"/>
    <w:basedOn w:val="Standaardalinea-lettertype"/>
    <w:uiPriority w:val="99"/>
    <w:semiHidden/>
    <w:unhideWhenUsed/>
    <w:rsid w:val="0010283B"/>
    <w:rPr>
      <w:color w:val="954F72" w:themeColor="followedHyperlink"/>
      <w:u w:val="single"/>
    </w:rPr>
  </w:style>
  <w:style w:type="paragraph" w:styleId="Eindnoottekst">
    <w:name w:val="endnote text"/>
    <w:basedOn w:val="Standaard"/>
    <w:link w:val="EindnoottekstChar"/>
    <w:uiPriority w:val="99"/>
    <w:semiHidden/>
    <w:unhideWhenUsed/>
    <w:rsid w:val="005E61C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E61CE"/>
    <w:rPr>
      <w:sz w:val="20"/>
      <w:szCs w:val="20"/>
    </w:rPr>
  </w:style>
  <w:style w:type="character" w:styleId="Eindnootmarkering">
    <w:name w:val="endnote reference"/>
    <w:basedOn w:val="Standaardalinea-lettertype"/>
    <w:uiPriority w:val="99"/>
    <w:semiHidden/>
    <w:unhideWhenUsed/>
    <w:rsid w:val="005E61CE"/>
    <w:rPr>
      <w:vertAlign w:val="superscript"/>
    </w:rPr>
  </w:style>
  <w:style w:type="paragraph" w:styleId="Voetnoottekst">
    <w:name w:val="footnote text"/>
    <w:basedOn w:val="Standaard"/>
    <w:link w:val="VoetnoottekstChar"/>
    <w:uiPriority w:val="99"/>
    <w:semiHidden/>
    <w:unhideWhenUsed/>
    <w:rsid w:val="001876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7661"/>
    <w:rPr>
      <w:sz w:val="20"/>
      <w:szCs w:val="20"/>
    </w:rPr>
  </w:style>
  <w:style w:type="character" w:styleId="Voetnootmarkering">
    <w:name w:val="footnote reference"/>
    <w:basedOn w:val="Standaardalinea-lettertype"/>
    <w:uiPriority w:val="99"/>
    <w:semiHidden/>
    <w:unhideWhenUsed/>
    <w:rsid w:val="00187661"/>
    <w:rPr>
      <w:vertAlign w:val="superscript"/>
    </w:rPr>
  </w:style>
  <w:style w:type="character" w:styleId="Onopgelostemelding">
    <w:name w:val="Unresolved Mention"/>
    <w:basedOn w:val="Standaardalinea-lettertype"/>
    <w:uiPriority w:val="99"/>
    <w:semiHidden/>
    <w:unhideWhenUsed/>
    <w:rsid w:val="009303C7"/>
    <w:rPr>
      <w:color w:val="605E5C"/>
      <w:shd w:val="clear" w:color="auto" w:fill="E1DFDD"/>
    </w:rPr>
  </w:style>
  <w:style w:type="paragraph" w:styleId="Koptekst">
    <w:name w:val="header"/>
    <w:basedOn w:val="Standaard"/>
    <w:link w:val="KoptekstChar"/>
    <w:uiPriority w:val="99"/>
    <w:unhideWhenUsed/>
    <w:rsid w:val="00216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F88"/>
  </w:style>
  <w:style w:type="paragraph" w:styleId="Voettekst">
    <w:name w:val="footer"/>
    <w:basedOn w:val="Standaard"/>
    <w:link w:val="VoettekstChar"/>
    <w:unhideWhenUsed/>
    <w:rsid w:val="00216F88"/>
    <w:pPr>
      <w:tabs>
        <w:tab w:val="center" w:pos="4536"/>
        <w:tab w:val="right" w:pos="9072"/>
      </w:tabs>
      <w:spacing w:after="0" w:line="240" w:lineRule="auto"/>
    </w:pPr>
  </w:style>
  <w:style w:type="character" w:customStyle="1" w:styleId="VoettekstChar">
    <w:name w:val="Voettekst Char"/>
    <w:basedOn w:val="Standaardalinea-lettertype"/>
    <w:link w:val="Voettekst"/>
    <w:rsid w:val="00216F88"/>
  </w:style>
  <w:style w:type="character" w:customStyle="1" w:styleId="normaltextrun">
    <w:name w:val="normaltextrun"/>
    <w:basedOn w:val="Standaardalinea-lettertype"/>
    <w:rsid w:val="00276D23"/>
  </w:style>
  <w:style w:type="character" w:customStyle="1" w:styleId="eop">
    <w:name w:val="eop"/>
    <w:basedOn w:val="Standaardalinea-lettertype"/>
    <w:rsid w:val="0027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ovisie.nl/" TargetMode="External" Id="rId8" /><Relationship Type="http://schemas.openxmlformats.org/officeDocument/2006/relationships/hyperlink" Target="https://www.movisie.nl/publicatie/wegwijzer-sportverenigingen-normen-stellen-grensoverschrijdend-gedrag" TargetMode="External" Id="rId13" /><Relationship Type="http://schemas.openxmlformats.org/officeDocument/2006/relationships/hyperlink" Target="https://www.movisie.nl/artikel/verontrustende-feiten-cijfers-over-acceptatie-lhbti-personen" TargetMode="External" Id="rId18"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movisie.nl/interventie/je-lijf-je-lief" TargetMode="External" Id="rId12" /><Relationship Type="http://schemas.openxmlformats.org/officeDocument/2006/relationships/hyperlink" Target="https://www.movisie.nl/artikel/kwetsbare-vrijwilligers-meedoen-gaat-niet-vanzelf" TargetMode="External" Id="rId17" /><Relationship Type="http://schemas.openxmlformats.org/officeDocument/2006/relationships/numbering" Target="numbering.xml" Id="rId2" /><Relationship Type="http://schemas.openxmlformats.org/officeDocument/2006/relationships/hyperlink" Target="https://www.movisie.nl/artikel/podcast-regenboogsteden-belang-zichtbaarheid" TargetMode="External"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s://www.movisie.nl/artikel/seksueel-gedrag-jeugdigen-bespreekbaar-maken-vlaggensysteem"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movisie.nl/artikel/ingrijpen-grensoverschrijdend-gedrag-hoe-rust-je-omstanders-toe" TargetMode="External" Id="rId15" /><Relationship Type="http://schemas.openxmlformats.org/officeDocument/2006/relationships/fontTable" Target="fontTable.xml" Id="rId23" /><Relationship Type="http://schemas.openxmlformats.org/officeDocument/2006/relationships/hyperlink" Target="https://www.movisie.nl/publicatie/over-grens-seksueel-opvoeden-vlaggensysteem"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hyperlink" Target="https://www.movisie.nl/artikel/wie-ben-ik-om-hier-iets-te-vinden" TargetMode="External" Id="rId9" /><Relationship Type="http://schemas.openxmlformats.org/officeDocument/2006/relationships/hyperlink" Target="https://www.movisie.nl/artikel/relatiewijs-bijgesteld-komt-digitaal-beschikbaar" TargetMode="External"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movisie.nl/artikel/discriminatie-aanpakken-werkvloer-wat-werkt-volgens-wetensch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2235</ap:Words>
  <ap:Characters>12296</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2022-06-15T10:20:00.0000000Z</dcterms:created>
  <dcterms:modified xsi:type="dcterms:W3CDTF">2022-06-15T10:20:00.0000000Z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hanged">
    <vt:lpwstr>True</vt:lpwstr>
  </property>
</Properties>
</file>