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4D30" w:rsidR="005A11C1" w:rsidP="005A11C1" w:rsidRDefault="00917112" w14:paraId="4A1DF26C" w14:textId="77777777"/>
    <w:tbl>
      <w:tblPr>
        <w:tblStyle w:val="Tabelraster1"/>
        <w:tblpPr w:leftFromText="142" w:rightFromText="142" w:vertAnchor="text" w:horzAnchor="page" w:tblpX="710" w:tblpY="1"/>
        <w:tblOverlap w:val="never"/>
        <w:tblW w:w="9554"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049"/>
        <w:gridCol w:w="1247"/>
        <w:gridCol w:w="7258"/>
      </w:tblGrid>
      <w:tr w:rsidR="001C52B5" w:rsidTr="005A11C1" w14:paraId="656DEF02" w14:textId="77777777">
        <w:trPr>
          <w:trHeight w:val="680" w:hRule="exact"/>
        </w:trPr>
        <w:tc>
          <w:tcPr>
            <w:tcW w:w="1049" w:type="dxa"/>
          </w:tcPr>
          <w:p w:rsidRPr="0068579F" w:rsidR="005A11C1" w:rsidP="00365FAA" w:rsidRDefault="00917112" w14:paraId="79E9F924" w14:textId="77777777">
            <w:pPr>
              <w:widowControl w:val="0"/>
              <w:autoSpaceDE w:val="0"/>
              <w:autoSpaceDN w:val="0"/>
              <w:adjustRightInd w:val="0"/>
              <w:rPr>
                <w:noProof/>
              </w:rPr>
            </w:pPr>
          </w:p>
        </w:tc>
        <w:tc>
          <w:tcPr>
            <w:tcW w:w="8505" w:type="dxa"/>
            <w:gridSpan w:val="2"/>
          </w:tcPr>
          <w:p w:rsidRPr="0068579F" w:rsidR="005A11C1" w:rsidP="00365FAA" w:rsidRDefault="002800B3" w14:paraId="2007C71A" w14:textId="77777777">
            <w:pPr>
              <w:pStyle w:val="DocumentnaamKopRapporttiteltitelpagina"/>
              <w:rPr>
                <w:noProof/>
              </w:rPr>
            </w:pPr>
            <w:r>
              <w:rPr>
                <w:noProof/>
              </w:rPr>
              <w:t>H</w:t>
            </w:r>
            <w:r w:rsidRPr="002800B3">
              <w:rPr>
                <w:noProof/>
              </w:rPr>
              <w:t>erstel en de wederopbouw van Oekraïne</w:t>
            </w:r>
          </w:p>
        </w:tc>
      </w:tr>
      <w:tr w:rsidR="001C52B5" w:rsidTr="005A11C1" w14:paraId="0E3BD8FC" w14:textId="77777777">
        <w:tc>
          <w:tcPr>
            <w:tcW w:w="1049" w:type="dxa"/>
          </w:tcPr>
          <w:p w:rsidRPr="0068579F" w:rsidR="005A11C1" w:rsidP="00365FAA" w:rsidRDefault="00917112" w14:paraId="45771344" w14:textId="77777777">
            <w:pPr>
              <w:widowControl w:val="0"/>
              <w:autoSpaceDE w:val="0"/>
              <w:autoSpaceDN w:val="0"/>
              <w:adjustRightInd w:val="0"/>
              <w:rPr>
                <w:noProof/>
              </w:rPr>
            </w:pPr>
          </w:p>
        </w:tc>
        <w:tc>
          <w:tcPr>
            <w:tcW w:w="1247" w:type="dxa"/>
          </w:tcPr>
          <w:p w:rsidRPr="0068579F" w:rsidR="005A11C1" w:rsidP="00365FAA" w:rsidRDefault="002D41F8" w14:paraId="042AF4FE" w14:textId="77777777">
            <w:pPr>
              <w:pStyle w:val="KopjesdatumKenmerketcRouteVerwijzing"/>
              <w:rPr>
                <w:noProof/>
              </w:rPr>
            </w:pPr>
            <w:r>
              <w:rPr>
                <w:noProof/>
              </w:rPr>
              <w:t>Aan</w:t>
            </w:r>
          </w:p>
        </w:tc>
        <w:tc>
          <w:tcPr>
            <w:tcW w:w="7258" w:type="dxa"/>
          </w:tcPr>
          <w:p w:rsidRPr="0068579F" w:rsidR="005A11C1" w:rsidP="00654819" w:rsidRDefault="002800B3" w14:paraId="7F056D37" w14:textId="77777777">
            <w:pPr>
              <w:widowControl w:val="0"/>
              <w:autoSpaceDE w:val="0"/>
              <w:autoSpaceDN w:val="0"/>
              <w:adjustRightInd w:val="0"/>
              <w:rPr>
                <w:noProof/>
              </w:rPr>
            </w:pPr>
            <w:r>
              <w:t>De leden van de Tweede Kamer commissie BHOS</w:t>
            </w:r>
          </w:p>
        </w:tc>
      </w:tr>
      <w:tr w:rsidR="00D42907" w:rsidTr="00FE7952" w14:paraId="63DE60BE" w14:textId="77777777">
        <w:tc>
          <w:tcPr>
            <w:tcW w:w="1049" w:type="dxa"/>
          </w:tcPr>
          <w:p w:rsidRPr="0068579F" w:rsidR="00D42907" w:rsidP="00FE7952" w:rsidRDefault="00D42907" w14:paraId="27729E39" w14:textId="77777777">
            <w:pPr>
              <w:widowControl w:val="0"/>
              <w:autoSpaceDE w:val="0"/>
              <w:autoSpaceDN w:val="0"/>
              <w:adjustRightInd w:val="0"/>
              <w:rPr>
                <w:noProof/>
              </w:rPr>
            </w:pPr>
          </w:p>
        </w:tc>
        <w:tc>
          <w:tcPr>
            <w:tcW w:w="1247" w:type="dxa"/>
          </w:tcPr>
          <w:p w:rsidR="00D42907" w:rsidP="00FE7952" w:rsidRDefault="00D42907" w14:paraId="732CAF45" w14:textId="27A0A4B2">
            <w:pPr>
              <w:pStyle w:val="KopjesdatumKenmerketcRouteVerwijzing"/>
              <w:rPr>
                <w:noProof/>
              </w:rPr>
            </w:pPr>
            <w:r>
              <w:rPr>
                <w:noProof/>
              </w:rPr>
              <w:t>Van</w:t>
            </w:r>
          </w:p>
        </w:tc>
        <w:tc>
          <w:tcPr>
            <w:tcW w:w="7258" w:type="dxa"/>
          </w:tcPr>
          <w:p w:rsidR="00D42907" w:rsidP="00FE7952" w:rsidRDefault="00D42907" w14:paraId="144CDD9C" w14:textId="18456027">
            <w:pPr>
              <w:widowControl w:val="0"/>
              <w:autoSpaceDE w:val="0"/>
              <w:autoSpaceDN w:val="0"/>
              <w:adjustRightInd w:val="0"/>
              <w:rPr>
                <w:noProof/>
              </w:rPr>
            </w:pPr>
            <w:r>
              <w:rPr>
                <w:noProof/>
              </w:rPr>
              <w:t>Public Affairs</w:t>
            </w:r>
          </w:p>
        </w:tc>
      </w:tr>
      <w:tr w:rsidR="001C52B5" w:rsidTr="00FE7952" w14:paraId="79FCB04A" w14:textId="77777777">
        <w:tc>
          <w:tcPr>
            <w:tcW w:w="1049" w:type="dxa"/>
          </w:tcPr>
          <w:p w:rsidRPr="0068579F" w:rsidR="00CD70EE" w:rsidP="00FE7952" w:rsidRDefault="00917112" w14:paraId="7DF4AC82" w14:textId="77777777">
            <w:pPr>
              <w:widowControl w:val="0"/>
              <w:autoSpaceDE w:val="0"/>
              <w:autoSpaceDN w:val="0"/>
              <w:adjustRightInd w:val="0"/>
              <w:rPr>
                <w:noProof/>
              </w:rPr>
            </w:pPr>
          </w:p>
        </w:tc>
        <w:tc>
          <w:tcPr>
            <w:tcW w:w="1247" w:type="dxa"/>
          </w:tcPr>
          <w:p w:rsidRPr="0068579F" w:rsidR="00CD70EE" w:rsidP="00FE7952" w:rsidRDefault="002D41F8" w14:paraId="2E8AEC57" w14:textId="77777777">
            <w:pPr>
              <w:pStyle w:val="KopjesdatumKenmerketcRouteVerwijzing"/>
              <w:rPr>
                <w:noProof/>
              </w:rPr>
            </w:pPr>
            <w:r>
              <w:rPr>
                <w:noProof/>
              </w:rPr>
              <w:t>Datum</w:t>
            </w:r>
          </w:p>
        </w:tc>
        <w:tc>
          <w:tcPr>
            <w:tcW w:w="7258" w:type="dxa"/>
          </w:tcPr>
          <w:p w:rsidRPr="0068579F" w:rsidR="00CD70EE" w:rsidP="00FE7952" w:rsidRDefault="00654819" w14:paraId="22999BDA" w14:textId="77777777">
            <w:pPr>
              <w:widowControl w:val="0"/>
              <w:autoSpaceDE w:val="0"/>
              <w:autoSpaceDN w:val="0"/>
              <w:adjustRightInd w:val="0"/>
              <w:rPr>
                <w:noProof/>
              </w:rPr>
            </w:pPr>
            <w:r>
              <w:rPr>
                <w:noProof/>
              </w:rPr>
              <w:t>1</w:t>
            </w:r>
            <w:r w:rsidR="002800B3">
              <w:rPr>
                <w:noProof/>
              </w:rPr>
              <w:t>9 mei 2022</w:t>
            </w:r>
          </w:p>
        </w:tc>
      </w:tr>
      <w:tr w:rsidR="001C52B5" w:rsidTr="00FE7952" w14:paraId="634507CB" w14:textId="77777777">
        <w:trPr>
          <w:trHeight w:val="142" w:hRule="exact"/>
        </w:trPr>
        <w:tc>
          <w:tcPr>
            <w:tcW w:w="1049" w:type="dxa"/>
          </w:tcPr>
          <w:p w:rsidRPr="0068579F" w:rsidR="00CD70EE" w:rsidP="00FE7952" w:rsidRDefault="00917112" w14:paraId="6E040CA1" w14:textId="77777777">
            <w:pPr>
              <w:widowControl w:val="0"/>
              <w:autoSpaceDE w:val="0"/>
              <w:autoSpaceDN w:val="0"/>
              <w:adjustRightInd w:val="0"/>
              <w:rPr>
                <w:noProof/>
              </w:rPr>
            </w:pPr>
          </w:p>
        </w:tc>
        <w:tc>
          <w:tcPr>
            <w:tcW w:w="1247" w:type="dxa"/>
          </w:tcPr>
          <w:p w:rsidRPr="0068579F" w:rsidR="00CD70EE" w:rsidP="00FE7952" w:rsidRDefault="00917112" w14:paraId="2C655F2C" w14:textId="77777777">
            <w:pPr>
              <w:pStyle w:val="KopjesdatumKenmerketcRouteVerwijzing"/>
              <w:rPr>
                <w:noProof/>
              </w:rPr>
            </w:pPr>
          </w:p>
        </w:tc>
        <w:tc>
          <w:tcPr>
            <w:tcW w:w="7258" w:type="dxa"/>
          </w:tcPr>
          <w:p w:rsidRPr="0068579F" w:rsidR="00CD70EE" w:rsidP="00FE7952" w:rsidRDefault="00917112" w14:paraId="4800D700" w14:textId="77777777">
            <w:pPr>
              <w:widowControl w:val="0"/>
              <w:autoSpaceDE w:val="0"/>
              <w:autoSpaceDN w:val="0"/>
              <w:adjustRightInd w:val="0"/>
              <w:rPr>
                <w:noProof/>
              </w:rPr>
            </w:pPr>
          </w:p>
        </w:tc>
      </w:tr>
      <w:tr w:rsidR="001C52B5" w:rsidTr="00FE7952" w14:paraId="25778B95" w14:textId="77777777">
        <w:tc>
          <w:tcPr>
            <w:tcW w:w="1049" w:type="dxa"/>
          </w:tcPr>
          <w:p w:rsidRPr="0068579F" w:rsidR="00CD70EE" w:rsidP="00FE7952" w:rsidRDefault="00917112" w14:paraId="6A48ED0E" w14:textId="77777777">
            <w:pPr>
              <w:widowControl w:val="0"/>
              <w:autoSpaceDE w:val="0"/>
              <w:autoSpaceDN w:val="0"/>
              <w:adjustRightInd w:val="0"/>
              <w:rPr>
                <w:noProof/>
              </w:rPr>
            </w:pPr>
          </w:p>
        </w:tc>
        <w:tc>
          <w:tcPr>
            <w:tcW w:w="1247" w:type="dxa"/>
          </w:tcPr>
          <w:p w:rsidRPr="0068579F" w:rsidR="00CD70EE" w:rsidP="00FE7952" w:rsidRDefault="00917112" w14:paraId="0ABB2B06" w14:textId="77777777">
            <w:pPr>
              <w:pStyle w:val="KopjesdatumKenmerketcRouteVerwijzing"/>
              <w:rPr>
                <w:noProof/>
              </w:rPr>
            </w:pPr>
          </w:p>
        </w:tc>
        <w:tc>
          <w:tcPr>
            <w:tcW w:w="7258" w:type="dxa"/>
          </w:tcPr>
          <w:p w:rsidRPr="0068579F" w:rsidR="00CD70EE" w:rsidP="00FE7952" w:rsidRDefault="00917112" w14:paraId="496E3F19" w14:textId="77777777">
            <w:pPr>
              <w:widowControl w:val="0"/>
              <w:autoSpaceDE w:val="0"/>
              <w:autoSpaceDN w:val="0"/>
              <w:adjustRightInd w:val="0"/>
              <w:rPr>
                <w:noProof/>
              </w:rPr>
            </w:pPr>
          </w:p>
        </w:tc>
      </w:tr>
    </w:tbl>
    <w:p w:rsidR="00B14242" w:rsidP="00AF6B75" w:rsidRDefault="002800B3" w14:paraId="7632A360" w14:textId="4BF9BF29">
      <w:r>
        <w:t xml:space="preserve">In de speech die </w:t>
      </w:r>
      <w:r w:rsidR="00787DAB">
        <w:t xml:space="preserve">de Oekraïense </w:t>
      </w:r>
      <w:r>
        <w:t xml:space="preserve">president Zelensky op </w:t>
      </w:r>
      <w:r w:rsidRPr="00787DAB" w:rsidR="00787DAB">
        <w:t xml:space="preserve">31 maart hield in de Tweede Kamer sprak </w:t>
      </w:r>
      <w:r w:rsidR="00787DAB">
        <w:t xml:space="preserve">hij onder andere </w:t>
      </w:r>
      <w:r w:rsidRPr="00787DAB" w:rsidR="00787DAB">
        <w:t>over de wederopbouw van Oekraïne. Het is indrukwekkend dat de president al oproept tot wederopbouw van Oekraïne en hulp vraag</w:t>
      </w:r>
      <w:r w:rsidR="00D7294A">
        <w:t>t bij de herbouw van steden  in</w:t>
      </w:r>
      <w:r w:rsidRPr="00787DAB" w:rsidR="00787DAB">
        <w:t xml:space="preserve"> </w:t>
      </w:r>
      <w:r w:rsidR="00D42907">
        <w:t xml:space="preserve">wat hij noemt </w:t>
      </w:r>
      <w:r w:rsidRPr="00787DAB" w:rsidR="00787DAB">
        <w:t xml:space="preserve">een vernieuwd Oekraïne. Amsterdam beschikt over de expertise en vaardigheden om Oekraïense steden bij te staan </w:t>
      </w:r>
      <w:r w:rsidR="00014E96">
        <w:t>en</w:t>
      </w:r>
      <w:r w:rsidR="00787DAB">
        <w:t xml:space="preserve"> is bereid deze </w:t>
      </w:r>
      <w:r w:rsidR="00014E96">
        <w:t xml:space="preserve">expertise </w:t>
      </w:r>
      <w:r w:rsidR="00787DAB">
        <w:t xml:space="preserve">in te zetten voor herstel en wederopbouw. </w:t>
      </w:r>
      <w:r w:rsidRPr="00954695" w:rsidR="00954695">
        <w:t xml:space="preserve">Amsterdam is al enige tijd geleden afgestapt van vaste stedenbanden. Er wordt samengewerkt met steden waar de impact </w:t>
      </w:r>
      <w:r w:rsidR="001C7AD9">
        <w:t xml:space="preserve">van de samenwerking </w:t>
      </w:r>
      <w:r w:rsidRPr="00954695" w:rsidR="00954695">
        <w:t xml:space="preserve">het grootste is. Natuurlijk is </w:t>
      </w:r>
      <w:r w:rsidR="00014E96">
        <w:t>voor Amsterdam als hoofdstad Kyi</w:t>
      </w:r>
      <w:r w:rsidRPr="00954695" w:rsidR="00954695">
        <w:t>v in beeld, maar daarnaast ook andere steden waar de nood mogelijk hoger is</w:t>
      </w:r>
      <w:r w:rsidR="00D7294A">
        <w:t>.</w:t>
      </w:r>
      <w:r w:rsidR="00014E96">
        <w:t xml:space="preserve"> Amsterdam ziet stedenbanden ook niet als </w:t>
      </w:r>
      <w:r w:rsidR="001C7AD9">
        <w:t>een</w:t>
      </w:r>
      <w:r w:rsidR="00014E96">
        <w:t xml:space="preserve"> relevante context voor wederopbouw. </w:t>
      </w:r>
    </w:p>
    <w:p w:rsidR="002800B3" w:rsidP="00AF6B75" w:rsidRDefault="002800B3" w14:paraId="0FB28853" w14:textId="77777777"/>
    <w:p w:rsidR="006A7533" w:rsidP="00AF6B75" w:rsidRDefault="006A7533" w14:paraId="177E2127" w14:textId="77777777">
      <w:pPr>
        <w:rPr>
          <w:b/>
        </w:rPr>
      </w:pPr>
    </w:p>
    <w:p w:rsidRPr="00ED0AA6" w:rsidR="009377F1" w:rsidP="00AF6B75" w:rsidRDefault="00787DAB" w14:paraId="7CA9734A" w14:textId="5514BC06">
      <w:pPr>
        <w:rPr>
          <w:b/>
        </w:rPr>
      </w:pPr>
      <w:r w:rsidRPr="00ED0AA6">
        <w:rPr>
          <w:b/>
        </w:rPr>
        <w:t xml:space="preserve">Aandachtspunten bij Nederlandse bijdrage </w:t>
      </w:r>
      <w:r w:rsidRPr="00ED0AA6" w:rsidR="00B2535C">
        <w:rPr>
          <w:b/>
        </w:rPr>
        <w:t xml:space="preserve"> aan herstel en wederopbouw</w:t>
      </w:r>
      <w:r w:rsidRPr="00ED0AA6">
        <w:rPr>
          <w:b/>
        </w:rPr>
        <w:t>:</w:t>
      </w:r>
    </w:p>
    <w:p w:rsidR="00787DAB" w:rsidP="00AF6B75" w:rsidRDefault="00787DAB" w14:paraId="4692023B" w14:textId="77777777"/>
    <w:p w:rsidR="00292548" w:rsidP="00AF6B75" w:rsidRDefault="002800B3" w14:paraId="6A6C71B7" w14:textId="77777777">
      <w:pPr>
        <w:pStyle w:val="Lijstalinea"/>
        <w:numPr>
          <w:ilvl w:val="0"/>
          <w:numId w:val="29"/>
        </w:numPr>
        <w:ind w:left="0" w:firstLine="0"/>
      </w:pPr>
      <w:r w:rsidRPr="00292548">
        <w:rPr>
          <w:b/>
        </w:rPr>
        <w:t xml:space="preserve">Regie </w:t>
      </w:r>
      <w:r w:rsidR="00292548">
        <w:rPr>
          <w:b/>
        </w:rPr>
        <w:t>voeren op de Nederlandse bijdrage aan herstel en wederopbouw</w:t>
      </w:r>
      <w:r>
        <w:t xml:space="preserve"> </w:t>
      </w:r>
    </w:p>
    <w:p w:rsidRPr="00417F62" w:rsidR="00417F62" w:rsidP="00AF6B75" w:rsidRDefault="002800B3" w14:paraId="4558121F" w14:textId="5093279F">
      <w:r>
        <w:t>Veel steden in Oekraïne benaderen Amsterdam en andere steden met verzoeken om hulp. Aan het begin van de oorlog waren dat verzoeken om medische en andere hulpgoederen. Inmiddels komen er ook vragen over hulp bij wederopbouw.</w:t>
      </w:r>
      <w:r w:rsidR="00292548">
        <w:t xml:space="preserve"> </w:t>
      </w:r>
      <w:r w:rsidR="00954695">
        <w:t xml:space="preserve">Als alle goedbedoelende partijen aan Nederlandse kant daar ongecoördineerd op ingaan wordt het in Oekraïne een chaos. Logistiek maar mogelijk ook politiek. </w:t>
      </w:r>
      <w:r w:rsidR="00417F62">
        <w:t xml:space="preserve">Er ligt  </w:t>
      </w:r>
      <w:r w:rsidR="009C5E9D">
        <w:t xml:space="preserve">aan onze kant een verantwoordelijkheid om de hulp zo goed mogelijk over het land te verdelen. </w:t>
      </w:r>
      <w:r w:rsidR="00014E96">
        <w:t xml:space="preserve">Het eerste dat we vanuit Europa/Nederland/Amsterdam kunnen betekenen is regie voeren op die hulp. </w:t>
      </w:r>
      <w:r w:rsidR="009C5E9D">
        <w:t xml:space="preserve">Daarover kunnen bijvoorbeeld in VNG verband maar ook </w:t>
      </w:r>
      <w:r w:rsidR="001C7AD9">
        <w:t xml:space="preserve">met het rijk en </w:t>
      </w:r>
      <w:r w:rsidR="009C5E9D">
        <w:t xml:space="preserve">internationaal afspraken gemaakt worden.  </w:t>
      </w:r>
      <w:r w:rsidR="00CA4BC2">
        <w:t>De</w:t>
      </w:r>
      <w:r w:rsidRPr="00417F62" w:rsidR="00417F62">
        <w:t xml:space="preserve"> taskforce </w:t>
      </w:r>
      <w:r w:rsidR="00CA4BC2">
        <w:t xml:space="preserve">van de VNG </w:t>
      </w:r>
      <w:r w:rsidRPr="00417F62" w:rsidR="00417F62">
        <w:t xml:space="preserve">ingericht om afstemming met de rijksoverheid te realiseren en gemeenten te kunnen ondersteunen </w:t>
      </w:r>
      <w:r w:rsidR="00CA4BC2">
        <w:t xml:space="preserve">kan hier een belangrijke rol in spelen.  </w:t>
      </w:r>
    </w:p>
    <w:p w:rsidRPr="00AF6B75" w:rsidR="00014E96" w:rsidP="00AF6B75" w:rsidRDefault="00D7294A" w14:paraId="091F1C63" w14:textId="77777777">
      <w:pPr>
        <w:rPr>
          <w:b/>
        </w:rPr>
      </w:pPr>
      <w:r w:rsidRPr="00666DEF">
        <w:rPr>
          <w:b/>
        </w:rPr>
        <w:t xml:space="preserve">Aanbeveling: </w:t>
      </w:r>
      <w:r w:rsidRPr="00AF6B75" w:rsidR="00417F62">
        <w:rPr>
          <w:b/>
        </w:rPr>
        <w:t>H</w:t>
      </w:r>
      <w:r w:rsidRPr="00AF6B75" w:rsidR="00221E9E">
        <w:rPr>
          <w:b/>
        </w:rPr>
        <w:t>et kabinet kan regie pakken t.a.v. van hulp bij wederopbouw, door het samenbrengen van lokale, nationale en internationale partijen</w:t>
      </w:r>
      <w:r w:rsidRPr="00AF6B75" w:rsidR="00417F62">
        <w:rPr>
          <w:b/>
        </w:rPr>
        <w:t xml:space="preserve">. </w:t>
      </w:r>
      <w:r w:rsidRPr="00AF6B75" w:rsidR="00221E9E">
        <w:rPr>
          <w:b/>
        </w:rPr>
        <w:t xml:space="preserve"> </w:t>
      </w:r>
    </w:p>
    <w:p w:rsidRPr="00AF6B75" w:rsidR="00D7294A" w:rsidP="00AF6B75" w:rsidRDefault="00D7294A" w14:paraId="6309076E" w14:textId="51DC5BB8">
      <w:pPr>
        <w:pStyle w:val="Lijstalinea"/>
        <w:ind w:left="0"/>
        <w:rPr>
          <w:b/>
        </w:rPr>
      </w:pPr>
    </w:p>
    <w:p w:rsidR="00F7158A" w:rsidP="00AF6B75" w:rsidRDefault="00787DAB" w14:paraId="355056E7" w14:textId="4610496B">
      <w:pPr>
        <w:pStyle w:val="Lijstalinea"/>
        <w:numPr>
          <w:ilvl w:val="0"/>
          <w:numId w:val="29"/>
        </w:numPr>
        <w:ind w:left="0" w:firstLine="0"/>
      </w:pPr>
      <w:r w:rsidRPr="0075469A">
        <w:rPr>
          <w:b/>
        </w:rPr>
        <w:t>Inzetten van stedennetwerken die direct contact hebben met partners i</w:t>
      </w:r>
      <w:r w:rsidRPr="0075469A" w:rsidR="00D56B28">
        <w:rPr>
          <w:b/>
        </w:rPr>
        <w:t>n</w:t>
      </w:r>
      <w:r w:rsidRPr="0075469A">
        <w:rPr>
          <w:b/>
        </w:rPr>
        <w:t xml:space="preserve"> </w:t>
      </w:r>
      <w:r w:rsidRPr="0075469A" w:rsidR="00D56B28">
        <w:rPr>
          <w:b/>
        </w:rPr>
        <w:t>Oekraïne</w:t>
      </w:r>
      <w:r w:rsidRPr="0075469A" w:rsidR="00292548">
        <w:rPr>
          <w:b/>
        </w:rPr>
        <w:br/>
      </w:r>
      <w:r w:rsidRPr="00292548" w:rsidR="00292548">
        <w:t>Amsterdam is lid van het Pact of Free Cities</w:t>
      </w:r>
      <w:r w:rsidR="00E94A80">
        <w:t xml:space="preserve"> (PoFC)</w:t>
      </w:r>
      <w:r w:rsidR="006A0BD6">
        <w:t>.</w:t>
      </w:r>
      <w:r w:rsidRPr="006A0BD6" w:rsidR="006A0BD6">
        <w:t xml:space="preserve"> </w:t>
      </w:r>
      <w:r w:rsidR="006A0BD6">
        <w:t xml:space="preserve">De burgemeesters van Warschau, Bratislava, Boedapest en Praag zijn daar de oprichters van. </w:t>
      </w:r>
      <w:r w:rsidR="00E94A80">
        <w:t>Het netwerk wil</w:t>
      </w:r>
      <w:r w:rsidR="006A0BD6">
        <w:t xml:space="preserve"> </w:t>
      </w:r>
      <w:r w:rsidRPr="00292548" w:rsidR="00292548">
        <w:t xml:space="preserve"> </w:t>
      </w:r>
      <w:r w:rsidR="006A0BD6">
        <w:t xml:space="preserve">een tegengeluid laten horen tegen </w:t>
      </w:r>
      <w:r w:rsidR="00E94A80">
        <w:t xml:space="preserve">populistische en ondemocratische tendensen in de </w:t>
      </w:r>
      <w:r w:rsidR="006A0BD6">
        <w:t xml:space="preserve">nationale politiek en </w:t>
      </w:r>
      <w:r w:rsidR="00E94A80">
        <w:t>zet</w:t>
      </w:r>
      <w:r w:rsidR="00292548">
        <w:t xml:space="preserve"> </w:t>
      </w:r>
      <w:r w:rsidR="00E94A80">
        <w:t xml:space="preserve">zich in </w:t>
      </w:r>
      <w:r w:rsidR="00292548">
        <w:t xml:space="preserve">voor democratie en </w:t>
      </w:r>
      <w:r w:rsidRPr="0075469A" w:rsidR="00292548">
        <w:rPr>
          <w:i/>
        </w:rPr>
        <w:t>rule of law</w:t>
      </w:r>
      <w:r w:rsidR="00292548">
        <w:t xml:space="preserve">. </w:t>
      </w:r>
      <w:r w:rsidR="00E94A80">
        <w:t xml:space="preserve">Het </w:t>
      </w:r>
      <w:r w:rsidR="00292548">
        <w:t xml:space="preserve"> </w:t>
      </w:r>
      <w:r w:rsidR="00E94A80">
        <w:t xml:space="preserve">PoFC </w:t>
      </w:r>
      <w:r w:rsidR="00292548">
        <w:t xml:space="preserve">is vanaf het begin van de oorlog in </w:t>
      </w:r>
      <w:r w:rsidR="00073727">
        <w:t>Oekraïne</w:t>
      </w:r>
      <w:r w:rsidR="00292548">
        <w:t xml:space="preserve"> een </w:t>
      </w:r>
      <w:r w:rsidR="006F14F1">
        <w:t>bela</w:t>
      </w:r>
      <w:r w:rsidR="00E94A80">
        <w:t xml:space="preserve">ngrijke toegangspoort tot Europa </w:t>
      </w:r>
      <w:r w:rsidR="006F14F1">
        <w:t xml:space="preserve"> voor Oekraïense  steden gebleken en voor Amsterdam </w:t>
      </w:r>
      <w:r w:rsidR="007A5CFC">
        <w:t xml:space="preserve">een </w:t>
      </w:r>
      <w:r w:rsidR="00292548">
        <w:t>belangrijk</w:t>
      </w:r>
      <w:r w:rsidR="00073727">
        <w:t>e bron van informatie</w:t>
      </w:r>
      <w:r w:rsidR="007A5CFC">
        <w:t>. Bijvoorbeeld o</w:t>
      </w:r>
      <w:r w:rsidR="006F14F1">
        <w:t xml:space="preserve">ver de aantallen en samenstelling van de </w:t>
      </w:r>
      <w:r w:rsidR="00CA4BC2">
        <w:t>ontheemde</w:t>
      </w:r>
      <w:r w:rsidR="006F14F1">
        <w:t xml:space="preserve"> Oekraïners</w:t>
      </w:r>
      <w:r w:rsidR="007A5CFC">
        <w:t xml:space="preserve"> en over </w:t>
      </w:r>
      <w:r w:rsidR="006F14F1">
        <w:t>logistiek corridors</w:t>
      </w:r>
      <w:r w:rsidR="007A5CFC">
        <w:t>. Een</w:t>
      </w:r>
      <w:r w:rsidR="006F14F1">
        <w:t xml:space="preserve"> waarschuwing voor mens</w:t>
      </w:r>
      <w:r w:rsidR="007A5CFC">
        <w:t>en</w:t>
      </w:r>
      <w:r w:rsidR="006F14F1">
        <w:t>handel</w:t>
      </w:r>
      <w:r w:rsidR="00F7158A">
        <w:t>aars</w:t>
      </w:r>
      <w:r w:rsidR="00E94A80">
        <w:t xml:space="preserve"> </w:t>
      </w:r>
      <w:r w:rsidR="006F14F1">
        <w:t xml:space="preserve">kwam na enkele dagen </w:t>
      </w:r>
      <w:r w:rsidR="007A5CFC">
        <w:t xml:space="preserve">al </w:t>
      </w:r>
      <w:r w:rsidR="006F14F1">
        <w:t>tot ons</w:t>
      </w:r>
      <w:r w:rsidR="00CA4BC2">
        <w:t xml:space="preserve"> via de Oost-Europese partners</w:t>
      </w:r>
      <w:r w:rsidR="006F14F1">
        <w:t xml:space="preserve">. </w:t>
      </w:r>
    </w:p>
    <w:p w:rsidR="00F579ED" w:rsidP="00AF6B75" w:rsidRDefault="00CA4BC2" w14:paraId="22C080E8" w14:textId="21100F06">
      <w:pPr>
        <w:pStyle w:val="Lijstalinea"/>
        <w:ind w:left="0"/>
      </w:pPr>
      <w:r>
        <w:lastRenderedPageBreak/>
        <w:t>Op 7 maart zond h</w:t>
      </w:r>
      <w:r w:rsidR="007A5CFC">
        <w:t xml:space="preserve">et </w:t>
      </w:r>
      <w:r w:rsidR="00E94A80">
        <w:t>PoFC</w:t>
      </w:r>
      <w:r w:rsidR="007A5CFC">
        <w:t xml:space="preserve"> </w:t>
      </w:r>
      <w:r w:rsidR="0002266C">
        <w:t>een brief aan de voorzitter van de  Europese Commissie</w:t>
      </w:r>
      <w:r w:rsidR="007A5CFC">
        <w:t xml:space="preserve"> </w:t>
      </w:r>
      <w:r w:rsidR="0002266C">
        <w:t xml:space="preserve">met het verzoek meer financiële middelen rechtstreeks voor lokale overheden beschikbaar te stellen. </w:t>
      </w:r>
      <w:r w:rsidRPr="00A50344" w:rsidR="00A50344">
        <w:t>E</w:t>
      </w:r>
      <w:r w:rsidRPr="00A50344" w:rsidR="0002266C">
        <w:t>en</w:t>
      </w:r>
      <w:r w:rsidR="0002266C">
        <w:t xml:space="preserve"> brief waar tot nu toe geen reactie is gekomen. </w:t>
      </w:r>
      <w:r w:rsidR="00F579ED">
        <w:br/>
      </w:r>
      <w:r w:rsidR="00A50344">
        <w:t xml:space="preserve">Andere stedennetwerken </w:t>
      </w:r>
      <w:r w:rsidR="00F7158A">
        <w:t>zetten zich inmiddels ook in voor Oekraïne</w:t>
      </w:r>
      <w:r w:rsidR="00A50344">
        <w:t xml:space="preserve">. Zo </w:t>
      </w:r>
      <w:r w:rsidR="00156FF9">
        <w:t xml:space="preserve">onderneemt </w:t>
      </w:r>
      <w:r w:rsidR="00A50344">
        <w:t xml:space="preserve">Eurocities </w:t>
      </w:r>
      <w:r w:rsidR="00156FF9">
        <w:t xml:space="preserve">inmiddels verschillende activiteiten van solidariteitsacties tot kennisuitwisseling over opvang </w:t>
      </w:r>
      <w:r w:rsidR="00F7158A">
        <w:t xml:space="preserve">van ontheemden </w:t>
      </w:r>
      <w:r w:rsidR="00156FF9">
        <w:t xml:space="preserve">en de implementatie  van de Tijdelijke Richtlijn </w:t>
      </w:r>
      <w:r w:rsidR="00F579ED">
        <w:t>in geval van massale toestroom van ontheemden</w:t>
      </w:r>
      <w:r>
        <w:t xml:space="preserve"> (</w:t>
      </w:r>
      <w:r w:rsidRPr="00666DEF" w:rsidR="00666DEF">
        <w:t>Richtlĳn 2001/55/EG van de Raad van 20 juli 2001</w:t>
      </w:r>
      <w:r w:rsidR="00666DEF">
        <w:t>)</w:t>
      </w:r>
      <w:r w:rsidR="00F579ED">
        <w:t>.</w:t>
      </w:r>
    </w:p>
    <w:p w:rsidR="00F579ED" w:rsidP="00AF6B75" w:rsidRDefault="00AF6B75" w14:paraId="5D74F3AD" w14:textId="62179976">
      <w:pPr>
        <w:pStyle w:val="Lijstalinea"/>
        <w:ind w:left="0"/>
      </w:pPr>
      <w:r>
        <w:t xml:space="preserve">Binnen Eurocities is aandacht voor de </w:t>
      </w:r>
      <w:r w:rsidRPr="00AF6B75">
        <w:t xml:space="preserve">sociale </w:t>
      </w:r>
      <w:r>
        <w:t>aspecten van wederopbouw.</w:t>
      </w:r>
      <w:r w:rsidRPr="00AF6B75">
        <w:t xml:space="preserve"> Mentale gezondheid is daar een voorbeeld van.  </w:t>
      </w:r>
    </w:p>
    <w:p w:rsidR="00AF6B75" w:rsidP="00AF6B75" w:rsidRDefault="00AF6B75" w14:paraId="655DF22C" w14:textId="77777777">
      <w:pPr>
        <w:pStyle w:val="Lijstalinea"/>
        <w:ind w:left="0"/>
      </w:pPr>
    </w:p>
    <w:p w:rsidRPr="00F50B0A" w:rsidR="00787DAB" w:rsidP="00AF6B75" w:rsidRDefault="00F579ED" w14:paraId="6C6EF567" w14:textId="6495E423">
      <w:pPr>
        <w:pStyle w:val="Lijstalinea"/>
        <w:ind w:left="0"/>
        <w:rPr>
          <w:b/>
          <w:i/>
        </w:rPr>
      </w:pPr>
      <w:r>
        <w:t xml:space="preserve">Aan Nederlandse kant speelt de VNG een belangrijke coördinerende rol. </w:t>
      </w:r>
      <w:r w:rsidRPr="00073727" w:rsidR="00073727">
        <w:t xml:space="preserve">Het </w:t>
      </w:r>
      <w:r>
        <w:t xml:space="preserve">Amsterdamse </w:t>
      </w:r>
      <w:r w:rsidRPr="00073727" w:rsidR="00073727">
        <w:t xml:space="preserve">college heeft besloten een bijdrage te leveren aan het </w:t>
      </w:r>
      <w:r w:rsidR="00666DEF">
        <w:t xml:space="preserve">VNG Fonds voor noodhulp,  </w:t>
      </w:r>
      <w:r w:rsidRPr="00666DEF" w:rsidR="00666DEF">
        <w:t xml:space="preserve">wederopbouw en vredesbevordering, dat door de VNG open is gesteld voor Nederlandse steden die willen bijdragen aan noodhulp en wederopbouw van Oekraïne. </w:t>
      </w:r>
      <w:r w:rsidRPr="00073727" w:rsidR="00073727">
        <w:t xml:space="preserve">Over de besteding van de gelden van het hierboven genoemde VNG Noodhulpfonds onderhoudt de VNG nauw overleg met de samenwerkende hulporganisaties in Nederland en ook met de vereniging van Oekraïense gemeenten (AUC), waarmee de VNG al voor de oorlog contact had. </w:t>
      </w:r>
    </w:p>
    <w:p w:rsidRPr="00781A1E" w:rsidR="00BD28FB" w:rsidP="00AF6B75" w:rsidRDefault="00F50B0A" w14:paraId="2FD793CC" w14:textId="516386A9">
      <w:pPr>
        <w:pStyle w:val="Lijstalinea"/>
        <w:ind w:left="0"/>
        <w:rPr>
          <w:b/>
        </w:rPr>
      </w:pPr>
      <w:r>
        <w:rPr>
          <w:b/>
        </w:rPr>
        <w:t>Aanbeveling:</w:t>
      </w:r>
      <w:r w:rsidRPr="00BD28FB" w:rsidR="00BD28FB">
        <w:t xml:space="preserve"> </w:t>
      </w:r>
      <w:r w:rsidRPr="00781A1E" w:rsidR="009377F1">
        <w:rPr>
          <w:b/>
        </w:rPr>
        <w:t xml:space="preserve">Lokale overheden  in Nederland </w:t>
      </w:r>
      <w:r w:rsidRPr="00781A1E" w:rsidR="0075469A">
        <w:rPr>
          <w:b/>
        </w:rPr>
        <w:t>e</w:t>
      </w:r>
      <w:r w:rsidRPr="00781A1E" w:rsidR="009377F1">
        <w:rPr>
          <w:b/>
        </w:rPr>
        <w:t xml:space="preserve">n Oekraïne zijn onontbeerlijke partners bij wederopbouw in Oekraïne.  </w:t>
      </w:r>
      <w:r w:rsidRPr="00781A1E" w:rsidR="0075469A">
        <w:rPr>
          <w:b/>
        </w:rPr>
        <w:t xml:space="preserve">Stedennetwerken hebben daarbij een belangrijke coördinerende rol. </w:t>
      </w:r>
    </w:p>
    <w:p w:rsidRPr="00BD28FB" w:rsidR="00F50B0A" w:rsidP="00AF6B75" w:rsidRDefault="00F50B0A" w14:paraId="77C96694" w14:textId="77777777">
      <w:pPr>
        <w:pStyle w:val="Lijstalinea"/>
        <w:ind w:left="0"/>
        <w:rPr>
          <w:b/>
        </w:rPr>
      </w:pPr>
    </w:p>
    <w:p w:rsidR="00073727" w:rsidP="00AF6B75" w:rsidRDefault="00D56B28" w14:paraId="047126D8" w14:textId="77777777">
      <w:pPr>
        <w:pStyle w:val="Lijstalinea"/>
        <w:numPr>
          <w:ilvl w:val="0"/>
          <w:numId w:val="29"/>
        </w:numPr>
        <w:ind w:left="0" w:firstLine="0"/>
      </w:pPr>
      <w:r w:rsidRPr="009C5E9D">
        <w:rPr>
          <w:b/>
        </w:rPr>
        <w:t>Een inspanning leveren om</w:t>
      </w:r>
      <w:r w:rsidRPr="009C5E9D" w:rsidR="00787DAB">
        <w:rPr>
          <w:b/>
        </w:rPr>
        <w:t xml:space="preserve"> de</w:t>
      </w:r>
      <w:r w:rsidRPr="00787DAB" w:rsidR="00787DAB">
        <w:t xml:space="preserve"> </w:t>
      </w:r>
      <w:r w:rsidRPr="009C5E9D" w:rsidR="00073727">
        <w:rPr>
          <w:b/>
        </w:rPr>
        <w:t>wederopbouw hand in hand te laten gaan met innovaties en vernieuwing bijvoorbeeld op gebied van infrastructuur en duurzaamheid</w:t>
      </w:r>
    </w:p>
    <w:p w:rsidR="00ED0AA6" w:rsidP="00AF6B75" w:rsidRDefault="00F50B0A" w14:paraId="03EBCF50" w14:textId="520EF21F">
      <w:r>
        <w:t>De</w:t>
      </w:r>
      <w:r w:rsidRPr="00787DAB" w:rsidR="00787DAB">
        <w:t xml:space="preserve"> verwoesting </w:t>
      </w:r>
      <w:r w:rsidR="00073727">
        <w:t>van Oekraïense steden is vreselijk. Hoe wrang het ook</w:t>
      </w:r>
      <w:r w:rsidR="00666DEF">
        <w:t>,</w:t>
      </w:r>
      <w:r w:rsidR="00F7158A">
        <w:t xml:space="preserve"> </w:t>
      </w:r>
      <w:r w:rsidR="00073727">
        <w:t xml:space="preserve">het biedt ook een kans om in de herstel en wederopbouwfase gebruik te maken van </w:t>
      </w:r>
      <w:r w:rsidR="009C5E9D">
        <w:t xml:space="preserve">innovaties en </w:t>
      </w:r>
      <w:r w:rsidR="00073727">
        <w:t xml:space="preserve">technologische vernieuwing. </w:t>
      </w:r>
      <w:r w:rsidR="009C5E9D">
        <w:t xml:space="preserve">Daarbij valt te denken aan gebruik van innovatieve duurzame bouwmaterialen die ook lokaal voor handen zijn. </w:t>
      </w:r>
      <w:r w:rsidR="00ED0AA6">
        <w:br/>
      </w:r>
      <w:r w:rsidR="00F04548">
        <w:t xml:space="preserve">Ook </w:t>
      </w:r>
      <w:r w:rsidRPr="00ED0AA6" w:rsidR="00ED0AA6">
        <w:t xml:space="preserve">partners </w:t>
      </w:r>
      <w:r w:rsidR="00F04548">
        <w:t xml:space="preserve">van de gemeente Amsterdam </w:t>
      </w:r>
      <w:r w:rsidRPr="00ED0AA6" w:rsidR="00ED0AA6">
        <w:t xml:space="preserve">kunnen een rol spelen bij de wederopbouw van Oekraïne zoals Amsterdamse expertise ook elders op de wereld in crisissituaties is ingezet. </w:t>
      </w:r>
      <w:r w:rsidR="00ED0AA6">
        <w:t>Te denken valt aan Watern</w:t>
      </w:r>
      <w:r w:rsidR="00F04548">
        <w:t>et en T</w:t>
      </w:r>
      <w:r w:rsidR="00ED0AA6">
        <w:t xml:space="preserve">he Amsterdam Institute </w:t>
      </w:r>
      <w:r w:rsidR="00F04548">
        <w:t xml:space="preserve">for </w:t>
      </w:r>
      <w:r w:rsidR="00ED0AA6">
        <w:t>Advanced Metropolitan Solutions (AMS</w:t>
      </w:r>
      <w:r w:rsidR="00F04548">
        <w:t>-Institute</w:t>
      </w:r>
      <w:r w:rsidR="00ED0AA6">
        <w:t xml:space="preserve">). </w:t>
      </w:r>
    </w:p>
    <w:p w:rsidR="00BD28FB" w:rsidP="00AF6B75" w:rsidRDefault="00ED0AA6" w14:paraId="79B2383D" w14:textId="34088E50">
      <w:pPr>
        <w:rPr>
          <w:b/>
        </w:rPr>
      </w:pPr>
      <w:r>
        <w:t>Ook</w:t>
      </w:r>
      <w:r w:rsidRPr="00ED0AA6">
        <w:t xml:space="preserve"> bedrijven </w:t>
      </w:r>
      <w:r>
        <w:t xml:space="preserve">zoals ingenieursbureaus en bouwbedrijven  </w:t>
      </w:r>
      <w:r w:rsidRPr="00ED0AA6">
        <w:t>zijn gemo</w:t>
      </w:r>
      <w:r>
        <w:t xml:space="preserve">tiveerd een bijdrage te leveren. </w:t>
      </w:r>
      <w:r w:rsidRPr="00ED0AA6">
        <w:t xml:space="preserve">Op het moment dat er meer inzicht is in de gewenste hulp bij herbouw zal het college ook hiervoor gebruikmaken van de welwillendheid en kennis van </w:t>
      </w:r>
      <w:r>
        <w:t xml:space="preserve">deze </w:t>
      </w:r>
      <w:r w:rsidRPr="00ED0AA6">
        <w:t>bedrijven.</w:t>
      </w:r>
      <w:r w:rsidR="00CD029A">
        <w:br/>
      </w:r>
      <w:r w:rsidR="004B50AA">
        <w:rPr>
          <w:b/>
        </w:rPr>
        <w:t xml:space="preserve">Aanbeveling: </w:t>
      </w:r>
      <w:r w:rsidRPr="00BD28FB" w:rsidR="00BD28FB">
        <w:t xml:space="preserve"> </w:t>
      </w:r>
      <w:r w:rsidRPr="00781A1E" w:rsidR="00973C57">
        <w:rPr>
          <w:b/>
        </w:rPr>
        <w:t xml:space="preserve">In de wederopbouwfase </w:t>
      </w:r>
      <w:r w:rsidR="00F7158A">
        <w:rPr>
          <w:b/>
        </w:rPr>
        <w:t>moet aandacht zijn voor innovatie en vernieuwing. S</w:t>
      </w:r>
      <w:r w:rsidRPr="00781A1E" w:rsidR="00973C57">
        <w:rPr>
          <w:b/>
        </w:rPr>
        <w:t xml:space="preserve">amenwerking tussen publieke en private partijen en kennisinstellingen </w:t>
      </w:r>
      <w:r w:rsidR="00F7158A">
        <w:rPr>
          <w:b/>
        </w:rPr>
        <w:t xml:space="preserve">is daarbij van </w:t>
      </w:r>
      <w:r w:rsidRPr="00781A1E" w:rsidR="00973C57">
        <w:rPr>
          <w:b/>
        </w:rPr>
        <w:t>meerwaarde.  Het kabinet zou de kennis en expertise van de R</w:t>
      </w:r>
      <w:r w:rsidRPr="00781A1E" w:rsidR="0075469A">
        <w:rPr>
          <w:b/>
        </w:rPr>
        <w:t xml:space="preserve">ijksdienst voor Ondernemend Nederland </w:t>
      </w:r>
      <w:r w:rsidRPr="00781A1E" w:rsidR="00973C57">
        <w:rPr>
          <w:b/>
        </w:rPr>
        <w:t>beschikbaar kunnen stellen</w:t>
      </w:r>
      <w:r w:rsidRPr="00781A1E" w:rsidR="00F04548">
        <w:rPr>
          <w:b/>
        </w:rPr>
        <w:t xml:space="preserve"> voor het stroomlijnen van die samenwerking</w:t>
      </w:r>
      <w:r w:rsidRPr="00781A1E" w:rsidR="00973C57">
        <w:rPr>
          <w:b/>
        </w:rPr>
        <w:t xml:space="preserve">. </w:t>
      </w:r>
    </w:p>
    <w:p w:rsidR="00F7158A" w:rsidP="00AF6B75" w:rsidRDefault="00F7158A" w14:paraId="2B873784" w14:textId="556420F1">
      <w:pPr>
        <w:rPr>
          <w:b/>
        </w:rPr>
      </w:pPr>
    </w:p>
    <w:p w:rsidRPr="00A15BA4" w:rsidR="00A15BA4" w:rsidP="00AF6B75" w:rsidRDefault="00ED0AA6" w14:paraId="2B70D828" w14:textId="77777777">
      <w:pPr>
        <w:pStyle w:val="Lijstalinea"/>
        <w:numPr>
          <w:ilvl w:val="0"/>
          <w:numId w:val="29"/>
        </w:numPr>
        <w:ind w:left="0" w:firstLine="0"/>
        <w:rPr>
          <w:b/>
        </w:rPr>
      </w:pPr>
      <w:r w:rsidRPr="00ED0AA6">
        <w:rPr>
          <w:b/>
        </w:rPr>
        <w:t>F</w:t>
      </w:r>
      <w:r w:rsidRPr="00ED0AA6" w:rsidR="00F854E6">
        <w:rPr>
          <w:b/>
        </w:rPr>
        <w:t>inanciering</w:t>
      </w:r>
      <w:r>
        <w:rPr>
          <w:b/>
        </w:rPr>
        <w:br/>
      </w:r>
      <w:r w:rsidR="003D35B3">
        <w:t xml:space="preserve">Steden hebben de bereidheid en expertise om bij te dragen aan herstel en wederopbouw in Oekraïne. Voor maatschappelijke instellingen en bedrijven geldt hetzelfde. Maar er moet ook financiering voor komen, van internationale financiële instellingen, uit Europa en van het Rijk. </w:t>
      </w:r>
    </w:p>
    <w:p w:rsidR="007A1FD5" w:rsidP="00AF6B75" w:rsidRDefault="00A15BA4" w14:paraId="719958B4" w14:textId="23CF6AED">
      <w:pPr>
        <w:pStyle w:val="Lijstalinea"/>
        <w:ind w:left="0"/>
      </w:pPr>
      <w:r>
        <w:t xml:space="preserve">Voor president Zelensky en alle Oekraïners is belangrijk dat de wederopbouw niet in mooie beloftes strandt. </w:t>
      </w:r>
      <w:r>
        <w:br/>
      </w:r>
      <w:r>
        <w:lastRenderedPageBreak/>
        <w:t xml:space="preserve">Amsterdam  </w:t>
      </w:r>
      <w:r w:rsidR="00D21690">
        <w:t xml:space="preserve">heeft </w:t>
      </w:r>
      <w:r>
        <w:t>onder de paraplu van afspraken van de VNG met het ministerie van Buitenlandse Zaken in het verleden bijgedragen aan de leefbaarheid van vluchtelingenkampen in Jordanië</w:t>
      </w:r>
      <w:r w:rsidR="00FA3778">
        <w:t xml:space="preserve">. </w:t>
      </w:r>
      <w:r w:rsidR="007A1FD5">
        <w:t xml:space="preserve">Een dergelijke constructie zou ook in Oekraïne kunnen werken. </w:t>
      </w:r>
      <w:r>
        <w:t xml:space="preserve">Geld dat </w:t>
      </w:r>
      <w:r w:rsidR="007A1FD5">
        <w:t xml:space="preserve">daar </w:t>
      </w:r>
      <w:r>
        <w:t xml:space="preserve">nodig is voor wederopbouw zou </w:t>
      </w:r>
      <w:r w:rsidR="007A1FD5">
        <w:t xml:space="preserve">overigens </w:t>
      </w:r>
      <w:r>
        <w:t xml:space="preserve">niet ten koste moeten gaan </w:t>
      </w:r>
      <w:r w:rsidR="007A1FD5">
        <w:t>van de afspraken die er zijn om landen als Irak bij te staan in de wederopbouw van hu</w:t>
      </w:r>
      <w:r w:rsidR="00864E52">
        <w:t>n</w:t>
      </w:r>
      <w:r w:rsidR="007A1FD5">
        <w:t xml:space="preserve"> steden. </w:t>
      </w:r>
      <w:r>
        <w:t xml:space="preserve"> </w:t>
      </w:r>
    </w:p>
    <w:p w:rsidRPr="00781A1E" w:rsidR="002800B3" w:rsidP="00AF6B75" w:rsidRDefault="00221E9E" w14:paraId="22C5BD5A" w14:textId="5762A841">
      <w:pPr>
        <w:pStyle w:val="Lijstalinea"/>
        <w:ind w:left="0"/>
        <w:rPr>
          <w:b/>
        </w:rPr>
      </w:pPr>
      <w:r>
        <w:rPr>
          <w:b/>
        </w:rPr>
        <w:t>Aanbeveling:</w:t>
      </w:r>
      <w:r w:rsidRPr="0092145B" w:rsidR="0092145B">
        <w:t xml:space="preserve"> </w:t>
      </w:r>
      <w:r w:rsidRPr="00781A1E" w:rsidR="0092145B">
        <w:rPr>
          <w:b/>
        </w:rPr>
        <w:t xml:space="preserve">Het kabinet zou </w:t>
      </w:r>
      <w:r w:rsidRPr="00781A1E" w:rsidR="007A1FD5">
        <w:rPr>
          <w:b/>
        </w:rPr>
        <w:t xml:space="preserve">lokale overheden moeten steunen in hun wens </w:t>
      </w:r>
      <w:r w:rsidRPr="00781A1E" w:rsidR="0092145B">
        <w:rPr>
          <w:b/>
        </w:rPr>
        <w:t xml:space="preserve">directe </w:t>
      </w:r>
      <w:r w:rsidRPr="00781A1E" w:rsidR="007A1FD5">
        <w:rPr>
          <w:b/>
        </w:rPr>
        <w:t xml:space="preserve">toegang te krijgen tot </w:t>
      </w:r>
      <w:r w:rsidRPr="00781A1E" w:rsidR="0092145B">
        <w:rPr>
          <w:b/>
        </w:rPr>
        <w:t xml:space="preserve">Europese financiering van wederopbouw </w:t>
      </w:r>
      <w:r w:rsidRPr="00781A1E" w:rsidR="007A1FD5">
        <w:rPr>
          <w:b/>
        </w:rPr>
        <w:t xml:space="preserve">projecten. </w:t>
      </w:r>
      <w:r w:rsidRPr="00781A1E" w:rsidR="0092145B">
        <w:rPr>
          <w:b/>
        </w:rPr>
        <w:t xml:space="preserve"> </w:t>
      </w:r>
      <w:bookmarkStart w:name="_GoBack" w:id="0"/>
      <w:bookmarkEnd w:id="0"/>
      <w:r w:rsidRPr="00781A1E" w:rsidR="007A1FD5">
        <w:rPr>
          <w:b/>
        </w:rPr>
        <w:t xml:space="preserve">Daarnaast zouden ook nationaal middelen vrijgemaakt moeten worden </w:t>
      </w:r>
      <w:r w:rsidRPr="00781A1E" w:rsidR="00781A1E">
        <w:rPr>
          <w:b/>
        </w:rPr>
        <w:t xml:space="preserve">ter financiële ondersteuning van </w:t>
      </w:r>
      <w:r w:rsidR="00781A1E">
        <w:rPr>
          <w:b/>
        </w:rPr>
        <w:t xml:space="preserve">de bijdrage van Nederlandse gemeenten </w:t>
      </w:r>
      <w:r w:rsidRPr="00781A1E" w:rsidR="00781A1E">
        <w:rPr>
          <w:b/>
        </w:rPr>
        <w:t xml:space="preserve"> </w:t>
      </w:r>
      <w:r w:rsidR="00781A1E">
        <w:rPr>
          <w:b/>
        </w:rPr>
        <w:t xml:space="preserve">aan de wederopbouw </w:t>
      </w:r>
      <w:r w:rsidR="00864E52">
        <w:rPr>
          <w:b/>
        </w:rPr>
        <w:t>van steden in</w:t>
      </w:r>
      <w:r w:rsidR="00781A1E">
        <w:rPr>
          <w:b/>
        </w:rPr>
        <w:t xml:space="preserve"> Oekraïne. </w:t>
      </w:r>
    </w:p>
    <w:p w:rsidR="00B2535C" w:rsidP="00AF6B75" w:rsidRDefault="00B2535C" w14:paraId="16FDFAD1" w14:textId="77777777"/>
    <w:p w:rsidR="00683C8E" w:rsidP="00AF6B75" w:rsidRDefault="00683C8E" w14:paraId="288BE497" w14:textId="77777777"/>
    <w:p w:rsidR="00683C8E" w:rsidP="00AF6B75" w:rsidRDefault="00683C8E" w14:paraId="19CD4555" w14:textId="77777777"/>
    <w:sectPr w:rsidR="00683C8E" w:rsidSect="00B9599C">
      <w:headerReference w:type="default" r:id="rId7"/>
      <w:headerReference w:type="first" r:id="rId8"/>
      <w:pgSz w:w="11906" w:h="16838" w:code="9"/>
      <w:pgMar w:top="2665" w:right="1644" w:bottom="1531" w:left="175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FE667" w14:textId="77777777" w:rsidR="002800B3" w:rsidRDefault="002800B3">
      <w:pPr>
        <w:spacing w:line="240" w:lineRule="auto"/>
      </w:pPr>
      <w:r>
        <w:separator/>
      </w:r>
    </w:p>
  </w:endnote>
  <w:endnote w:type="continuationSeparator" w:id="0">
    <w:p w14:paraId="72F31D52" w14:textId="77777777" w:rsidR="002800B3" w:rsidRDefault="00280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00DC0" w14:textId="77777777" w:rsidR="002800B3" w:rsidRDefault="002800B3">
      <w:pPr>
        <w:spacing w:line="240" w:lineRule="auto"/>
      </w:pPr>
      <w:r>
        <w:separator/>
      </w:r>
    </w:p>
  </w:footnote>
  <w:footnote w:type="continuationSeparator" w:id="0">
    <w:p w14:paraId="68064422" w14:textId="77777777" w:rsidR="002800B3" w:rsidRDefault="002800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leftFromText="142" w:rightFromText="142" w:vertAnchor="page" w:tblpY="625"/>
      <w:tblOverlap w:val="nev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6464"/>
      <w:gridCol w:w="2041"/>
    </w:tblGrid>
    <w:tr w:rsidR="001C52B5" w14:paraId="2B9ED8A6" w14:textId="77777777" w:rsidTr="009F1699">
      <w:tc>
        <w:tcPr>
          <w:tcW w:w="6464" w:type="dxa"/>
        </w:tcPr>
        <w:p w14:paraId="11BA4C19" w14:textId="77777777" w:rsidR="00382464" w:rsidRPr="00DB48D5" w:rsidRDefault="002D41F8" w:rsidP="009F1699">
          <w:pPr>
            <w:pStyle w:val="AdresRetouradresNaamgemeenteDatumKenmerkPaginaAfzenderentitelVersieendatum"/>
            <w:rPr>
              <w:noProof/>
            </w:rPr>
          </w:pPr>
          <w:r>
            <w:rPr>
              <w:noProof/>
            </w:rPr>
            <w:t>Gemeente Amsterdam</w:t>
          </w:r>
        </w:p>
      </w:tc>
      <w:tc>
        <w:tcPr>
          <w:tcW w:w="2041" w:type="dxa"/>
        </w:tcPr>
        <w:p w14:paraId="0EDD99CB" w14:textId="0B9AF45B" w:rsidR="00F223DD" w:rsidRDefault="002D41F8" w:rsidP="009F1699">
          <w:pPr>
            <w:pStyle w:val="AdresRetouradresNaamgemeenteDatumKenmerkPaginaAfzenderentitelVersieendatum"/>
          </w:pPr>
          <w:r>
            <w:t xml:space="preserve">Datum </w:t>
          </w:r>
          <w:r w:rsidR="00F223DD">
            <w:t>19 mei 2022</w:t>
          </w:r>
        </w:p>
        <w:p w14:paraId="0955620A" w14:textId="7128C30B" w:rsidR="00382464" w:rsidRPr="00DB48D5" w:rsidRDefault="002D41F8" w:rsidP="009F1699">
          <w:pPr>
            <w:pStyle w:val="AdresRetouradresNaamgemeenteDatumKenmerkPaginaAfzenderentitelVersieendatum"/>
          </w:pPr>
          <w:r>
            <w:rPr>
              <w:noProof/>
            </w:rPr>
            <w:t xml:space="preserve">Pagina </w:t>
          </w:r>
          <w:r w:rsidRPr="00777E5F">
            <w:rPr>
              <w:noProof/>
            </w:rPr>
            <w:fldChar w:fldCharType="begin"/>
          </w:r>
          <w:r w:rsidRPr="00777E5F">
            <w:rPr>
              <w:noProof/>
            </w:rPr>
            <w:instrText>PAGE  \* Arabic  \* MERGEFORMAT</w:instrText>
          </w:r>
          <w:r w:rsidRPr="00777E5F">
            <w:rPr>
              <w:noProof/>
            </w:rPr>
            <w:fldChar w:fldCharType="separate"/>
          </w:r>
          <w:r w:rsidR="00917112">
            <w:rPr>
              <w:noProof/>
            </w:rPr>
            <w:t>2</w:t>
          </w:r>
          <w:r w:rsidRPr="00777E5F">
            <w:rPr>
              <w:noProof/>
            </w:rPr>
            <w:fldChar w:fldCharType="end"/>
          </w:r>
          <w:r>
            <w:rPr>
              <w:noProof/>
            </w:rPr>
            <w:t xml:space="preserve"> van </w:t>
          </w:r>
          <w:r w:rsidRPr="00777E5F">
            <w:rPr>
              <w:noProof/>
            </w:rPr>
            <w:fldChar w:fldCharType="begin"/>
          </w:r>
          <w:r w:rsidRPr="00777E5F">
            <w:rPr>
              <w:noProof/>
            </w:rPr>
            <w:instrText>NUMPAGES  \* Arabic  \* MERGEFORMAT</w:instrText>
          </w:r>
          <w:r w:rsidRPr="00777E5F">
            <w:rPr>
              <w:noProof/>
            </w:rPr>
            <w:fldChar w:fldCharType="separate"/>
          </w:r>
          <w:r w:rsidR="00917112">
            <w:rPr>
              <w:noProof/>
            </w:rPr>
            <w:t>3</w:t>
          </w:r>
          <w:r w:rsidRPr="00777E5F">
            <w:rPr>
              <w:noProof/>
            </w:rPr>
            <w:fldChar w:fldCharType="end"/>
          </w:r>
        </w:p>
      </w:tc>
    </w:tr>
  </w:tbl>
  <w:p w14:paraId="07EA28EE" w14:textId="77777777" w:rsidR="00382464" w:rsidRDefault="0091711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5C60" w14:textId="77777777" w:rsidR="005207A2" w:rsidRDefault="00917112"/>
  <w:tbl>
    <w:tblPr>
      <w:tblStyle w:val="Tabelraster"/>
      <w:tblpPr w:leftFromText="142" w:rightFromText="142" w:vertAnchor="page" w:horzAnchor="page" w:tblpX="710" w:tblpY="455"/>
      <w:tblOverlap w:val="nev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294"/>
    </w:tblGrid>
    <w:tr w:rsidR="001C52B5" w14:paraId="20B0AAF0" w14:textId="77777777" w:rsidTr="000D283E">
      <w:trPr>
        <w:cantSplit/>
        <w:trHeight w:val="2510"/>
      </w:trPr>
      <w:tc>
        <w:tcPr>
          <w:tcW w:w="3294" w:type="dxa"/>
        </w:tcPr>
        <w:p w14:paraId="6FC19561" w14:textId="77777777" w:rsidR="005207A2" w:rsidRDefault="00917112" w:rsidP="0054631A"/>
        <w:p w14:paraId="708CA784" w14:textId="77777777" w:rsidR="005207A2" w:rsidRDefault="00917112" w:rsidP="0054631A"/>
        <w:p w14:paraId="5F0367C4" w14:textId="77777777" w:rsidR="0054631A" w:rsidRDefault="002D41F8" w:rsidP="0054631A">
          <w:r>
            <w:rPr>
              <w:noProof/>
            </w:rPr>
            <w:drawing>
              <wp:anchor distT="0" distB="0" distL="114300" distR="114300" simplePos="0" relativeHeight="251658240" behindDoc="0" locked="0" layoutInCell="1" allowOverlap="1" wp14:anchorId="4AC900EA" wp14:editId="1C34E335">
                <wp:simplePos x="0" y="0"/>
                <wp:positionH relativeFrom="page">
                  <wp:align>left</wp:align>
                </wp:positionH>
                <wp:positionV relativeFrom="page">
                  <wp:align>top</wp:align>
                </wp:positionV>
                <wp:extent cx="2012400" cy="1515600"/>
                <wp:effectExtent l="0" t="0" r="6985" b="8890"/>
                <wp:wrapNone/>
                <wp:docPr id="2" name="Afbeelding 2" descr="G:\IVB\FB\BV\Xential\Logo's Gemeente\Alle logo's\GASD_volledige_logoset_2016 v3 rgb236\01 Algemeen gemeentelogo\GASD_4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VB\FB\BV\Xential\Logo's Gemeente\Alle logo's\GASD_volledige_logoset_2016 v3 rgb236\01 Algemeen gemeentelogo\GASD_4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1515600"/>
                        </a:xfrm>
                        <a:prstGeom prst="rect">
                          <a:avLst/>
                        </a:prstGeom>
                        <a:noFill/>
                        <a:ln>
                          <a:noFill/>
                        </a:ln>
                      </pic:spPr>
                    </pic:pic>
                  </a:graphicData>
                </a:graphic>
              </wp:anchor>
            </w:drawing>
          </w:r>
        </w:p>
      </w:tc>
    </w:tr>
  </w:tbl>
  <w:p w14:paraId="349A7FC5" w14:textId="77777777" w:rsidR="0054631A" w:rsidRDefault="00917112"/>
  <w:p w14:paraId="26248674" w14:textId="77777777" w:rsidR="00195FB6" w:rsidRDefault="00917112"/>
  <w:p w14:paraId="6246DA78" w14:textId="77777777" w:rsidR="00195FB6" w:rsidRDefault="00917112"/>
  <w:p w14:paraId="53380EA0" w14:textId="77777777" w:rsidR="00195FB6" w:rsidRDefault="00917112"/>
  <w:p w14:paraId="2895F295" w14:textId="77777777" w:rsidR="00195FB6" w:rsidRDefault="00917112"/>
  <w:p w14:paraId="1B880B88" w14:textId="77777777" w:rsidR="00195FB6" w:rsidRDefault="00917112"/>
  <w:p w14:paraId="4D2F2C3C" w14:textId="77777777" w:rsidR="00195FB6" w:rsidRDefault="009171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15:restartNumberingAfterBreak="0">
    <w:nsid w:val="323C7372"/>
    <w:multiLevelType w:val="hybridMultilevel"/>
    <w:tmpl w:val="4FB64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3D6E4F"/>
    <w:multiLevelType w:val="hybridMultilevel"/>
    <w:tmpl w:val="3AA8B9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4" w15:restartNumberingAfterBreak="0">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6E557915"/>
    <w:multiLevelType w:val="hybridMultilevel"/>
    <w:tmpl w:val="32CC0740"/>
    <w:lvl w:ilvl="0" w:tplc="650291C8">
      <w:start w:val="1"/>
      <w:numFmt w:val="decimal"/>
      <w:pStyle w:val="Tussenkopjemetcijfer"/>
      <w:lvlText w:val="%1"/>
      <w:lvlJc w:val="left"/>
      <w:pPr>
        <w:tabs>
          <w:tab w:val="num" w:pos="227"/>
        </w:tabs>
        <w:ind w:left="227" w:hanging="227"/>
      </w:pPr>
      <w:rPr>
        <w:rFonts w:hint="default"/>
        <w:b/>
        <w:i w:val="0"/>
        <w:sz w:val="21"/>
      </w:rPr>
    </w:lvl>
    <w:lvl w:ilvl="1" w:tplc="3F5899D8" w:tentative="1">
      <w:start w:val="1"/>
      <w:numFmt w:val="lowerLetter"/>
      <w:lvlText w:val="%2."/>
      <w:lvlJc w:val="left"/>
      <w:pPr>
        <w:tabs>
          <w:tab w:val="num" w:pos="1440"/>
        </w:tabs>
        <w:ind w:left="1440" w:hanging="360"/>
      </w:pPr>
    </w:lvl>
    <w:lvl w:ilvl="2" w:tplc="5C1620CA" w:tentative="1">
      <w:start w:val="1"/>
      <w:numFmt w:val="lowerRoman"/>
      <w:lvlText w:val="%3."/>
      <w:lvlJc w:val="right"/>
      <w:pPr>
        <w:tabs>
          <w:tab w:val="num" w:pos="2160"/>
        </w:tabs>
        <w:ind w:left="2160" w:hanging="180"/>
      </w:pPr>
    </w:lvl>
    <w:lvl w:ilvl="3" w:tplc="6CEE59B6" w:tentative="1">
      <w:start w:val="1"/>
      <w:numFmt w:val="decimal"/>
      <w:lvlText w:val="%4."/>
      <w:lvlJc w:val="left"/>
      <w:pPr>
        <w:tabs>
          <w:tab w:val="num" w:pos="2880"/>
        </w:tabs>
        <w:ind w:left="2880" w:hanging="360"/>
      </w:pPr>
    </w:lvl>
    <w:lvl w:ilvl="4" w:tplc="ECEA6C8C" w:tentative="1">
      <w:start w:val="1"/>
      <w:numFmt w:val="lowerLetter"/>
      <w:lvlText w:val="%5."/>
      <w:lvlJc w:val="left"/>
      <w:pPr>
        <w:tabs>
          <w:tab w:val="num" w:pos="3600"/>
        </w:tabs>
        <w:ind w:left="3600" w:hanging="360"/>
      </w:pPr>
    </w:lvl>
    <w:lvl w:ilvl="5" w:tplc="B6CC5318" w:tentative="1">
      <w:start w:val="1"/>
      <w:numFmt w:val="lowerRoman"/>
      <w:lvlText w:val="%6."/>
      <w:lvlJc w:val="right"/>
      <w:pPr>
        <w:tabs>
          <w:tab w:val="num" w:pos="4320"/>
        </w:tabs>
        <w:ind w:left="4320" w:hanging="180"/>
      </w:pPr>
    </w:lvl>
    <w:lvl w:ilvl="6" w:tplc="31CA7D92" w:tentative="1">
      <w:start w:val="1"/>
      <w:numFmt w:val="decimal"/>
      <w:lvlText w:val="%7."/>
      <w:lvlJc w:val="left"/>
      <w:pPr>
        <w:tabs>
          <w:tab w:val="num" w:pos="5040"/>
        </w:tabs>
        <w:ind w:left="5040" w:hanging="360"/>
      </w:pPr>
    </w:lvl>
    <w:lvl w:ilvl="7" w:tplc="EDBA98E0" w:tentative="1">
      <w:start w:val="1"/>
      <w:numFmt w:val="lowerLetter"/>
      <w:lvlText w:val="%8."/>
      <w:lvlJc w:val="left"/>
      <w:pPr>
        <w:tabs>
          <w:tab w:val="num" w:pos="5760"/>
        </w:tabs>
        <w:ind w:left="5760" w:hanging="360"/>
      </w:pPr>
    </w:lvl>
    <w:lvl w:ilvl="8" w:tplc="5A92F02C" w:tentative="1">
      <w:start w:val="1"/>
      <w:numFmt w:val="lowerRoman"/>
      <w:lvlText w:val="%9."/>
      <w:lvlJc w:val="right"/>
      <w:pPr>
        <w:tabs>
          <w:tab w:val="num" w:pos="6480"/>
        </w:tabs>
        <w:ind w:left="6480" w:hanging="180"/>
      </w:pPr>
    </w:lvl>
  </w:abstractNum>
  <w:abstractNum w:abstractNumId="6" w15:restartNumberingAfterBreak="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7" w15:restartNumberingAfterBreak="0">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756163A0"/>
    <w:multiLevelType w:val="hybridMultilevel"/>
    <w:tmpl w:val="C58AB40C"/>
    <w:lvl w:ilvl="0" w:tplc="9F088622">
      <w:start w:val="1"/>
      <w:numFmt w:val="decimal"/>
      <w:pStyle w:val="Voetnootrapport"/>
      <w:lvlText w:val="[%1]"/>
      <w:lvlJc w:val="left"/>
      <w:pPr>
        <w:tabs>
          <w:tab w:val="num" w:pos="312"/>
        </w:tabs>
        <w:ind w:left="312" w:hanging="312"/>
      </w:pPr>
      <w:rPr>
        <w:rFonts w:hint="default"/>
        <w:b w:val="0"/>
        <w:i w:val="0"/>
        <w:sz w:val="17"/>
      </w:rPr>
    </w:lvl>
    <w:lvl w:ilvl="1" w:tplc="6FA2F1B0" w:tentative="1">
      <w:start w:val="1"/>
      <w:numFmt w:val="lowerLetter"/>
      <w:lvlText w:val="%2."/>
      <w:lvlJc w:val="left"/>
      <w:pPr>
        <w:tabs>
          <w:tab w:val="num" w:pos="1440"/>
        </w:tabs>
        <w:ind w:left="1440" w:hanging="360"/>
      </w:pPr>
    </w:lvl>
    <w:lvl w:ilvl="2" w:tplc="A014B198" w:tentative="1">
      <w:start w:val="1"/>
      <w:numFmt w:val="lowerRoman"/>
      <w:lvlText w:val="%3."/>
      <w:lvlJc w:val="right"/>
      <w:pPr>
        <w:tabs>
          <w:tab w:val="num" w:pos="2160"/>
        </w:tabs>
        <w:ind w:left="2160" w:hanging="180"/>
      </w:pPr>
    </w:lvl>
    <w:lvl w:ilvl="3" w:tplc="8C26FDFE" w:tentative="1">
      <w:start w:val="1"/>
      <w:numFmt w:val="decimal"/>
      <w:lvlText w:val="%4."/>
      <w:lvlJc w:val="left"/>
      <w:pPr>
        <w:tabs>
          <w:tab w:val="num" w:pos="2880"/>
        </w:tabs>
        <w:ind w:left="2880" w:hanging="360"/>
      </w:pPr>
    </w:lvl>
    <w:lvl w:ilvl="4" w:tplc="B15E18DC" w:tentative="1">
      <w:start w:val="1"/>
      <w:numFmt w:val="lowerLetter"/>
      <w:lvlText w:val="%5."/>
      <w:lvlJc w:val="left"/>
      <w:pPr>
        <w:tabs>
          <w:tab w:val="num" w:pos="3600"/>
        </w:tabs>
        <w:ind w:left="3600" w:hanging="360"/>
      </w:pPr>
    </w:lvl>
    <w:lvl w:ilvl="5" w:tplc="FB963D34" w:tentative="1">
      <w:start w:val="1"/>
      <w:numFmt w:val="lowerRoman"/>
      <w:lvlText w:val="%6."/>
      <w:lvlJc w:val="right"/>
      <w:pPr>
        <w:tabs>
          <w:tab w:val="num" w:pos="4320"/>
        </w:tabs>
        <w:ind w:left="4320" w:hanging="180"/>
      </w:pPr>
    </w:lvl>
    <w:lvl w:ilvl="6" w:tplc="6DE2D07C" w:tentative="1">
      <w:start w:val="1"/>
      <w:numFmt w:val="decimal"/>
      <w:lvlText w:val="%7."/>
      <w:lvlJc w:val="left"/>
      <w:pPr>
        <w:tabs>
          <w:tab w:val="num" w:pos="5040"/>
        </w:tabs>
        <w:ind w:left="5040" w:hanging="360"/>
      </w:pPr>
    </w:lvl>
    <w:lvl w:ilvl="7" w:tplc="DB3E8392" w:tentative="1">
      <w:start w:val="1"/>
      <w:numFmt w:val="lowerLetter"/>
      <w:lvlText w:val="%8."/>
      <w:lvlJc w:val="left"/>
      <w:pPr>
        <w:tabs>
          <w:tab w:val="num" w:pos="5760"/>
        </w:tabs>
        <w:ind w:left="5760" w:hanging="360"/>
      </w:pPr>
    </w:lvl>
    <w:lvl w:ilvl="8" w:tplc="0168452E" w:tentative="1">
      <w:start w:val="1"/>
      <w:numFmt w:val="lowerRoman"/>
      <w:lvlText w:val="%9."/>
      <w:lvlJc w:val="right"/>
      <w:pPr>
        <w:tabs>
          <w:tab w:val="num" w:pos="6480"/>
        </w:tabs>
        <w:ind w:left="6480" w:hanging="180"/>
      </w:pPr>
    </w:lvl>
  </w:abstractNum>
  <w:abstractNum w:abstractNumId="9" w15:restartNumberingAfterBreak="0">
    <w:nsid w:val="7BD2685C"/>
    <w:multiLevelType w:val="hybridMultilevel"/>
    <w:tmpl w:val="2774EC08"/>
    <w:lvl w:ilvl="0" w:tplc="8126FDF0">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7"/>
  </w:num>
  <w:num w:numId="5">
    <w:abstractNumId w:val="0"/>
  </w:num>
  <w:num w:numId="6">
    <w:abstractNumId w:val="3"/>
  </w:num>
  <w:num w:numId="7">
    <w:abstractNumId w:val="6"/>
  </w:num>
  <w:num w:numId="8">
    <w:abstractNumId w:val="5"/>
  </w:num>
  <w:num w:numId="9">
    <w:abstractNumId w:val="8"/>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5"/>
  </w:num>
  <w:num w:numId="20">
    <w:abstractNumId w:val="8"/>
  </w:num>
  <w:num w:numId="21">
    <w:abstractNumId w:val="0"/>
  </w:num>
  <w:num w:numId="22">
    <w:abstractNumId w:val="3"/>
  </w:num>
  <w:num w:numId="23">
    <w:abstractNumId w:val="6"/>
  </w:num>
  <w:num w:numId="24">
    <w:abstractNumId w:val="0"/>
  </w:num>
  <w:num w:numId="25">
    <w:abstractNumId w:val="0"/>
  </w:num>
  <w:num w:numId="26">
    <w:abstractNumId w:val="0"/>
  </w:num>
  <w:num w:numId="27">
    <w:abstractNumId w:val="1"/>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B3"/>
    <w:rsid w:val="00014E96"/>
    <w:rsid w:val="0002266C"/>
    <w:rsid w:val="00073727"/>
    <w:rsid w:val="00156FF9"/>
    <w:rsid w:val="001C52B5"/>
    <w:rsid w:val="001C7AD9"/>
    <w:rsid w:val="001D6CD0"/>
    <w:rsid w:val="00221E9E"/>
    <w:rsid w:val="00227E2F"/>
    <w:rsid w:val="002800B3"/>
    <w:rsid w:val="00292548"/>
    <w:rsid w:val="002D41F8"/>
    <w:rsid w:val="003D35B3"/>
    <w:rsid w:val="00417F62"/>
    <w:rsid w:val="004842FA"/>
    <w:rsid w:val="004B50AA"/>
    <w:rsid w:val="005A4294"/>
    <w:rsid w:val="00654819"/>
    <w:rsid w:val="00666DEF"/>
    <w:rsid w:val="00683C8E"/>
    <w:rsid w:val="006A0BD6"/>
    <w:rsid w:val="006A7533"/>
    <w:rsid w:val="006F14F1"/>
    <w:rsid w:val="006F6843"/>
    <w:rsid w:val="0075469A"/>
    <w:rsid w:val="00781A1E"/>
    <w:rsid w:val="00787DAB"/>
    <w:rsid w:val="007A1FD5"/>
    <w:rsid w:val="007A5CFC"/>
    <w:rsid w:val="00864E52"/>
    <w:rsid w:val="00917112"/>
    <w:rsid w:val="0092145B"/>
    <w:rsid w:val="009377F1"/>
    <w:rsid w:val="00954695"/>
    <w:rsid w:val="00973C57"/>
    <w:rsid w:val="009C5E9D"/>
    <w:rsid w:val="00A15BA4"/>
    <w:rsid w:val="00A2560E"/>
    <w:rsid w:val="00A50344"/>
    <w:rsid w:val="00AF6B75"/>
    <w:rsid w:val="00B2535C"/>
    <w:rsid w:val="00BD28FB"/>
    <w:rsid w:val="00BF74B1"/>
    <w:rsid w:val="00C50B8C"/>
    <w:rsid w:val="00CA4BC2"/>
    <w:rsid w:val="00CD029A"/>
    <w:rsid w:val="00D21690"/>
    <w:rsid w:val="00D42907"/>
    <w:rsid w:val="00D56B28"/>
    <w:rsid w:val="00D7294A"/>
    <w:rsid w:val="00D92498"/>
    <w:rsid w:val="00E94A80"/>
    <w:rsid w:val="00ED0AA6"/>
    <w:rsid w:val="00F04548"/>
    <w:rsid w:val="00F223DD"/>
    <w:rsid w:val="00F50B0A"/>
    <w:rsid w:val="00F579ED"/>
    <w:rsid w:val="00F7158A"/>
    <w:rsid w:val="00F854E6"/>
    <w:rsid w:val="00FA3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F569"/>
  <w15:docId w15:val="{EC5353D8-CE07-457F-BEC0-505FE1F1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11C1"/>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table" w:styleId="Tabelraster">
    <w:name w:val="Table Grid"/>
    <w:basedOn w:val="Standaardtabel"/>
    <w:rsid w:val="005463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5A11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2D41F8"/>
    <w:rPr>
      <w:color w:val="0000FF" w:themeColor="hyperlink"/>
      <w:u w:val="single"/>
    </w:rPr>
  </w:style>
  <w:style w:type="paragraph" w:styleId="Lijstalinea">
    <w:name w:val="List Paragraph"/>
    <w:basedOn w:val="Standaard"/>
    <w:uiPriority w:val="34"/>
    <w:rsid w:val="00787DAB"/>
    <w:pPr>
      <w:ind w:left="720"/>
      <w:contextualSpacing/>
    </w:pPr>
  </w:style>
  <w:style w:type="paragraph" w:styleId="Ballontekst">
    <w:name w:val="Balloon Text"/>
    <w:basedOn w:val="Standaard"/>
    <w:link w:val="BallontekstChar"/>
    <w:semiHidden/>
    <w:unhideWhenUsed/>
    <w:rsid w:val="00D7294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D7294A"/>
    <w:rPr>
      <w:rFonts w:ascii="Segoe UI" w:hAnsi="Segoe UI" w:cs="Segoe UI"/>
      <w:sz w:val="18"/>
      <w:szCs w:val="18"/>
    </w:rPr>
  </w:style>
  <w:style w:type="character" w:styleId="Verwijzingopmerking">
    <w:name w:val="annotation reference"/>
    <w:basedOn w:val="Standaardalinea-lettertype"/>
    <w:semiHidden/>
    <w:unhideWhenUsed/>
    <w:rsid w:val="00D7294A"/>
    <w:rPr>
      <w:sz w:val="16"/>
      <w:szCs w:val="16"/>
    </w:rPr>
  </w:style>
  <w:style w:type="paragraph" w:styleId="Tekstopmerking">
    <w:name w:val="annotation text"/>
    <w:basedOn w:val="Standaard"/>
    <w:link w:val="TekstopmerkingChar"/>
    <w:semiHidden/>
    <w:unhideWhenUsed/>
    <w:rsid w:val="00D7294A"/>
    <w:pPr>
      <w:spacing w:line="240" w:lineRule="auto"/>
    </w:pPr>
    <w:rPr>
      <w:sz w:val="20"/>
      <w:szCs w:val="20"/>
    </w:rPr>
  </w:style>
  <w:style w:type="character" w:customStyle="1" w:styleId="TekstopmerkingChar">
    <w:name w:val="Tekst opmerking Char"/>
    <w:basedOn w:val="Standaardalinea-lettertype"/>
    <w:link w:val="Tekstopmerking"/>
    <w:semiHidden/>
    <w:rsid w:val="00D7294A"/>
    <w:rPr>
      <w:sz w:val="20"/>
      <w:szCs w:val="20"/>
    </w:rPr>
  </w:style>
  <w:style w:type="paragraph" w:styleId="Onderwerpvanopmerking">
    <w:name w:val="annotation subject"/>
    <w:basedOn w:val="Tekstopmerking"/>
    <w:next w:val="Tekstopmerking"/>
    <w:link w:val="OnderwerpvanopmerkingChar"/>
    <w:semiHidden/>
    <w:unhideWhenUsed/>
    <w:rsid w:val="00D7294A"/>
    <w:rPr>
      <w:b/>
      <w:bCs/>
    </w:rPr>
  </w:style>
  <w:style w:type="character" w:customStyle="1" w:styleId="OnderwerpvanopmerkingChar">
    <w:name w:val="Onderwerp van opmerking Char"/>
    <w:basedOn w:val="TekstopmerkingChar"/>
    <w:link w:val="Onderwerpvanopmerking"/>
    <w:semiHidden/>
    <w:rsid w:val="00D7294A"/>
    <w:rPr>
      <w:b/>
      <w:bCs/>
      <w:sz w:val="20"/>
      <w:szCs w:val="20"/>
    </w:rPr>
  </w:style>
  <w:style w:type="paragraph" w:styleId="Koptekst">
    <w:name w:val="header"/>
    <w:basedOn w:val="Standaard"/>
    <w:link w:val="KoptekstChar"/>
    <w:unhideWhenUsed/>
    <w:rsid w:val="00F223DD"/>
    <w:pPr>
      <w:tabs>
        <w:tab w:val="center" w:pos="4513"/>
        <w:tab w:val="right" w:pos="9026"/>
      </w:tabs>
      <w:spacing w:line="240" w:lineRule="auto"/>
    </w:pPr>
  </w:style>
  <w:style w:type="character" w:customStyle="1" w:styleId="KoptekstChar">
    <w:name w:val="Koptekst Char"/>
    <w:basedOn w:val="Standaardalinea-lettertype"/>
    <w:link w:val="Koptekst"/>
    <w:rsid w:val="00F223DD"/>
  </w:style>
  <w:style w:type="paragraph" w:styleId="Voettekst">
    <w:name w:val="footer"/>
    <w:basedOn w:val="Standaard"/>
    <w:link w:val="VoettekstChar"/>
    <w:unhideWhenUsed/>
    <w:rsid w:val="00F223DD"/>
    <w:pPr>
      <w:tabs>
        <w:tab w:val="center" w:pos="4513"/>
        <w:tab w:val="right" w:pos="9026"/>
      </w:tabs>
      <w:spacing w:line="240" w:lineRule="auto"/>
    </w:pPr>
  </w:style>
  <w:style w:type="character" w:customStyle="1" w:styleId="VoettekstChar">
    <w:name w:val="Voettekst Char"/>
    <w:basedOn w:val="Standaardalinea-lettertype"/>
    <w:link w:val="Voettekst"/>
    <w:rsid w:val="00F2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Downloads\memo_1%20(7).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1056</ap:Words>
  <ap:Characters>5814</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2022-05-16T15:51:00.0000000Z</dcterms:created>
  <dcterms:modified xsi:type="dcterms:W3CDTF">2022-05-17T08:48:00.0000000Z</dcterms:modified>
  <dc:description>------------------------</dc:description>
  <dc:subject/>
  <keywords/>
  <version/>
  <category/>
</coreProperties>
</file>