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 xml:space="preserve">W05.22.0063/I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 xml:space="preserve">22 april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
                <w:t xml:space="preserve">Bij Kabinetsmissive van 19 april 2022, no.2022000904, heeft Uwe Majesteit, op voordracht van de Minister van Onderwijs, Cultuur en Wetenschap, bij de Afdeling advisering van de Raad van State ter overweging aanhangig gemaakt het voorstel van wet tot wijziging van de Wet op het hoger onderwijs en wetenschappelijk onderzoek betreffende de tijdelijke afwijkende inschrijving voor het studiejaar 2022-2023 in verband met COVID-19, met memorie van toelichting.</w:t>
              </w:r>
            </w:p>
          </w:sdtContent>
        </w:sdt>
        <w:p w:rsidR="0071031E" w:rsidRDefault="0071031E"/>
        <w:p w:rsidR="00C50D4F" w:rsidRDefault="00C0766C">
          <w:sdt>
            <w:sdtPr>
              <w:alias w:val="Dictum"/>
              <w:tag w:val="Dictum"/>
              <w:id w:val="-106126456"/>
              <w:lock w:val="sdtContentLocked"/>
              <w:placeholder>
                <w:docPart w:val="DefaultPlaceholder_1082065158"/>
              </w:placeholder>
              <w:text w:multiLine="1"/>
            </w:sdtPr>
            <w:sdtEndPr/>
            <w:sdtContent>
              <w:r>
                <w:t xml:space="preserve">De Afdeling advisering van de Raad van State heeft geen opmerkingen bij het voorstel en adviseert het voorstel bij de Tweede Kamer der Staten-Generaal in te dienen. </w:t>
              </w:r>
              <w:r>
                <w:br/>
                <w:t xml:space="preserve"/>
              </w:r>
              <w:r>
                <w:br/>
                <w:t xml:space="preserve">Gelet op artikel 26, zesde lid jo vijfde lid, van de Wet op de Raad van State, adviseert de Afdeling dit advies openbaar te maken.</w:t>
              </w:r>
              <w:r>
                <w:br/>
                <w:t xml:space="preserve"/>
              </w:r>
              <w:r>
                <w:br/>
                <w:t xml:space="preserve">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C3468" w14:textId="77777777" w:rsidR="00954004" w:rsidRDefault="00954004" w:rsidP="005B3E03">
      <w:r>
        <w:separator/>
      </w:r>
    </w:p>
  </w:endnote>
  <w:endnote w:type="continuationSeparator" w:id="0">
    <w:p w14:paraId="0A9DA2FF" w14:textId="77777777" w:rsidR="00954004" w:rsidRDefault="0095400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editId="1CB64573" wp14:anchorId="5A021396">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2E88F" w14:textId="77777777" w:rsidR="00954004" w:rsidRDefault="00954004" w:rsidP="005B3E03">
      <w:r>
        <w:separator/>
      </w:r>
    </w:p>
  </w:footnote>
  <w:footnote w:type="continuationSeparator" w:id="0">
    <w:p w14:paraId="06198C97" w14:textId="77777777" w:rsidR="00954004" w:rsidRDefault="00954004"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hAnsiTheme="majorHAnsi" w:eastAsiaTheme="majorEastAsia" w:cstheme="majorBidi"/>
      <w:b/>
      <w:bCs/>
      <w:kern w:val="32"/>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styleId="VoetnoottekstChar" w:customStyle="1">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styleId="KoptekstChar" w:customStyle="1">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styleId="VoettekstChar" w:customStyle="1">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styleId="BallontekstChar" w:customStyle="1">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styleId="Kop1Char" w:customStyle="1">
    <w:name w:val="Kop 1 Char"/>
    <w:basedOn w:val="Standaardalinea-lettertype"/>
    <w:link w:val="Kop1"/>
    <w:rsid w:val="005A1AE5"/>
    <w:rPr>
      <w:rFonts w:asciiTheme="majorHAnsi" w:hAnsiTheme="majorHAnsi" w:eastAsiaTheme="majorEastAsia" w:cstheme="majorBidi"/>
      <w:b/>
      <w:bCs/>
      <w:kern w:val="32"/>
      <w:sz w:val="32"/>
      <w:szCs w:val="32"/>
    </w:rPr>
  </w:style>
  <w:style w:type="table" w:styleId="Tabelraster">
    <w:name w:val="Table Grid"/>
    <w:basedOn w:val="Standaardtabel"/>
    <w:rsid w:val="00CB02E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ogoKoninginnepapier" w:customStyle="true">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ap:Words>
  <ap:Characters>35</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2013-12-03T10:17:00.0000000Z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32509120</vt:lpwstr>
  </property>
</Properties>
</file>