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D3127" w:rsidR="00A828E3" w:rsidRDefault="00E02D08" w14:paraId="1D58C16C" w14:textId="74F7AE7B">
      <w:pPr>
        <w:pStyle w:val="PlatteTekst"/>
        <w:rPr>
          <w:szCs w:val="18"/>
        </w:rPr>
        <w:sectPr w:rsidRPr="00FD3127"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FD3127">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594E6130">
                            <w:pPr>
                              <w:pStyle w:val="Huisstijl-Agendatitel"/>
                              <w:ind w:left="0" w:firstLine="0"/>
                              <w:jc w:val="right"/>
                            </w:pPr>
                            <w:r>
                              <w:t>Commissie</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DA485F" w14:paraId="258EB843" w14:textId="3CE8B349">
                            <w:pPr>
                              <w:pStyle w:val="Huisstijl-Agendatitel"/>
                              <w:ind w:left="0" w:firstLine="0"/>
                              <w:jc w:val="right"/>
                            </w:pPr>
                            <w:r>
                              <w:t>6 mei 2022</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2E4C0BAB" w14:textId="594E6130">
                      <w:pPr>
                        <w:pStyle w:val="Huisstijl-Agendatitel"/>
                        <w:ind w:left="0" w:firstLine="0"/>
                        <w:jc w:val="right"/>
                      </w:pPr>
                      <w:r>
                        <w:t>Commissie</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DA485F" w14:paraId="258EB843" w14:textId="3CE8B349">
                      <w:pPr>
                        <w:pStyle w:val="Huisstijl-Agendatitel"/>
                        <w:ind w:left="0" w:firstLine="0"/>
                        <w:jc w:val="right"/>
                      </w:pPr>
                      <w:r>
                        <w:t>6 mei 2022</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FD3127"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14:paraId="4C01BB0B" w14:textId="77777777"/>
                  </w:txbxContent>
                </v:textbox>
                <w10:wrap anchory="page"/>
              </v:shape>
            </w:pict>
          </mc:Fallback>
        </mc:AlternateContent>
      </w:r>
    </w:p>
    <w:p w:rsidRPr="00FD3127" w:rsidR="00E02D08" w:rsidP="00C727FA" w:rsidRDefault="00E02D08" w14:paraId="05CDB571" w14:textId="47CE6B3B">
      <w:pPr>
        <w:rPr>
          <w:b/>
          <w:sz w:val="22"/>
          <w:szCs w:val="18"/>
        </w:rPr>
      </w:pPr>
      <w:r w:rsidRPr="00FD3127">
        <w:rPr>
          <w:b/>
          <w:sz w:val="22"/>
        </w:rPr>
        <w:t>Lijst van nieuwe EU-voorstellen</w:t>
      </w:r>
      <w:r w:rsidRPr="00FD3127">
        <w:rPr>
          <w:b/>
          <w:sz w:val="22"/>
          <w:szCs w:val="18"/>
        </w:rPr>
        <w:t xml:space="preserve"> </w:t>
      </w:r>
    </w:p>
    <w:p w:rsidRPr="00FD3127" w:rsidR="00E02D08" w:rsidP="00C727FA" w:rsidRDefault="00E02D08" w14:paraId="54F4943E" w14:textId="77777777">
      <w:pPr>
        <w:rPr>
          <w:b/>
          <w:sz w:val="22"/>
          <w:szCs w:val="18"/>
        </w:rPr>
      </w:pPr>
    </w:p>
    <w:p w:rsidRPr="00FD3127" w:rsidR="005115F8" w:rsidP="005115F8" w:rsidRDefault="005115F8" w14:paraId="3EB199E6" w14:textId="6D76CA78">
      <w:pPr>
        <w:pStyle w:val="Normaalweb"/>
      </w:pPr>
      <w:r w:rsidRPr="00FD3127">
        <w:t xml:space="preserve">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 </w:t>
      </w:r>
    </w:p>
    <w:p w:rsidRPr="00FD3127" w:rsidR="00820149" w:rsidP="00C727FA" w:rsidRDefault="00820149" w14:paraId="594D8C14" w14:textId="7519FF2E">
      <w:pPr>
        <w:rPr>
          <w:szCs w:val="18"/>
        </w:rPr>
      </w:pPr>
    </w:p>
    <w:p w:rsidRPr="00FD3127" w:rsidR="00820149" w:rsidP="00820149" w:rsidRDefault="00D27FE7" w14:paraId="015F6DB1" w14:textId="088DF86F">
      <w:pPr>
        <w:pStyle w:val="Lijstalinea"/>
        <w:numPr>
          <w:ilvl w:val="0"/>
          <w:numId w:val="2"/>
        </w:numPr>
        <w:rPr>
          <w:b/>
          <w:szCs w:val="18"/>
        </w:rPr>
      </w:pPr>
      <w:r w:rsidRPr="00FD3127">
        <w:rPr>
          <w:b/>
          <w:szCs w:val="18"/>
        </w:rPr>
        <w:t>Nieuw voorgestelde EU-w</w:t>
      </w:r>
      <w:r w:rsidRPr="00FD3127" w:rsidR="00820149">
        <w:rPr>
          <w:b/>
          <w:szCs w:val="18"/>
        </w:rPr>
        <w:t>etgeving</w:t>
      </w:r>
      <w:r w:rsidRPr="00FD3127" w:rsidR="00E02D08">
        <w:rPr>
          <w:rStyle w:val="Voetnootmarkering"/>
          <w:b/>
          <w:szCs w:val="18"/>
        </w:rPr>
        <w:br/>
      </w:r>
      <w:r w:rsidRPr="00FD3127" w:rsidR="00E02D08">
        <w:rPr>
          <w:szCs w:val="18"/>
        </w:rPr>
        <w:t>(Verordeningen, richtlijnen en wetgevende besluiten)</w:t>
      </w:r>
    </w:p>
    <w:p w:rsidRPr="00FD3127" w:rsidR="00970CA0" w:rsidP="00C727FA" w:rsidRDefault="00970CA0" w14:paraId="20E9A79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D3127" w:rsidR="002A4BD8" w:rsidTr="00DF5A2E" w14:paraId="786F79CD"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FD3127" w:rsidR="002A4BD8" w:rsidP="003A21AA" w:rsidRDefault="002A4BD8" w14:paraId="2AE8D68B" w14:textId="77777777">
            <w:pPr>
              <w:pStyle w:val="Lijstalinea"/>
              <w:numPr>
                <w:ilvl w:val="0"/>
                <w:numId w:val="10"/>
              </w:numPr>
              <w:spacing w:after="240"/>
              <w:ind w:left="312"/>
              <w:rPr>
                <w:color w:val="595959" w:themeColor="text1" w:themeTint="A6"/>
                <w:szCs w:val="18"/>
              </w:rPr>
            </w:pPr>
          </w:p>
        </w:tc>
        <w:tc>
          <w:tcPr>
            <w:tcW w:w="1035" w:type="dxa"/>
          </w:tcPr>
          <w:p w:rsidRPr="00FD3127" w:rsidR="002A4BD8" w:rsidP="003A21AA" w:rsidRDefault="002A4BD8" w14:paraId="417B6F7B" w14:textId="77777777">
            <w:pPr>
              <w:spacing w:after="240"/>
              <w:rPr>
                <w:color w:val="595959" w:themeColor="text1" w:themeTint="A6"/>
                <w:szCs w:val="18"/>
              </w:rPr>
            </w:pPr>
            <w:r w:rsidRPr="00FD3127">
              <w:rPr>
                <w:color w:val="595959" w:themeColor="text1" w:themeTint="A6"/>
                <w:szCs w:val="18"/>
              </w:rPr>
              <w:t>Titel</w:t>
            </w:r>
          </w:p>
        </w:tc>
        <w:tc>
          <w:tcPr>
            <w:tcW w:w="6529" w:type="dxa"/>
          </w:tcPr>
          <w:p w:rsidRPr="00FD3127" w:rsidR="002A4BD8" w:rsidP="00505FDD" w:rsidRDefault="000D0B2F" w14:paraId="3770AB7C" w14:textId="0546A85C">
            <w:pPr>
              <w:shd w:val="clear" w:color="auto" w:fill="FFFFFF"/>
              <w:spacing w:after="240"/>
              <w:rPr>
                <w:szCs w:val="18"/>
                <w:lang w:eastAsia="nl-NL"/>
              </w:rPr>
            </w:pPr>
            <w:r w:rsidRPr="00FD3127">
              <w:rPr>
                <w:szCs w:val="18"/>
              </w:rPr>
              <w:t>Voorstel voor een VERORDENING VAN HET EUROPEES PARLEMENT EN DE RAAD tot wijziging van Verordening (EU, Euratom) 2018/1046 tot vaststelling van de financiële regels van toepassing op de algemene begroting van de Unie</w:t>
            </w:r>
            <w:r w:rsidRPr="00FD3127" w:rsidR="00776A66">
              <w:rPr>
                <w:szCs w:val="18"/>
              </w:rPr>
              <w:t xml:space="preserve"> </w:t>
            </w:r>
            <w:hyperlink w:history="1" r:id="rId14">
              <w:r w:rsidRPr="00FD3127" w:rsidR="00776A66">
                <w:rPr>
                  <w:rStyle w:val="Hyperlink"/>
                  <w:szCs w:val="18"/>
                </w:rPr>
                <w:t>COM (202</w:t>
              </w:r>
              <w:r w:rsidRPr="00FD3127" w:rsidR="00776A66">
                <w:rPr>
                  <w:rStyle w:val="Hyperlink"/>
                  <w:szCs w:val="18"/>
                </w:rPr>
                <w:t>2</w:t>
              </w:r>
              <w:r w:rsidRPr="00FD3127" w:rsidR="00776A66">
                <w:rPr>
                  <w:rStyle w:val="Hyperlink"/>
                  <w:szCs w:val="18"/>
                </w:rPr>
                <w:t>) 184</w:t>
              </w:r>
            </w:hyperlink>
          </w:p>
        </w:tc>
      </w:tr>
      <w:tr w:rsidRPr="00FD3127" w:rsidR="002A4BD8" w:rsidTr="00DF5A2E" w14:paraId="3788D6EA" w14:textId="77777777">
        <w:tc>
          <w:tcPr>
            <w:tcW w:w="421" w:type="dxa"/>
            <w:vMerge/>
            <w:tcBorders>
              <w:top w:val="nil"/>
              <w:bottom w:val="single" w:color="D9D9D9" w:themeColor="background1" w:themeShade="D9" w:sz="4" w:space="0"/>
            </w:tcBorders>
            <w:shd w:val="clear" w:color="auto" w:fill="F2F2F2" w:themeFill="background1" w:themeFillShade="F2"/>
          </w:tcPr>
          <w:p w:rsidRPr="00FD3127" w:rsidR="002A4BD8" w:rsidP="003A21AA" w:rsidRDefault="002A4BD8" w14:paraId="67A0B1CB" w14:textId="77777777">
            <w:pPr>
              <w:spacing w:after="240"/>
              <w:rPr>
                <w:szCs w:val="18"/>
              </w:rPr>
            </w:pPr>
          </w:p>
        </w:tc>
        <w:tc>
          <w:tcPr>
            <w:tcW w:w="1035" w:type="dxa"/>
          </w:tcPr>
          <w:p w:rsidRPr="00FD3127" w:rsidR="002A4BD8" w:rsidP="003A21AA" w:rsidRDefault="002A4BD8" w14:paraId="1AD1B08F" w14:textId="77777777">
            <w:pPr>
              <w:spacing w:after="240"/>
              <w:rPr>
                <w:szCs w:val="18"/>
              </w:rPr>
            </w:pPr>
            <w:r w:rsidRPr="00FD3127">
              <w:rPr>
                <w:szCs w:val="18"/>
              </w:rPr>
              <w:t>Voorstel</w:t>
            </w:r>
          </w:p>
        </w:tc>
        <w:tc>
          <w:tcPr>
            <w:tcW w:w="6529" w:type="dxa"/>
          </w:tcPr>
          <w:p w:rsidRPr="00FD3127" w:rsidR="002A4BD8" w:rsidP="003A21AA" w:rsidRDefault="00147A89" w14:paraId="796F226E" w14:textId="0D181919">
            <w:pPr>
              <w:spacing w:after="240"/>
              <w:rPr>
                <w:szCs w:val="18"/>
              </w:rPr>
            </w:pPr>
            <w:r w:rsidRPr="00147A89">
              <w:rPr>
                <w:szCs w:val="18"/>
              </w:rPr>
              <w:t>Via de gebruikelijke route behandelen, waarbij het voorstel en het nog te ontvangen BNC-fiche worden geagendeerd voor een schriftelijk overleg.</w:t>
            </w:r>
          </w:p>
        </w:tc>
      </w:tr>
      <w:tr w:rsidRPr="00FD3127" w:rsidR="002A4BD8" w:rsidTr="00DF5A2E" w14:paraId="150AC6E2" w14:textId="77777777">
        <w:tc>
          <w:tcPr>
            <w:tcW w:w="421" w:type="dxa"/>
            <w:vMerge/>
            <w:tcBorders>
              <w:top w:val="nil"/>
              <w:bottom w:val="single" w:color="D9D9D9" w:themeColor="background1" w:themeShade="D9" w:sz="4" w:space="0"/>
            </w:tcBorders>
            <w:shd w:val="clear" w:color="auto" w:fill="F2F2F2" w:themeFill="background1" w:themeFillShade="F2"/>
          </w:tcPr>
          <w:p w:rsidRPr="00FD3127" w:rsidR="002A4BD8" w:rsidP="003A21AA" w:rsidRDefault="002A4BD8" w14:paraId="17A999B7" w14:textId="77777777">
            <w:pPr>
              <w:spacing w:after="240"/>
              <w:rPr>
                <w:color w:val="595959" w:themeColor="text1" w:themeTint="A6"/>
                <w:szCs w:val="18"/>
              </w:rPr>
            </w:pPr>
          </w:p>
        </w:tc>
        <w:tc>
          <w:tcPr>
            <w:tcW w:w="1035" w:type="dxa"/>
          </w:tcPr>
          <w:p w:rsidRPr="00FD3127" w:rsidR="002A4BD8" w:rsidP="003A21AA" w:rsidRDefault="002A4BD8" w14:paraId="607AB8A0" w14:textId="77777777">
            <w:pPr>
              <w:spacing w:after="240"/>
              <w:rPr>
                <w:color w:val="595959" w:themeColor="text1" w:themeTint="A6"/>
                <w:szCs w:val="18"/>
              </w:rPr>
            </w:pPr>
            <w:r w:rsidRPr="00FD3127">
              <w:rPr>
                <w:color w:val="595959" w:themeColor="text1" w:themeTint="A6"/>
                <w:szCs w:val="18"/>
              </w:rPr>
              <w:t>Noot</w:t>
            </w:r>
          </w:p>
        </w:tc>
        <w:tc>
          <w:tcPr>
            <w:tcW w:w="6529" w:type="dxa"/>
          </w:tcPr>
          <w:p w:rsidRPr="00FD3127" w:rsidR="002A4BD8" w:rsidP="003A21AA" w:rsidRDefault="00147A89" w14:paraId="5F09C656" w14:textId="13E9E8EF">
            <w:pPr>
              <w:spacing w:after="240"/>
              <w:rPr>
                <w:color w:val="595959" w:themeColor="text1" w:themeTint="A6"/>
                <w:szCs w:val="18"/>
              </w:rPr>
            </w:pPr>
            <w:r w:rsidRPr="00147A89">
              <w:rPr>
                <w:color w:val="595959" w:themeColor="text1" w:themeTint="A6"/>
                <w:szCs w:val="18"/>
              </w:rPr>
              <w:t>Het Financieel Reglement stelt de beginselen en algemene financiële regels vast voor de vaststelling en uitvoering van de begroting van de Unie en de controle op de financiën van de Unie. Wanneer een door de Commissie opgelegde boete, andere dwangsom of sanctie voor de rechterlijke instanties van de Unie wordt aangevochten, kunnen degenen tot wie de boete is gericht, deze provisorisch betalen of een bankgarantie stellen ter dekking van het bedrag van de boete en de toepasselijke rente voor het uitstel van betaling, totdat het definitieve vonnis is gewezen. Recent heeft het Hof geoordeeld dat ingeval een door een onderneming provisorisch betaalde mededingingsboete wordt verlaagd of nietig verklaard, de Commissie verplicht is vertragingsrente te betalen wegens te late terugbetaling van de boete vanaf de datum waarop de onderneming de boete provisorisch heeft betaald tot de datum van terugbetaling. De Commissie heeft gevraagd om verduidelijking van voornoemd vonnis, maar acht het in de tussentijd dringend noodzakelijk wetgevingsmaatregelen voor te stellen om te zorgen voor een passend compensatieniveau in geval van terugbetaling van een provisorisch betaalde boete en het vermogen van de begroting van de Unie om in de daaruit voortvloeiende financiële behoeften te voorzien. Dit voorstel voorziet daarin.</w:t>
            </w:r>
          </w:p>
        </w:tc>
      </w:tr>
    </w:tbl>
    <w:p w:rsidRPr="00FD3127" w:rsidR="002A4BD8" w:rsidP="002A4BD8" w:rsidRDefault="002A4BD8" w14:paraId="597C865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D3127" w:rsidR="002A4BD8" w:rsidTr="00DF5A2E" w14:paraId="1B68A20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FD3127" w:rsidR="002A4BD8" w:rsidP="003A21AA" w:rsidRDefault="002A4BD8" w14:paraId="1E499B8B" w14:textId="77777777">
            <w:pPr>
              <w:pStyle w:val="Lijstalinea"/>
              <w:numPr>
                <w:ilvl w:val="0"/>
                <w:numId w:val="10"/>
              </w:numPr>
              <w:spacing w:after="240"/>
              <w:ind w:left="312"/>
              <w:rPr>
                <w:color w:val="595959" w:themeColor="text1" w:themeTint="A6"/>
                <w:szCs w:val="18"/>
              </w:rPr>
            </w:pPr>
          </w:p>
        </w:tc>
        <w:tc>
          <w:tcPr>
            <w:tcW w:w="1035" w:type="dxa"/>
          </w:tcPr>
          <w:p w:rsidRPr="00FD3127" w:rsidR="002A4BD8" w:rsidP="003A21AA" w:rsidRDefault="002A4BD8" w14:paraId="08E0E01E" w14:textId="77777777">
            <w:pPr>
              <w:spacing w:after="240"/>
              <w:rPr>
                <w:color w:val="595959" w:themeColor="text1" w:themeTint="A6"/>
                <w:szCs w:val="18"/>
              </w:rPr>
            </w:pPr>
            <w:r w:rsidRPr="00FD3127">
              <w:rPr>
                <w:color w:val="595959" w:themeColor="text1" w:themeTint="A6"/>
                <w:szCs w:val="18"/>
              </w:rPr>
              <w:t>Titel</w:t>
            </w:r>
          </w:p>
        </w:tc>
        <w:tc>
          <w:tcPr>
            <w:tcW w:w="6529" w:type="dxa"/>
          </w:tcPr>
          <w:p w:rsidRPr="00FD3127" w:rsidR="002A4BD8" w:rsidP="003A21AA" w:rsidRDefault="00205E7E" w14:paraId="3602905A" w14:textId="5BF9B6BA">
            <w:pPr>
              <w:spacing w:after="240"/>
              <w:rPr>
                <w:b/>
                <w:color w:val="595959" w:themeColor="text1" w:themeTint="A6"/>
                <w:szCs w:val="18"/>
              </w:rPr>
            </w:pPr>
            <w:r w:rsidRPr="00FD3127">
              <w:rPr>
                <w:szCs w:val="18"/>
              </w:rPr>
              <w:t xml:space="preserve">Voorstel voor een VERORDENING VAN DE RAAD tot wijziging van Verordening (EU) 2021/2278 houdende schorsing van de in artikel 56, lid 2, punt c), van Verordening (EU) nr. 952/2013 bedoelde rechten van het gemeenschappelijk douanetarief voor bepaalde landbouw- en industrieproducten </w:t>
            </w:r>
            <w:hyperlink w:history="1" r:id="rId15">
              <w:r w:rsidRPr="00FD3127">
                <w:rPr>
                  <w:rStyle w:val="Hyperlink"/>
                  <w:szCs w:val="18"/>
                </w:rPr>
                <w:t>COM (2022) 1</w:t>
              </w:r>
              <w:r w:rsidRPr="00FD3127">
                <w:rPr>
                  <w:rStyle w:val="Hyperlink"/>
                  <w:szCs w:val="18"/>
                </w:rPr>
                <w:t>8</w:t>
              </w:r>
              <w:r w:rsidRPr="00FD3127">
                <w:rPr>
                  <w:rStyle w:val="Hyperlink"/>
                  <w:szCs w:val="18"/>
                </w:rPr>
                <w:t>3</w:t>
              </w:r>
            </w:hyperlink>
          </w:p>
        </w:tc>
      </w:tr>
      <w:tr w:rsidRPr="00FD3127" w:rsidR="002A4BD8" w:rsidTr="00DF5A2E" w14:paraId="7BB2E967" w14:textId="77777777">
        <w:tc>
          <w:tcPr>
            <w:tcW w:w="421" w:type="dxa"/>
            <w:vMerge/>
            <w:tcBorders>
              <w:top w:val="nil"/>
              <w:bottom w:val="single" w:color="D9D9D9" w:themeColor="background1" w:themeShade="D9" w:sz="4" w:space="0"/>
            </w:tcBorders>
            <w:shd w:val="clear" w:color="auto" w:fill="F2F2F2" w:themeFill="background1" w:themeFillShade="F2"/>
          </w:tcPr>
          <w:p w:rsidRPr="00FD3127" w:rsidR="002A4BD8" w:rsidP="003A21AA" w:rsidRDefault="002A4BD8" w14:paraId="181D2F34" w14:textId="77777777">
            <w:pPr>
              <w:spacing w:after="240"/>
              <w:rPr>
                <w:szCs w:val="18"/>
              </w:rPr>
            </w:pPr>
          </w:p>
        </w:tc>
        <w:tc>
          <w:tcPr>
            <w:tcW w:w="1035" w:type="dxa"/>
          </w:tcPr>
          <w:p w:rsidRPr="00FD3127" w:rsidR="002A4BD8" w:rsidP="003A21AA" w:rsidRDefault="002A4BD8" w14:paraId="32A8A200" w14:textId="77777777">
            <w:pPr>
              <w:spacing w:after="240"/>
              <w:rPr>
                <w:szCs w:val="18"/>
              </w:rPr>
            </w:pPr>
            <w:r w:rsidRPr="00FD3127">
              <w:rPr>
                <w:szCs w:val="18"/>
              </w:rPr>
              <w:t>Voorstel</w:t>
            </w:r>
          </w:p>
        </w:tc>
        <w:tc>
          <w:tcPr>
            <w:tcW w:w="6529" w:type="dxa"/>
          </w:tcPr>
          <w:p w:rsidRPr="00FD3127" w:rsidR="002A4BD8" w:rsidP="003A21AA" w:rsidRDefault="00147A89" w14:paraId="0A5BB81D" w14:textId="5940535E">
            <w:pPr>
              <w:spacing w:after="240"/>
              <w:rPr>
                <w:szCs w:val="18"/>
              </w:rPr>
            </w:pPr>
            <w:r w:rsidRPr="00147A89">
              <w:rPr>
                <w:szCs w:val="18"/>
              </w:rPr>
              <w:t>Via de gebruikelijke route behandelen, waarbij het voorstel en het nog te ontvangen BNC-fiche worden geagendeerd voor een schriftelijk overleg.</w:t>
            </w:r>
          </w:p>
        </w:tc>
      </w:tr>
      <w:tr w:rsidRPr="00FD3127" w:rsidR="002A4BD8" w:rsidTr="00DF5A2E" w14:paraId="1AC71080" w14:textId="77777777">
        <w:tc>
          <w:tcPr>
            <w:tcW w:w="421" w:type="dxa"/>
            <w:vMerge/>
            <w:tcBorders>
              <w:top w:val="nil"/>
              <w:bottom w:val="single" w:color="D9D9D9" w:themeColor="background1" w:themeShade="D9" w:sz="4" w:space="0"/>
            </w:tcBorders>
            <w:shd w:val="clear" w:color="auto" w:fill="F2F2F2" w:themeFill="background1" w:themeFillShade="F2"/>
          </w:tcPr>
          <w:p w:rsidRPr="00FD3127" w:rsidR="002A4BD8" w:rsidP="003A21AA" w:rsidRDefault="002A4BD8" w14:paraId="19B10F74" w14:textId="77777777">
            <w:pPr>
              <w:spacing w:after="240"/>
              <w:rPr>
                <w:color w:val="595959" w:themeColor="text1" w:themeTint="A6"/>
                <w:szCs w:val="18"/>
              </w:rPr>
            </w:pPr>
          </w:p>
        </w:tc>
        <w:tc>
          <w:tcPr>
            <w:tcW w:w="1035" w:type="dxa"/>
          </w:tcPr>
          <w:p w:rsidRPr="00FD3127" w:rsidR="002A4BD8" w:rsidP="003A21AA" w:rsidRDefault="002A4BD8" w14:paraId="38AA9282" w14:textId="77777777">
            <w:pPr>
              <w:spacing w:after="240"/>
              <w:rPr>
                <w:color w:val="595959" w:themeColor="text1" w:themeTint="A6"/>
                <w:szCs w:val="18"/>
              </w:rPr>
            </w:pPr>
            <w:r w:rsidRPr="00FD3127">
              <w:rPr>
                <w:color w:val="595959" w:themeColor="text1" w:themeTint="A6"/>
                <w:szCs w:val="18"/>
              </w:rPr>
              <w:t>Noot</w:t>
            </w:r>
          </w:p>
        </w:tc>
        <w:tc>
          <w:tcPr>
            <w:tcW w:w="6529" w:type="dxa"/>
          </w:tcPr>
          <w:p w:rsidRPr="00FD3127" w:rsidR="002A4BD8" w:rsidP="00C54F62" w:rsidRDefault="00C54F62" w14:paraId="02C35601" w14:textId="022936A4">
            <w:pPr>
              <w:spacing w:after="240"/>
              <w:rPr>
                <w:color w:val="595959" w:themeColor="text1" w:themeTint="A6"/>
                <w:szCs w:val="18"/>
              </w:rPr>
            </w:pPr>
            <w:r w:rsidRPr="00C54F62">
              <w:rPr>
                <w:color w:val="595959" w:themeColor="text1" w:themeTint="A6"/>
                <w:szCs w:val="18"/>
              </w:rPr>
              <w:t>Om een toereikende en ononderbroken aanvoer te waarborgen van bepaalde landbouw- en industrieproducten die in de Unie in ontoereikende mate of helemaal niet worden vervaardigd, en te voorkomen dat de markt voor deze producten wordt verstoord, is bij Verordening (EU) 2021/2278 van de Raad (hi</w:t>
            </w:r>
            <w:r>
              <w:rPr>
                <w:color w:val="595959" w:themeColor="text1" w:themeTint="A6"/>
                <w:szCs w:val="18"/>
              </w:rPr>
              <w:t>erna “de verordening” genoemd)</w:t>
            </w:r>
            <w:r w:rsidRPr="00C54F62">
              <w:rPr>
                <w:color w:val="595959" w:themeColor="text1" w:themeTint="A6"/>
                <w:szCs w:val="18"/>
              </w:rPr>
              <w:t xml:space="preserve"> een aantal rechten van het gemeenschappelijke douanetarief ge</w:t>
            </w:r>
            <w:r>
              <w:rPr>
                <w:color w:val="595959" w:themeColor="text1" w:themeTint="A6"/>
                <w:szCs w:val="18"/>
              </w:rPr>
              <w:t xml:space="preserve">heel of gedeeltelijk geschorst. </w:t>
            </w:r>
            <w:r w:rsidRPr="00C54F62">
              <w:rPr>
                <w:color w:val="595959" w:themeColor="text1" w:themeTint="A6"/>
                <w:szCs w:val="18"/>
              </w:rPr>
              <w:t>Deze verordening wordt om de zes maanden bijgewerkt om tegemoet te komen aan de behoeften van de EU-industrie.</w:t>
            </w:r>
          </w:p>
        </w:tc>
      </w:tr>
    </w:tbl>
    <w:p w:rsidRPr="00FD3127" w:rsidR="002A4BD8" w:rsidP="002A4BD8" w:rsidRDefault="002A4BD8" w14:paraId="61D0B174" w14:textId="77777777">
      <w:pPr>
        <w:rPr>
          <w:szCs w:val="18"/>
        </w:rPr>
      </w:pPr>
    </w:p>
    <w:p w:rsidRPr="00FD3127" w:rsidR="006E5214" w:rsidP="002A4BD8" w:rsidRDefault="006E5214" w14:paraId="6D6A1961" w14:textId="77777777">
      <w:pPr>
        <w:rPr>
          <w:szCs w:val="18"/>
        </w:rPr>
      </w:pPr>
    </w:p>
    <w:p w:rsidRPr="00FD3127" w:rsidR="00820149" w:rsidP="00820149" w:rsidRDefault="00D27FE7" w14:paraId="56C0CBEE" w14:textId="2B17A68E">
      <w:pPr>
        <w:pStyle w:val="Lijstalinea"/>
        <w:numPr>
          <w:ilvl w:val="0"/>
          <w:numId w:val="2"/>
        </w:numPr>
        <w:rPr>
          <w:b/>
          <w:szCs w:val="18"/>
        </w:rPr>
      </w:pPr>
      <w:r w:rsidRPr="00FD3127">
        <w:rPr>
          <w:b/>
          <w:szCs w:val="18"/>
        </w:rPr>
        <w:t>Nieuwe</w:t>
      </w:r>
      <w:r w:rsidRPr="00FD3127" w:rsidR="008C43A5">
        <w:rPr>
          <w:b/>
          <w:szCs w:val="18"/>
        </w:rPr>
        <w:t xml:space="preserve"> EU-</w:t>
      </w:r>
      <w:r w:rsidRPr="00FD3127" w:rsidR="006E2C94">
        <w:rPr>
          <w:b/>
          <w:szCs w:val="18"/>
        </w:rPr>
        <w:t>documenten</w:t>
      </w:r>
      <w:r w:rsidRPr="00FD3127">
        <w:rPr>
          <w:b/>
          <w:szCs w:val="18"/>
        </w:rPr>
        <w:t xml:space="preserve"> van niet-wetgevende aard </w:t>
      </w:r>
      <w:r w:rsidRPr="00FD3127" w:rsidR="00E02D08">
        <w:rPr>
          <w:b/>
          <w:szCs w:val="18"/>
        </w:rPr>
        <w:br/>
      </w:r>
      <w:r w:rsidRPr="00FD3127" w:rsidR="00E02D08">
        <w:rPr>
          <w:szCs w:val="18"/>
        </w:rPr>
        <w:t>(M</w:t>
      </w:r>
      <w:r w:rsidRPr="00FD3127" w:rsidR="00820149">
        <w:rPr>
          <w:szCs w:val="18"/>
        </w:rPr>
        <w:t>edede</w:t>
      </w:r>
      <w:r w:rsidRPr="00FD3127">
        <w:rPr>
          <w:szCs w:val="18"/>
        </w:rPr>
        <w:t>lingen, aanbevelingen, actieplannen, consultaties, etc.</w:t>
      </w:r>
      <w:r w:rsidRPr="00FD3127" w:rsidR="00E02D08">
        <w:rPr>
          <w:szCs w:val="18"/>
        </w:rPr>
        <w:t>)</w:t>
      </w:r>
    </w:p>
    <w:p w:rsidRPr="00FD3127" w:rsidR="00820149" w:rsidP="00970CA0" w:rsidRDefault="00820149" w14:paraId="3F06741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D3127" w:rsidR="00D75535" w:rsidTr="00DF5A2E" w14:paraId="1CBF190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FD3127" w:rsidR="00D75535" w:rsidP="002A4BD8" w:rsidRDefault="00D75535" w14:paraId="2ECE4452" w14:textId="612525B6">
            <w:pPr>
              <w:pStyle w:val="Lijstalinea"/>
              <w:numPr>
                <w:ilvl w:val="0"/>
                <w:numId w:val="10"/>
              </w:numPr>
              <w:spacing w:after="240"/>
              <w:ind w:left="312"/>
              <w:rPr>
                <w:color w:val="595959" w:themeColor="text1" w:themeTint="A6"/>
                <w:szCs w:val="18"/>
              </w:rPr>
            </w:pPr>
          </w:p>
        </w:tc>
        <w:tc>
          <w:tcPr>
            <w:tcW w:w="1035" w:type="dxa"/>
          </w:tcPr>
          <w:p w:rsidRPr="00FD3127" w:rsidR="00D75535" w:rsidP="002A4BD8" w:rsidRDefault="00D75535" w14:paraId="3A1FD66E" w14:textId="77D9BD0E">
            <w:pPr>
              <w:spacing w:after="240"/>
              <w:rPr>
                <w:color w:val="595959" w:themeColor="text1" w:themeTint="A6"/>
                <w:szCs w:val="18"/>
              </w:rPr>
            </w:pPr>
            <w:r w:rsidRPr="00FD3127">
              <w:rPr>
                <w:color w:val="595959" w:themeColor="text1" w:themeTint="A6"/>
                <w:szCs w:val="18"/>
              </w:rPr>
              <w:t>Titel</w:t>
            </w:r>
          </w:p>
        </w:tc>
        <w:tc>
          <w:tcPr>
            <w:tcW w:w="6529" w:type="dxa"/>
          </w:tcPr>
          <w:p w:rsidRPr="00FD3127" w:rsidR="00D75535" w:rsidP="00505FDD" w:rsidRDefault="00776A66" w14:paraId="72720F3A" w14:textId="6AAEE70A">
            <w:pPr>
              <w:shd w:val="clear" w:color="auto" w:fill="FFFFFF"/>
              <w:spacing w:after="240"/>
              <w:rPr>
                <w:szCs w:val="18"/>
                <w:lang w:eastAsia="nl-NL"/>
              </w:rPr>
            </w:pPr>
            <w:r w:rsidRPr="00FD3127">
              <w:rPr>
                <w:szCs w:val="18"/>
              </w:rPr>
              <w:t xml:space="preserve">Accijns op alcohol en alcoholhoudende dranken – evaluatie van accijnstarieven en belastingstructuren </w:t>
            </w:r>
            <w:hyperlink w:history="1" r:id="rId16">
              <w:r w:rsidRPr="00FD3127">
                <w:rPr>
                  <w:rStyle w:val="Hyperlink"/>
                  <w:szCs w:val="18"/>
                </w:rPr>
                <w:t>Raadpleging</w:t>
              </w:r>
            </w:hyperlink>
          </w:p>
        </w:tc>
      </w:tr>
      <w:tr w:rsidRPr="00FD3127" w:rsidR="00D75535" w:rsidTr="00DF5A2E" w14:paraId="5CC734B3" w14:textId="77777777">
        <w:tc>
          <w:tcPr>
            <w:tcW w:w="421" w:type="dxa"/>
            <w:vMerge/>
            <w:tcBorders>
              <w:top w:val="nil"/>
              <w:bottom w:val="single" w:color="D9D9D9" w:themeColor="background1" w:themeShade="D9" w:sz="4" w:space="0"/>
            </w:tcBorders>
            <w:shd w:val="clear" w:color="auto" w:fill="F2F2F2" w:themeFill="background1" w:themeFillShade="F2"/>
          </w:tcPr>
          <w:p w:rsidRPr="00FD3127" w:rsidR="00D75535" w:rsidP="002A4BD8" w:rsidRDefault="00D75535" w14:paraId="6A303693" w14:textId="77777777">
            <w:pPr>
              <w:spacing w:after="240"/>
              <w:rPr>
                <w:szCs w:val="18"/>
              </w:rPr>
            </w:pPr>
          </w:p>
        </w:tc>
        <w:tc>
          <w:tcPr>
            <w:tcW w:w="1035" w:type="dxa"/>
          </w:tcPr>
          <w:p w:rsidRPr="00FD3127" w:rsidR="00D75535" w:rsidP="002A4BD8" w:rsidRDefault="00D75535" w14:paraId="56AA8A1B" w14:textId="21F2ECA8">
            <w:pPr>
              <w:spacing w:after="240"/>
              <w:rPr>
                <w:szCs w:val="18"/>
              </w:rPr>
            </w:pPr>
            <w:r w:rsidRPr="00FD3127">
              <w:rPr>
                <w:szCs w:val="18"/>
              </w:rPr>
              <w:t>Voorstel</w:t>
            </w:r>
          </w:p>
        </w:tc>
        <w:tc>
          <w:tcPr>
            <w:tcW w:w="6529" w:type="dxa"/>
          </w:tcPr>
          <w:p w:rsidRPr="00FD3127" w:rsidR="00D75535" w:rsidP="002A4BD8" w:rsidRDefault="00147A89" w14:paraId="67810C71" w14:textId="6925A2F3">
            <w:pPr>
              <w:spacing w:after="240"/>
              <w:rPr>
                <w:szCs w:val="18"/>
              </w:rPr>
            </w:pPr>
            <w:r w:rsidRPr="00FE361A">
              <w:rPr>
                <w:szCs w:val="18"/>
              </w:rPr>
              <w:t>Afschrift van de mogelijke consultatiereactie van het kabinet afwachten.</w:t>
            </w:r>
          </w:p>
        </w:tc>
      </w:tr>
      <w:tr w:rsidRPr="00FD3127" w:rsidR="00D75535" w:rsidTr="00DF5A2E" w14:paraId="4F2B11C1" w14:textId="77777777">
        <w:tc>
          <w:tcPr>
            <w:tcW w:w="421" w:type="dxa"/>
            <w:vMerge/>
            <w:tcBorders>
              <w:top w:val="nil"/>
              <w:bottom w:val="single" w:color="D9D9D9" w:themeColor="background1" w:themeShade="D9" w:sz="4" w:space="0"/>
            </w:tcBorders>
            <w:shd w:val="clear" w:color="auto" w:fill="F2F2F2" w:themeFill="background1" w:themeFillShade="F2"/>
          </w:tcPr>
          <w:p w:rsidRPr="00FD3127" w:rsidR="00D75535" w:rsidP="002A4BD8" w:rsidRDefault="00D75535" w14:paraId="696A5853" w14:textId="77777777">
            <w:pPr>
              <w:spacing w:after="240"/>
              <w:rPr>
                <w:color w:val="595959" w:themeColor="text1" w:themeTint="A6"/>
                <w:szCs w:val="18"/>
              </w:rPr>
            </w:pPr>
          </w:p>
        </w:tc>
        <w:tc>
          <w:tcPr>
            <w:tcW w:w="1035" w:type="dxa"/>
          </w:tcPr>
          <w:p w:rsidRPr="00FD3127" w:rsidR="00D75535" w:rsidP="002A4BD8" w:rsidRDefault="00D75535" w14:paraId="2FCB5E77" w14:textId="48E7D55D">
            <w:pPr>
              <w:spacing w:after="240"/>
              <w:rPr>
                <w:color w:val="595959" w:themeColor="text1" w:themeTint="A6"/>
                <w:szCs w:val="18"/>
              </w:rPr>
            </w:pPr>
            <w:r w:rsidRPr="00FD3127">
              <w:rPr>
                <w:color w:val="595959" w:themeColor="text1" w:themeTint="A6"/>
                <w:szCs w:val="18"/>
              </w:rPr>
              <w:t>Noot</w:t>
            </w:r>
          </w:p>
        </w:tc>
        <w:tc>
          <w:tcPr>
            <w:tcW w:w="6529" w:type="dxa"/>
          </w:tcPr>
          <w:p w:rsidRPr="009F2DA0" w:rsidR="009F2DA0" w:rsidP="009F2DA0" w:rsidRDefault="009F2DA0" w14:paraId="6C5175B7" w14:textId="4359278F">
            <w:pPr>
              <w:spacing w:after="240"/>
              <w:rPr>
                <w:color w:val="595959" w:themeColor="text1" w:themeTint="A6"/>
                <w:szCs w:val="18"/>
              </w:rPr>
            </w:pPr>
            <w:r w:rsidRPr="009F2DA0">
              <w:rPr>
                <w:color w:val="595959" w:themeColor="text1" w:themeTint="A6"/>
                <w:szCs w:val="18"/>
              </w:rPr>
              <w:t>Er gelden EU-regels voor de belasting op alcohol en alcoholhoudende dranken. De regels voor belastingstructuren zijn onlangs gewijzigd, maar de accijnstarieven zijn s</w:t>
            </w:r>
            <w:r>
              <w:rPr>
                <w:color w:val="595959" w:themeColor="text1" w:themeTint="A6"/>
                <w:szCs w:val="18"/>
              </w:rPr>
              <w:t>inds 1992 onveranderd gebleven.</w:t>
            </w:r>
          </w:p>
          <w:p w:rsidRPr="00FD3127" w:rsidR="00D75535" w:rsidP="009F2DA0" w:rsidRDefault="009F2DA0" w14:paraId="27F3CDCE" w14:textId="0C1DDA81">
            <w:pPr>
              <w:spacing w:after="240"/>
              <w:rPr>
                <w:color w:val="595959" w:themeColor="text1" w:themeTint="A6"/>
                <w:szCs w:val="18"/>
              </w:rPr>
            </w:pPr>
            <w:r w:rsidRPr="009F2DA0">
              <w:rPr>
                <w:color w:val="595959" w:themeColor="text1" w:themeTint="A6"/>
                <w:szCs w:val="18"/>
              </w:rPr>
              <w:t>De evaluatie zal nagaan of de accijnstarieven voor alcohol en alcoholhoudende dranken hebben bijgedragen tot de goede werking van de interne markt van de EU. De evaluatie zal de basis vormen voor het geplande initiatief. Voor de eerste helft van 2022 is een openbare raadpleging gepland.</w:t>
            </w:r>
          </w:p>
        </w:tc>
      </w:tr>
    </w:tbl>
    <w:p w:rsidRPr="00FD3127" w:rsidR="00D75535" w:rsidP="006F2511" w:rsidRDefault="00D75535" w14:paraId="1F973E79" w14:textId="77C8D55A">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D3127" w:rsidR="002A4BD8" w:rsidTr="00DF5A2E" w14:paraId="164653D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FD3127" w:rsidR="002A4BD8" w:rsidP="003A21AA" w:rsidRDefault="002A4BD8" w14:paraId="4E937A31" w14:textId="77777777">
            <w:pPr>
              <w:pStyle w:val="Lijstalinea"/>
              <w:numPr>
                <w:ilvl w:val="0"/>
                <w:numId w:val="10"/>
              </w:numPr>
              <w:spacing w:after="240"/>
              <w:ind w:left="312"/>
              <w:rPr>
                <w:color w:val="595959" w:themeColor="text1" w:themeTint="A6"/>
                <w:szCs w:val="18"/>
              </w:rPr>
            </w:pPr>
          </w:p>
        </w:tc>
        <w:tc>
          <w:tcPr>
            <w:tcW w:w="1035" w:type="dxa"/>
          </w:tcPr>
          <w:p w:rsidRPr="00FD3127" w:rsidR="002A4BD8" w:rsidP="003A21AA" w:rsidRDefault="002A4BD8" w14:paraId="0AC39600" w14:textId="77777777">
            <w:pPr>
              <w:spacing w:after="240"/>
              <w:rPr>
                <w:color w:val="595959" w:themeColor="text1" w:themeTint="A6"/>
                <w:szCs w:val="18"/>
              </w:rPr>
            </w:pPr>
            <w:r w:rsidRPr="00FD3127">
              <w:rPr>
                <w:color w:val="595959" w:themeColor="text1" w:themeTint="A6"/>
                <w:szCs w:val="18"/>
              </w:rPr>
              <w:t>Titel</w:t>
            </w:r>
          </w:p>
        </w:tc>
        <w:tc>
          <w:tcPr>
            <w:tcW w:w="6529" w:type="dxa"/>
          </w:tcPr>
          <w:p w:rsidRPr="00FD3127" w:rsidR="002A4BD8" w:rsidP="003A21AA" w:rsidRDefault="00EF12BC" w14:paraId="0C5E3C92" w14:textId="48740711">
            <w:pPr>
              <w:spacing w:after="240"/>
              <w:rPr>
                <w:b/>
                <w:color w:val="595959" w:themeColor="text1" w:themeTint="A6"/>
                <w:szCs w:val="18"/>
              </w:rPr>
            </w:pPr>
            <w:r w:rsidRPr="00FD3127">
              <w:rPr>
                <w:szCs w:val="18"/>
              </w:rPr>
              <w:t>Voorstel voor een BESLUIT VAN DE RAAD betreffende het standpunt dat namens de Europese Unie moet worden ingenomen in de Raad van de Werelddouaneorganisatie ten aanzien van de goedkeuring van een ontwerpwijziging van het huishoudelijk reglement van het Comité voor het geharmoniseerde systeem (GS-comité)</w:t>
            </w:r>
            <w:r w:rsidRPr="00FD3127" w:rsidR="00205E7E">
              <w:rPr>
                <w:szCs w:val="18"/>
              </w:rPr>
              <w:t xml:space="preserve"> </w:t>
            </w:r>
            <w:hyperlink w:history="1" r:id="rId17">
              <w:r w:rsidRPr="00FD3127" w:rsidR="00205E7E">
                <w:rPr>
                  <w:rStyle w:val="Hyperlink"/>
                  <w:szCs w:val="18"/>
                </w:rPr>
                <w:t>COM (2022) 1</w:t>
              </w:r>
              <w:r w:rsidRPr="00FD3127" w:rsidR="00205E7E">
                <w:rPr>
                  <w:rStyle w:val="Hyperlink"/>
                  <w:szCs w:val="18"/>
                </w:rPr>
                <w:t>8</w:t>
              </w:r>
              <w:r w:rsidRPr="00FD3127" w:rsidR="00205E7E">
                <w:rPr>
                  <w:rStyle w:val="Hyperlink"/>
                  <w:szCs w:val="18"/>
                </w:rPr>
                <w:t>6</w:t>
              </w:r>
            </w:hyperlink>
          </w:p>
        </w:tc>
      </w:tr>
      <w:tr w:rsidRPr="00FD3127" w:rsidR="002A4BD8" w:rsidTr="00DF5A2E" w14:paraId="72F0091A" w14:textId="77777777">
        <w:tc>
          <w:tcPr>
            <w:tcW w:w="421" w:type="dxa"/>
            <w:vMerge/>
            <w:tcBorders>
              <w:top w:val="nil"/>
              <w:bottom w:val="single" w:color="D9D9D9" w:themeColor="background1" w:themeShade="D9" w:sz="4" w:space="0"/>
            </w:tcBorders>
            <w:shd w:val="clear" w:color="auto" w:fill="F2F2F2" w:themeFill="background1" w:themeFillShade="F2"/>
          </w:tcPr>
          <w:p w:rsidRPr="00FD3127" w:rsidR="002A4BD8" w:rsidP="003A21AA" w:rsidRDefault="002A4BD8" w14:paraId="230BAF7C" w14:textId="77777777">
            <w:pPr>
              <w:spacing w:after="240"/>
              <w:rPr>
                <w:szCs w:val="18"/>
              </w:rPr>
            </w:pPr>
          </w:p>
        </w:tc>
        <w:tc>
          <w:tcPr>
            <w:tcW w:w="1035" w:type="dxa"/>
          </w:tcPr>
          <w:p w:rsidRPr="00FD3127" w:rsidR="002A4BD8" w:rsidP="003A21AA" w:rsidRDefault="002A4BD8" w14:paraId="1257E0FF" w14:textId="77777777">
            <w:pPr>
              <w:spacing w:after="240"/>
              <w:rPr>
                <w:szCs w:val="18"/>
              </w:rPr>
            </w:pPr>
            <w:r w:rsidRPr="00FD3127">
              <w:rPr>
                <w:szCs w:val="18"/>
              </w:rPr>
              <w:t>Voorstel</w:t>
            </w:r>
          </w:p>
        </w:tc>
        <w:tc>
          <w:tcPr>
            <w:tcW w:w="6529" w:type="dxa"/>
          </w:tcPr>
          <w:p w:rsidRPr="00FD3127" w:rsidR="002A4BD8" w:rsidP="003A21AA" w:rsidRDefault="00147A89" w14:paraId="505F4BE9" w14:textId="0314DABD">
            <w:pPr>
              <w:spacing w:after="240"/>
              <w:rPr>
                <w:szCs w:val="18"/>
              </w:rPr>
            </w:pPr>
            <w:r w:rsidRPr="00FE361A">
              <w:rPr>
                <w:szCs w:val="18"/>
              </w:rPr>
              <w:t>Voor kennisgeving aannemen</w:t>
            </w:r>
          </w:p>
        </w:tc>
      </w:tr>
      <w:tr w:rsidRPr="00FD3127" w:rsidR="002A4BD8" w:rsidTr="00DF5A2E" w14:paraId="34966D5F" w14:textId="77777777">
        <w:tc>
          <w:tcPr>
            <w:tcW w:w="421" w:type="dxa"/>
            <w:vMerge/>
            <w:tcBorders>
              <w:top w:val="nil"/>
              <w:bottom w:val="single" w:color="D9D9D9" w:themeColor="background1" w:themeShade="D9" w:sz="4" w:space="0"/>
            </w:tcBorders>
            <w:shd w:val="clear" w:color="auto" w:fill="F2F2F2" w:themeFill="background1" w:themeFillShade="F2"/>
          </w:tcPr>
          <w:p w:rsidRPr="00FD3127" w:rsidR="002A4BD8" w:rsidP="003A21AA" w:rsidRDefault="002A4BD8" w14:paraId="7D9A1404" w14:textId="77777777">
            <w:pPr>
              <w:spacing w:after="240"/>
              <w:rPr>
                <w:color w:val="595959" w:themeColor="text1" w:themeTint="A6"/>
                <w:szCs w:val="18"/>
              </w:rPr>
            </w:pPr>
          </w:p>
        </w:tc>
        <w:tc>
          <w:tcPr>
            <w:tcW w:w="1035" w:type="dxa"/>
          </w:tcPr>
          <w:p w:rsidRPr="00FD3127" w:rsidR="002A4BD8" w:rsidP="003A21AA" w:rsidRDefault="002A4BD8" w14:paraId="1AFEDB1C" w14:textId="77777777">
            <w:pPr>
              <w:spacing w:after="240"/>
              <w:rPr>
                <w:color w:val="595959" w:themeColor="text1" w:themeTint="A6"/>
                <w:szCs w:val="18"/>
              </w:rPr>
            </w:pPr>
            <w:r w:rsidRPr="00FD3127">
              <w:rPr>
                <w:color w:val="595959" w:themeColor="text1" w:themeTint="A6"/>
                <w:szCs w:val="18"/>
              </w:rPr>
              <w:t>Noot</w:t>
            </w:r>
          </w:p>
        </w:tc>
        <w:tc>
          <w:tcPr>
            <w:tcW w:w="6529" w:type="dxa"/>
          </w:tcPr>
          <w:p w:rsidR="009F2DA0" w:rsidP="009F2DA0" w:rsidRDefault="009F2DA0" w14:paraId="7FD41DAC" w14:textId="77777777">
            <w:pPr>
              <w:spacing w:after="240"/>
              <w:rPr>
                <w:color w:val="595959" w:themeColor="text1" w:themeTint="A6"/>
                <w:szCs w:val="18"/>
              </w:rPr>
            </w:pPr>
            <w:r w:rsidRPr="009F2DA0">
              <w:rPr>
                <w:color w:val="595959" w:themeColor="text1" w:themeTint="A6"/>
                <w:szCs w:val="18"/>
              </w:rPr>
              <w:t>Dit voorstel betreft het besluit tot bepaling van het namens de Unie in de Raad van de Werelddouaneorganisatie in te nemen standpunt met betrekking tot de voorgenomen goedkeuring van een ontwerpwijziging op het huishoudelijk reglement van het Comité voor het geharmoniseerde systeem (GS-comité).</w:t>
            </w:r>
            <w:r>
              <w:rPr>
                <w:color w:val="595959" w:themeColor="text1" w:themeTint="A6"/>
                <w:szCs w:val="18"/>
              </w:rPr>
              <w:t xml:space="preserve"> </w:t>
            </w:r>
          </w:p>
          <w:p w:rsidRPr="00FD3127" w:rsidR="002A4BD8" w:rsidP="009F2DA0" w:rsidRDefault="009F2DA0" w14:paraId="3E288C2D" w14:textId="556D0E8B">
            <w:pPr>
              <w:spacing w:after="240"/>
              <w:rPr>
                <w:color w:val="595959" w:themeColor="text1" w:themeTint="A6"/>
                <w:szCs w:val="18"/>
              </w:rPr>
            </w:pPr>
            <w:r w:rsidRPr="009F2DA0">
              <w:rPr>
                <w:color w:val="595959" w:themeColor="text1" w:themeTint="A6"/>
                <w:szCs w:val="18"/>
              </w:rPr>
              <w:lastRenderedPageBreak/>
              <w:t>Het Internationaal Verdrag betreffende het geharmoniseerde systeem inzake de omschrijving en de codering van goederen</w:t>
            </w:r>
            <w:r>
              <w:rPr>
                <w:color w:val="595959" w:themeColor="text1" w:themeTint="A6"/>
                <w:szCs w:val="18"/>
              </w:rPr>
              <w:t xml:space="preserve"> </w:t>
            </w:r>
            <w:r w:rsidRPr="009F2DA0">
              <w:rPr>
                <w:color w:val="595959" w:themeColor="text1" w:themeTint="A6"/>
                <w:szCs w:val="18"/>
              </w:rPr>
              <w:t>heeft tot doel de internationale handel alsook de verzameling, vergelijking en analyse van statistieken, in het bijzonder die betreffende de buitenlandse handel, te vergemakkelijken</w:t>
            </w:r>
            <w:r>
              <w:rPr>
                <w:color w:val="595959" w:themeColor="text1" w:themeTint="A6"/>
                <w:szCs w:val="18"/>
              </w:rPr>
              <w:t>.</w:t>
            </w:r>
          </w:p>
        </w:tc>
      </w:tr>
    </w:tbl>
    <w:p w:rsidRPr="00FD3127" w:rsidR="002A4BD8" w:rsidP="002A4BD8" w:rsidRDefault="002A4BD8" w14:paraId="09EE92E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D3127" w:rsidR="002A4BD8" w:rsidTr="00DF5A2E" w14:paraId="7D412CD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FD3127" w:rsidR="002A4BD8" w:rsidP="003A21AA" w:rsidRDefault="002A4BD8" w14:paraId="227A7F73" w14:textId="77777777">
            <w:pPr>
              <w:pStyle w:val="Lijstalinea"/>
              <w:numPr>
                <w:ilvl w:val="0"/>
                <w:numId w:val="10"/>
              </w:numPr>
              <w:spacing w:after="240"/>
              <w:ind w:left="312"/>
              <w:rPr>
                <w:color w:val="595959" w:themeColor="text1" w:themeTint="A6"/>
                <w:szCs w:val="18"/>
              </w:rPr>
            </w:pPr>
          </w:p>
        </w:tc>
        <w:tc>
          <w:tcPr>
            <w:tcW w:w="1035" w:type="dxa"/>
          </w:tcPr>
          <w:p w:rsidRPr="00FD3127" w:rsidR="002A4BD8" w:rsidP="003A21AA" w:rsidRDefault="002A4BD8" w14:paraId="50781506" w14:textId="77777777">
            <w:pPr>
              <w:spacing w:after="240"/>
              <w:rPr>
                <w:color w:val="595959" w:themeColor="text1" w:themeTint="A6"/>
                <w:szCs w:val="18"/>
              </w:rPr>
            </w:pPr>
            <w:r w:rsidRPr="00FD3127">
              <w:rPr>
                <w:color w:val="595959" w:themeColor="text1" w:themeTint="A6"/>
                <w:szCs w:val="18"/>
              </w:rPr>
              <w:t>Titel</w:t>
            </w:r>
          </w:p>
        </w:tc>
        <w:tc>
          <w:tcPr>
            <w:tcW w:w="6529" w:type="dxa"/>
          </w:tcPr>
          <w:p w:rsidRPr="00FD3127" w:rsidR="002A4BD8" w:rsidP="00505FDD" w:rsidRDefault="00205E7E" w14:paraId="29CB7480" w14:textId="55B670F6">
            <w:pPr>
              <w:spacing w:after="240"/>
              <w:rPr>
                <w:b/>
                <w:color w:val="595959" w:themeColor="text1" w:themeTint="A6"/>
                <w:szCs w:val="18"/>
              </w:rPr>
            </w:pPr>
            <w:r w:rsidRPr="00FD3127">
              <w:rPr>
                <w:szCs w:val="18"/>
              </w:rPr>
              <w:t xml:space="preserve">Aanbeveling voor een BESLUIT VAN DE RAAD waarbij de Commissie wordt gemachtigd onderhandelingen te openen om de overeenkomst tussen de Europese Unie en het Koninkrijk Noorwegen betreffende administratieve samenwerking, bestrijding van fraude en invordering van schuldvorderingen op het gebied van de btw te wijzigen </w:t>
            </w:r>
            <w:hyperlink w:history="1" r:id="rId18">
              <w:r w:rsidRPr="00FD3127">
                <w:rPr>
                  <w:rStyle w:val="Hyperlink"/>
                  <w:szCs w:val="18"/>
                </w:rPr>
                <w:t xml:space="preserve">COM (2022) </w:t>
              </w:r>
              <w:r w:rsidRPr="00FD3127">
                <w:rPr>
                  <w:rStyle w:val="Hyperlink"/>
                  <w:szCs w:val="18"/>
                </w:rPr>
                <w:t>1</w:t>
              </w:r>
              <w:r w:rsidRPr="00FD3127">
                <w:rPr>
                  <w:rStyle w:val="Hyperlink"/>
                  <w:szCs w:val="18"/>
                </w:rPr>
                <w:t>66</w:t>
              </w:r>
            </w:hyperlink>
          </w:p>
        </w:tc>
      </w:tr>
      <w:tr w:rsidRPr="00FD3127" w:rsidR="002A4BD8" w:rsidTr="00DF5A2E" w14:paraId="166CD034" w14:textId="77777777">
        <w:tc>
          <w:tcPr>
            <w:tcW w:w="421" w:type="dxa"/>
            <w:vMerge/>
            <w:tcBorders>
              <w:top w:val="nil"/>
              <w:bottom w:val="single" w:color="D9D9D9" w:themeColor="background1" w:themeShade="D9" w:sz="4" w:space="0"/>
            </w:tcBorders>
            <w:shd w:val="clear" w:color="auto" w:fill="F2F2F2" w:themeFill="background1" w:themeFillShade="F2"/>
          </w:tcPr>
          <w:p w:rsidRPr="00FD3127" w:rsidR="002A4BD8" w:rsidP="003A21AA" w:rsidRDefault="002A4BD8" w14:paraId="4862F65F" w14:textId="77777777">
            <w:pPr>
              <w:spacing w:after="240"/>
              <w:rPr>
                <w:szCs w:val="18"/>
              </w:rPr>
            </w:pPr>
          </w:p>
        </w:tc>
        <w:tc>
          <w:tcPr>
            <w:tcW w:w="1035" w:type="dxa"/>
          </w:tcPr>
          <w:p w:rsidRPr="00FD3127" w:rsidR="002A4BD8" w:rsidP="003A21AA" w:rsidRDefault="002A4BD8" w14:paraId="17927D7F" w14:textId="77777777">
            <w:pPr>
              <w:spacing w:after="240"/>
              <w:rPr>
                <w:szCs w:val="18"/>
              </w:rPr>
            </w:pPr>
            <w:r w:rsidRPr="00FD3127">
              <w:rPr>
                <w:szCs w:val="18"/>
              </w:rPr>
              <w:t>Voorstel</w:t>
            </w:r>
          </w:p>
        </w:tc>
        <w:tc>
          <w:tcPr>
            <w:tcW w:w="6529" w:type="dxa"/>
          </w:tcPr>
          <w:p w:rsidRPr="00FD3127" w:rsidR="002A4BD8" w:rsidP="003A21AA" w:rsidRDefault="00147A89" w14:paraId="69E52296" w14:textId="7E1DE586">
            <w:pPr>
              <w:spacing w:after="240"/>
              <w:rPr>
                <w:szCs w:val="18"/>
              </w:rPr>
            </w:pPr>
            <w:r w:rsidRPr="00FE361A">
              <w:rPr>
                <w:szCs w:val="18"/>
              </w:rPr>
              <w:t>Voor kennisgeving aannemen</w:t>
            </w:r>
          </w:p>
        </w:tc>
      </w:tr>
      <w:tr w:rsidRPr="00FD3127" w:rsidR="002A4BD8" w:rsidTr="00DF5A2E" w14:paraId="4A4F17E1" w14:textId="77777777">
        <w:tc>
          <w:tcPr>
            <w:tcW w:w="421" w:type="dxa"/>
            <w:vMerge/>
            <w:tcBorders>
              <w:top w:val="nil"/>
              <w:bottom w:val="single" w:color="D9D9D9" w:themeColor="background1" w:themeShade="D9" w:sz="4" w:space="0"/>
            </w:tcBorders>
            <w:shd w:val="clear" w:color="auto" w:fill="F2F2F2" w:themeFill="background1" w:themeFillShade="F2"/>
          </w:tcPr>
          <w:p w:rsidRPr="00FD3127" w:rsidR="002A4BD8" w:rsidP="003A21AA" w:rsidRDefault="002A4BD8" w14:paraId="677C0A18" w14:textId="77777777">
            <w:pPr>
              <w:spacing w:after="240"/>
              <w:rPr>
                <w:color w:val="595959" w:themeColor="text1" w:themeTint="A6"/>
                <w:szCs w:val="18"/>
              </w:rPr>
            </w:pPr>
          </w:p>
        </w:tc>
        <w:tc>
          <w:tcPr>
            <w:tcW w:w="1035" w:type="dxa"/>
          </w:tcPr>
          <w:p w:rsidRPr="00FD3127" w:rsidR="002A4BD8" w:rsidP="003A21AA" w:rsidRDefault="002A4BD8" w14:paraId="1C9C2532" w14:textId="77777777">
            <w:pPr>
              <w:spacing w:after="240"/>
              <w:rPr>
                <w:color w:val="595959" w:themeColor="text1" w:themeTint="A6"/>
                <w:szCs w:val="18"/>
              </w:rPr>
            </w:pPr>
            <w:r w:rsidRPr="00FD3127">
              <w:rPr>
                <w:color w:val="595959" w:themeColor="text1" w:themeTint="A6"/>
                <w:szCs w:val="18"/>
              </w:rPr>
              <w:t>Noot</w:t>
            </w:r>
          </w:p>
        </w:tc>
        <w:tc>
          <w:tcPr>
            <w:tcW w:w="6529" w:type="dxa"/>
          </w:tcPr>
          <w:p w:rsidRPr="00FD3127" w:rsidR="002A4BD8" w:rsidP="009F2DA0" w:rsidRDefault="009F2DA0" w14:paraId="2D4BA6EA" w14:textId="0776BE6D">
            <w:pPr>
              <w:spacing w:after="240"/>
              <w:rPr>
                <w:color w:val="595959" w:themeColor="text1" w:themeTint="A6"/>
                <w:szCs w:val="18"/>
              </w:rPr>
            </w:pPr>
            <w:r w:rsidRPr="009F2DA0">
              <w:rPr>
                <w:color w:val="595959" w:themeColor="text1" w:themeTint="A6"/>
                <w:szCs w:val="18"/>
              </w:rPr>
              <w:t>De overeenkomst tussen de Europese Unie en het Koninkrijk Noorwegen (hierna “Noorwegen” genoemd) betreffende administratieve samenwerking, bestrijding van fraude en invordering van schuldvorderingen op het gebied van de btw (hierna “de overeenkomst” genoemd) is in september 2018 in werking getreden.</w:t>
            </w:r>
            <w:r>
              <w:rPr>
                <w:color w:val="595959" w:themeColor="text1" w:themeTint="A6"/>
                <w:szCs w:val="18"/>
              </w:rPr>
              <w:t xml:space="preserve"> </w:t>
            </w:r>
            <w:r w:rsidRPr="009F2DA0">
              <w:rPr>
                <w:color w:val="595959" w:themeColor="text1" w:themeTint="A6"/>
                <w:szCs w:val="18"/>
              </w:rPr>
              <w:t>Dankzij de overeenkomst kunnen de EU-lidstaten en Noorwegen op dezelfde manier samenwerken als de lidstaten dat krachtens Verordening (EU) nr. 904/2010 1 van de Raad en Richtlijn 2010/24/EU 2 van de Raad doen bij de bestrijding van btw-fraude, en elkaar bijstand verlenen bij de invordering van btw-schuldvorderingen.</w:t>
            </w:r>
            <w:r>
              <w:rPr>
                <w:color w:val="595959" w:themeColor="text1" w:themeTint="A6"/>
                <w:szCs w:val="18"/>
              </w:rPr>
              <w:t xml:space="preserve"> Deze verordening is in de tussentijd meerder keren gewijzigd. </w:t>
            </w:r>
            <w:r w:rsidRPr="009F2DA0">
              <w:rPr>
                <w:color w:val="595959" w:themeColor="text1" w:themeTint="A6"/>
                <w:szCs w:val="18"/>
              </w:rPr>
              <w:t xml:space="preserve">Door de overeenkomst te wijzigen en </w:t>
            </w:r>
            <w:r>
              <w:rPr>
                <w:color w:val="595959" w:themeColor="text1" w:themeTint="A6"/>
                <w:szCs w:val="18"/>
              </w:rPr>
              <w:t>inmiddels ingevoerde</w:t>
            </w:r>
            <w:r w:rsidRPr="009F2DA0">
              <w:rPr>
                <w:color w:val="595959" w:themeColor="text1" w:themeTint="A6"/>
                <w:szCs w:val="18"/>
              </w:rPr>
              <w:t xml:space="preserve"> nieuwe instrumenten erin op te nemen, zullen de samenwerking en de fraudebestrijding worden versterkt</w:t>
            </w:r>
            <w:r>
              <w:rPr>
                <w:color w:val="595959" w:themeColor="text1" w:themeTint="A6"/>
                <w:szCs w:val="18"/>
              </w:rPr>
              <w:t>.</w:t>
            </w:r>
            <w:bookmarkStart w:name="_GoBack" w:id="0"/>
            <w:bookmarkEnd w:id="0"/>
          </w:p>
        </w:tc>
      </w:tr>
    </w:tbl>
    <w:p w:rsidRPr="00FD3127" w:rsidR="002A4BD8" w:rsidP="002A4BD8" w:rsidRDefault="002A4BD8" w14:paraId="5753E768" w14:textId="77777777">
      <w:pPr>
        <w:rPr>
          <w:szCs w:val="18"/>
        </w:rPr>
      </w:pPr>
    </w:p>
    <w:p w:rsidRPr="00FD3127" w:rsidR="006E5214" w:rsidP="002A4BD8" w:rsidRDefault="006E5214" w14:paraId="354AC484" w14:textId="77777777">
      <w:pPr>
        <w:rPr>
          <w:szCs w:val="18"/>
        </w:rPr>
      </w:pPr>
    </w:p>
    <w:sectPr w:rsidRPr="00FD3127" w:rsidR="006E5214" w:rsidSect="00BF62AD">
      <w:headerReference w:type="default" r:id="rId19"/>
      <w:footerReference w:type="default" r:id="rId20"/>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050D24" w:rsidRDefault="00050D24">
      <w:r>
        <w:separator/>
      </w:r>
    </w:p>
  </w:endnote>
  <w:endnote w:type="continuationSeparator" w:id="0">
    <w:p w14:paraId="6411253A" w14:textId="77777777" w:rsidR="00050D24" w:rsidRDefault="000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3078338" w:rsidR="00A42CDC" w:rsidRDefault="00F407B0">
                          <w:pPr>
                            <w:pStyle w:val="Huisstijl-Paginanummer"/>
                          </w:pPr>
                          <w:r>
                            <w:fldChar w:fldCharType="begin"/>
                          </w:r>
                          <w:r>
                            <w:instrText xml:space="preserve"> PAGE  \* Arabic  \* MERGEFORMAT </w:instrText>
                          </w:r>
                          <w:r>
                            <w:fldChar w:fldCharType="separate"/>
                          </w:r>
                          <w:r w:rsidR="009F2DA0">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13078338" w:rsidR="00A42CDC" w:rsidRDefault="00F407B0">
                    <w:pPr>
                      <w:pStyle w:val="Huisstijl-Paginanummer"/>
                    </w:pPr>
                    <w:r>
                      <w:fldChar w:fldCharType="begin"/>
                    </w:r>
                    <w:r>
                      <w:instrText xml:space="preserve"> PAGE  \* Arabic  \* MERGEFORMAT </w:instrText>
                    </w:r>
                    <w:r>
                      <w:fldChar w:fldCharType="separate"/>
                    </w:r>
                    <w:r w:rsidR="009F2DA0">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7CF25898" w:rsidR="00A42CDC" w:rsidRDefault="00F407B0">
                          <w:pPr>
                            <w:pStyle w:val="Huisstijl-Paginanummer"/>
                          </w:pPr>
                          <w:r>
                            <w:fldChar w:fldCharType="begin"/>
                          </w:r>
                          <w:r>
                            <w:instrText xml:space="preserve"> PAGE  \* Arabic  \* MERGEFORMAT </w:instrText>
                          </w:r>
                          <w:r>
                            <w:fldChar w:fldCharType="separate"/>
                          </w:r>
                          <w:r w:rsidR="009F2DA0">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7CF25898" w:rsidR="00A42CDC" w:rsidRDefault="00F407B0">
                    <w:pPr>
                      <w:pStyle w:val="Huisstijl-Paginanummer"/>
                    </w:pPr>
                    <w:r>
                      <w:fldChar w:fldCharType="begin"/>
                    </w:r>
                    <w:r>
                      <w:instrText xml:space="preserve"> PAGE  \* Arabic  \* MERGEFORMAT </w:instrText>
                    </w:r>
                    <w:r>
                      <w:fldChar w:fldCharType="separate"/>
                    </w:r>
                    <w:r w:rsidR="009F2DA0">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050D24" w:rsidRDefault="00050D24">
      <w:r>
        <w:separator/>
      </w:r>
    </w:p>
  </w:footnote>
  <w:footnote w:type="continuationSeparator" w:id="0">
    <w:p w14:paraId="7E9C8CFB" w14:textId="77777777" w:rsidR="00050D24" w:rsidRDefault="00050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0B2F"/>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47A89"/>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3FE9"/>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05E7E"/>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5FDD"/>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3074"/>
    <w:rsid w:val="00773C33"/>
    <w:rsid w:val="00776A66"/>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9F2DA0"/>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54F62"/>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485F"/>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B74"/>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12BC"/>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3127"/>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19638">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66626012">
      <w:bodyDiv w:val="1"/>
      <w:marLeft w:val="0"/>
      <w:marRight w:val="0"/>
      <w:marTop w:val="0"/>
      <w:marBottom w:val="0"/>
      <w:divBdr>
        <w:top w:val="none" w:sz="0" w:space="0" w:color="auto"/>
        <w:left w:val="none" w:sz="0" w:space="0" w:color="auto"/>
        <w:bottom w:val="none" w:sz="0" w:space="0" w:color="auto"/>
        <w:right w:val="none" w:sz="0" w:space="0" w:color="auto"/>
      </w:divBdr>
    </w:div>
    <w:div w:id="1387951797">
      <w:bodyDiv w:val="1"/>
      <w:marLeft w:val="0"/>
      <w:marRight w:val="0"/>
      <w:marTop w:val="0"/>
      <w:marBottom w:val="0"/>
      <w:divBdr>
        <w:top w:val="none" w:sz="0" w:space="0" w:color="auto"/>
        <w:left w:val="none" w:sz="0" w:space="0" w:color="auto"/>
        <w:bottom w:val="none" w:sz="0" w:space="0" w:color="auto"/>
        <w:right w:val="none" w:sz="0" w:space="0" w:color="auto"/>
      </w:divBdr>
    </w:div>
    <w:div w:id="1473793844">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eur-lex.europa.eu/legal-content/NL/TXT/?uri=CELEX%3A52022PC0166&amp;qid=1651148315030" TargetMode="External" Id="rId18"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eur-lex.europa.eu/legal-content/NL/TXT/?uri=CELEX%3A52022PC0186&amp;qid=1651148042046" TargetMode="External" Id="rId17" /><Relationship Type="http://schemas.openxmlformats.org/officeDocument/2006/relationships/hyperlink" Target="https://ec.europa.eu/info/law/better-regulation/have-your-say/initiatives/13249-Accijns-op-alcohol-en-alcoholhoudende-dranken-evaluatie-van-accijnstarieven-en-belastingstructuren_nl" TargetMode="External" Id="rId16" /><Relationship Type="http://schemas.openxmlformats.org/officeDocument/2006/relationships/footer" Target="footer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lex.europa.eu/legal-content/NL/TXT/?uri=CELEX%3A52022PC0183&amp;qid=1651147807719" TargetMode="Externa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webSettings" Target="webSettings.xml" Id="rId9" /><Relationship Type="http://schemas.openxmlformats.org/officeDocument/2006/relationships/hyperlink" Target="https://eur-lex.europa.eu/legal-content/NL/TXT/?uri=CELEX%3A52022PC0184&amp;qid=1650961752866"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1041</ap:Words>
  <ap:Characters>5730</ap:Characters>
  <ap:DocSecurity>0</ap:DocSecurity>
  <ap:Lines>47</ap:Lines>
  <ap:Paragraphs>13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2022-04-20T07:32:00.0000000Z</dcterms:created>
  <dcterms:modified xsi:type="dcterms:W3CDTF">2022-05-06T11:47:00.0000000Z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0x01010026E01B0BEF88304AA3AE3E5D8A7C37D7</vt:lpwstr>
  </property>
</Properties>
</file>