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9D8" w:rsidP="00FB36E8" w:rsidRDefault="006539D8" w14:paraId="00ACD3EA" w14:textId="138E15C2">
      <w:pPr>
        <w:spacing w:line="240" w:lineRule="atLeast"/>
        <w:rPr>
          <w:b/>
          <w:sz w:val="32"/>
          <w:szCs w:val="32"/>
          <w:u w:val="single"/>
        </w:rPr>
      </w:pPr>
      <w:bookmarkStart w:name="_GoBack" w:id="0"/>
      <w:bookmarkEnd w:id="0"/>
      <w:r>
        <w:rPr>
          <w:b/>
          <w:sz w:val="32"/>
          <w:szCs w:val="32"/>
          <w:u w:val="single"/>
        </w:rPr>
        <w:t>Kwartaalrapportage – Q</w:t>
      </w:r>
      <w:r w:rsidR="00187BBB">
        <w:rPr>
          <w:b/>
          <w:sz w:val="32"/>
          <w:szCs w:val="32"/>
          <w:u w:val="single"/>
        </w:rPr>
        <w:t>1</w:t>
      </w:r>
      <w:r>
        <w:rPr>
          <w:b/>
          <w:sz w:val="32"/>
          <w:szCs w:val="32"/>
          <w:u w:val="single"/>
        </w:rPr>
        <w:t xml:space="preserve"> 202</w:t>
      </w:r>
      <w:r w:rsidR="00187BBB">
        <w:rPr>
          <w:b/>
          <w:sz w:val="32"/>
          <w:szCs w:val="32"/>
          <w:u w:val="single"/>
        </w:rPr>
        <w:t>2</w:t>
      </w:r>
    </w:p>
    <w:p w:rsidR="006539D8" w:rsidP="00FB36E8" w:rsidRDefault="006539D8" w14:paraId="7E312D6A" w14:textId="77777777">
      <w:pPr>
        <w:spacing w:line="240" w:lineRule="atLeast"/>
        <w:rPr>
          <w:b/>
          <w:sz w:val="32"/>
          <w:szCs w:val="32"/>
          <w:u w:val="single"/>
        </w:rPr>
      </w:pPr>
    </w:p>
    <w:p w:rsidRPr="00767A0E" w:rsidR="00FB36E8" w:rsidP="00FB36E8" w:rsidRDefault="00FB36E8" w14:paraId="3712DC0C" w14:textId="41AF646F">
      <w:pPr>
        <w:spacing w:line="240" w:lineRule="atLeast"/>
        <w:rPr>
          <w:b/>
          <w:sz w:val="32"/>
          <w:szCs w:val="32"/>
          <w:u w:val="single"/>
        </w:rPr>
      </w:pPr>
      <w:r>
        <w:rPr>
          <w:b/>
          <w:sz w:val="32"/>
          <w:szCs w:val="32"/>
          <w:u w:val="single"/>
        </w:rPr>
        <w:t>Milieu</w:t>
      </w:r>
      <w:r w:rsidRPr="00767A0E">
        <w:rPr>
          <w:b/>
          <w:sz w:val="32"/>
          <w:szCs w:val="32"/>
          <w:u w:val="single"/>
        </w:rPr>
        <w:t>dossiers</w:t>
      </w:r>
    </w:p>
    <w:p w:rsidRPr="00766C61" w:rsidR="00FB36E8" w:rsidP="00FB36E8" w:rsidRDefault="00FB36E8" w14:paraId="699088FB" w14:textId="77777777">
      <w:pPr>
        <w:spacing w:line="240" w:lineRule="atLeast"/>
        <w:rPr>
          <w:b/>
        </w:rPr>
      </w:pPr>
    </w:p>
    <w:tbl>
      <w:tblPr>
        <w:tblStyle w:val="TableGrid"/>
        <w:tblW w:w="9351" w:type="dxa"/>
        <w:tblLayout w:type="fixed"/>
        <w:tblLook w:val="04A0" w:firstRow="1" w:lastRow="0" w:firstColumn="1" w:lastColumn="0" w:noHBand="0" w:noVBand="1"/>
      </w:tblPr>
      <w:tblGrid>
        <w:gridCol w:w="1838"/>
        <w:gridCol w:w="1276"/>
        <w:gridCol w:w="3118"/>
        <w:gridCol w:w="3119"/>
      </w:tblGrid>
      <w:tr w:rsidRPr="00766C61" w:rsidR="00FB36E8" w:rsidTr="00CA72BC" w14:paraId="4C189CBA" w14:textId="77777777">
        <w:tc>
          <w:tcPr>
            <w:tcW w:w="1838" w:type="dxa"/>
            <w:shd w:val="clear" w:color="auto" w:fill="F7CAAC" w:themeFill="accent2" w:themeFillTint="66"/>
          </w:tcPr>
          <w:p w:rsidRPr="00766C61" w:rsidR="00FB36E8" w:rsidP="00CA72BC" w:rsidRDefault="00FB36E8" w14:paraId="68E3F01B" w14:textId="77777777">
            <w:pPr>
              <w:spacing w:line="240" w:lineRule="atLeast"/>
              <w:rPr>
                <w:b/>
              </w:rPr>
            </w:pPr>
            <w:r w:rsidRPr="00766C61">
              <w:rPr>
                <w:b/>
              </w:rPr>
              <w:t>Titel</w:t>
            </w:r>
          </w:p>
        </w:tc>
        <w:tc>
          <w:tcPr>
            <w:tcW w:w="1276" w:type="dxa"/>
            <w:shd w:val="clear" w:color="auto" w:fill="F7CAAC" w:themeFill="accent2" w:themeFillTint="66"/>
          </w:tcPr>
          <w:p w:rsidRPr="00766C61" w:rsidR="00FB36E8" w:rsidP="00CA72BC" w:rsidRDefault="00FB36E8" w14:paraId="0B7F1D5E" w14:textId="77777777">
            <w:pPr>
              <w:spacing w:line="240" w:lineRule="atLeast"/>
              <w:rPr>
                <w:b/>
              </w:rPr>
            </w:pPr>
            <w:r w:rsidRPr="00766C61">
              <w:rPr>
                <w:b/>
              </w:rPr>
              <w:t>Document nummer COM</w:t>
            </w:r>
          </w:p>
        </w:tc>
        <w:tc>
          <w:tcPr>
            <w:tcW w:w="3118" w:type="dxa"/>
            <w:shd w:val="clear" w:color="auto" w:fill="F7CAAC" w:themeFill="accent2" w:themeFillTint="66"/>
          </w:tcPr>
          <w:p w:rsidRPr="00766C61" w:rsidR="00FB36E8" w:rsidP="00CA72BC" w:rsidRDefault="00FB36E8" w14:paraId="269665A8" w14:textId="77777777">
            <w:pPr>
              <w:spacing w:line="240" w:lineRule="atLeast"/>
              <w:rPr>
                <w:b/>
              </w:rPr>
            </w:pPr>
            <w:r w:rsidRPr="00766C61">
              <w:rPr>
                <w:b/>
              </w:rPr>
              <w:t>Korte beschrijving</w:t>
            </w:r>
          </w:p>
        </w:tc>
        <w:tc>
          <w:tcPr>
            <w:tcW w:w="3119" w:type="dxa"/>
            <w:shd w:val="clear" w:color="auto" w:fill="F7CAAC" w:themeFill="accent2" w:themeFillTint="66"/>
          </w:tcPr>
          <w:p w:rsidRPr="00766C61" w:rsidR="00FB36E8" w:rsidP="00CA72BC" w:rsidRDefault="00FB36E8" w14:paraId="72C6B4F2" w14:textId="77777777">
            <w:pPr>
              <w:spacing w:line="240" w:lineRule="atLeast"/>
              <w:rPr>
                <w:b/>
              </w:rPr>
            </w:pPr>
            <w:r w:rsidRPr="00766C61">
              <w:rPr>
                <w:b/>
              </w:rPr>
              <w:t>Stand van zaken*</w:t>
            </w:r>
          </w:p>
        </w:tc>
      </w:tr>
      <w:tr w:rsidRPr="00766C61" w:rsidR="00FB36E8" w:rsidTr="00CA72BC" w14:paraId="167DFE9B" w14:textId="77777777">
        <w:trPr>
          <w:trHeight w:val="1822"/>
        </w:trPr>
        <w:tc>
          <w:tcPr>
            <w:tcW w:w="1838" w:type="dxa"/>
          </w:tcPr>
          <w:p w:rsidR="00FB36E8" w:rsidP="00CA72BC" w:rsidRDefault="00FB36E8" w14:paraId="67416C4D" w14:textId="77777777">
            <w:pPr>
              <w:spacing w:line="240" w:lineRule="atLeast"/>
            </w:pPr>
            <w:r w:rsidRPr="00766C61">
              <w:t>Herziening monitoring, registratie en verificatie van broeikasgas</w:t>
            </w:r>
          </w:p>
          <w:p w:rsidRPr="00766C61" w:rsidR="00FB36E8" w:rsidP="00CA72BC" w:rsidRDefault="00FB36E8" w14:paraId="53E4B2EB" w14:textId="77777777">
            <w:pPr>
              <w:spacing w:line="240" w:lineRule="atLeast"/>
            </w:pPr>
            <w:r w:rsidRPr="00766C61">
              <w:t>emissies maritiem vervoer (MRV)</w:t>
            </w:r>
          </w:p>
        </w:tc>
        <w:tc>
          <w:tcPr>
            <w:tcW w:w="1276" w:type="dxa"/>
          </w:tcPr>
          <w:p w:rsidRPr="00766C61" w:rsidR="00FB36E8" w:rsidP="00CA72BC" w:rsidRDefault="00FB36E8" w14:paraId="07B0BF43" w14:textId="77777777">
            <w:pPr>
              <w:spacing w:line="240" w:lineRule="atLeast"/>
            </w:pPr>
            <w:r w:rsidRPr="00766C61">
              <w:t>(2019) 38</w:t>
            </w:r>
          </w:p>
        </w:tc>
        <w:tc>
          <w:tcPr>
            <w:tcW w:w="3118" w:type="dxa"/>
          </w:tcPr>
          <w:p w:rsidRPr="00766C61" w:rsidR="00FB36E8" w:rsidP="00CA72BC" w:rsidRDefault="00FB36E8" w14:paraId="22A6114F" w14:textId="77777777">
            <w:pPr>
              <w:spacing w:line="240" w:lineRule="atLeast"/>
            </w:pPr>
            <w:r w:rsidRPr="00766C61">
              <w:t>Hiermee wordt verordening 2015/757 gewijzigd om op gepaste wijze rekening te houden met het wereldwijde systeem van de IMO voor de verzameling van gegevens inzake stookolieverbruik door schepen.</w:t>
            </w:r>
          </w:p>
        </w:tc>
        <w:tc>
          <w:tcPr>
            <w:tcW w:w="3119" w:type="dxa"/>
          </w:tcPr>
          <w:p w:rsidRPr="00766C61" w:rsidR="00FB36E8" w:rsidP="00CA72BC" w:rsidRDefault="00FB36E8" w14:paraId="57F2BE5E" w14:textId="77777777">
            <w:pPr>
              <w:spacing w:line="240" w:lineRule="atLeast"/>
            </w:pPr>
            <w:r w:rsidRPr="00766C61">
              <w:t xml:space="preserve">Mandaat verleend door COREPER in oktober 2019, trilogen nog niet begonnen. </w:t>
            </w:r>
          </w:p>
        </w:tc>
      </w:tr>
      <w:tr w:rsidRPr="00766C61" w:rsidR="00FB36E8" w:rsidTr="00CA72BC" w14:paraId="3C6FC6CA" w14:textId="77777777">
        <w:trPr>
          <w:trHeight w:val="1399"/>
        </w:trPr>
        <w:tc>
          <w:tcPr>
            <w:tcW w:w="1838" w:type="dxa"/>
          </w:tcPr>
          <w:p w:rsidRPr="00766C61" w:rsidR="00FB36E8" w:rsidP="00CA72BC" w:rsidRDefault="00FB36E8" w14:paraId="7A9D4DB5" w14:textId="77777777">
            <w:pPr>
              <w:spacing w:line="240" w:lineRule="atLeast"/>
            </w:pPr>
            <w:r w:rsidRPr="00766C61">
              <w:t>Verordening voor typegoedkeuring van voertuigen (Euro 5 en 6)</w:t>
            </w:r>
          </w:p>
          <w:p w:rsidRPr="00766C61" w:rsidR="00FB36E8" w:rsidP="00CA72BC" w:rsidRDefault="00FB36E8" w14:paraId="7FBB0AF1" w14:textId="77777777">
            <w:pPr>
              <w:spacing w:line="240" w:lineRule="atLeast"/>
            </w:pPr>
          </w:p>
          <w:p w:rsidRPr="00766C61" w:rsidR="00FB36E8" w:rsidP="00CA72BC" w:rsidRDefault="00FB36E8" w14:paraId="459FB8DC" w14:textId="77777777">
            <w:pPr>
              <w:spacing w:line="240" w:lineRule="atLeast"/>
            </w:pPr>
          </w:p>
        </w:tc>
        <w:tc>
          <w:tcPr>
            <w:tcW w:w="1276" w:type="dxa"/>
          </w:tcPr>
          <w:p w:rsidRPr="00766C61" w:rsidR="00FB36E8" w:rsidP="00CA72BC" w:rsidRDefault="00FB36E8" w14:paraId="1B83ACC3" w14:textId="77777777">
            <w:pPr>
              <w:spacing w:line="240" w:lineRule="atLeast"/>
            </w:pPr>
            <w:r w:rsidRPr="00766C61">
              <w:t>(2019) 208</w:t>
            </w:r>
          </w:p>
          <w:p w:rsidRPr="00766C61" w:rsidR="00FB36E8" w:rsidP="00CA72BC" w:rsidRDefault="00FB36E8" w14:paraId="25876A57" w14:textId="77777777">
            <w:pPr>
              <w:spacing w:line="240" w:lineRule="atLeast"/>
            </w:pPr>
          </w:p>
        </w:tc>
        <w:tc>
          <w:tcPr>
            <w:tcW w:w="3118" w:type="dxa"/>
          </w:tcPr>
          <w:p w:rsidRPr="00766C61" w:rsidR="00FB36E8" w:rsidP="00CA72BC" w:rsidRDefault="00FB36E8" w14:paraId="5707599B" w14:textId="5BEB4BDD">
            <w:pPr>
              <w:spacing w:line="240" w:lineRule="atLeast"/>
            </w:pPr>
            <w:r w:rsidRPr="00766C61">
              <w:t>N.a.v. de Hofuitspraak uit februari 2019 dient dit voorstel (om de conformiteitsfactoren voor het meten van voertuigemissies in werkelijke rijomstandigheden) opnieuw vastgesteld te worden, ditmaal via de gewone wetgevingsprocedure.</w:t>
            </w:r>
            <w:r>
              <w:t xml:space="preserve"> In juni jl. is de opinie van de Advocaat-Generaal (AG) gepubliceerd over de lopende hoger beroepzaken. Daarin werd het eerdere oordeel van het </w:t>
            </w:r>
            <w:r w:rsidR="002E3686">
              <w:t>H</w:t>
            </w:r>
            <w:r>
              <w:t xml:space="preserve">of bevestigd. De definitieve uitspraak </w:t>
            </w:r>
            <w:r w:rsidR="00156C3C">
              <w:t xml:space="preserve">werd in het najaar van 2021 </w:t>
            </w:r>
            <w:r>
              <w:t>verwacht</w:t>
            </w:r>
            <w:r w:rsidR="00156C3C">
              <w:t xml:space="preserve">, maar het Hof heeft tot op heden nog geen uitspraak gedaan. </w:t>
            </w:r>
          </w:p>
          <w:p w:rsidRPr="00766C61" w:rsidR="00FB36E8" w:rsidP="00CA72BC" w:rsidRDefault="00FB36E8" w14:paraId="50056C85" w14:textId="77777777">
            <w:pPr>
              <w:spacing w:line="240" w:lineRule="atLeast"/>
            </w:pPr>
          </w:p>
        </w:tc>
        <w:tc>
          <w:tcPr>
            <w:tcW w:w="3119" w:type="dxa"/>
          </w:tcPr>
          <w:p w:rsidRPr="00766C61" w:rsidR="00FB36E8" w:rsidP="00CA72BC" w:rsidRDefault="00FB36E8" w14:paraId="7B2102A7" w14:textId="2F1E5892">
            <w:pPr>
              <w:spacing w:line="240" w:lineRule="atLeast"/>
            </w:pPr>
            <w:r w:rsidRPr="00766C61">
              <w:t xml:space="preserve">Mandaat verleend door COREPER in december 2019, nu in triloog. </w:t>
            </w:r>
            <w:r w:rsidR="00A25677">
              <w:t>Hofuitspraak gewezen</w:t>
            </w:r>
            <w:r w:rsidR="00D77C34">
              <w:t xml:space="preserve"> </w:t>
            </w:r>
            <w:r w:rsidR="00BF467A">
              <w:t>in februari 2019</w:t>
            </w:r>
            <w:r w:rsidR="00A25677">
              <w:t>: arrest van het Europees gerecht nietig verklaard i.v.m. niet-ontvankelijkheid appellanten (de steden Brussel, Madrid en Parijs). Conformiteitsfactoren blijven met deze uitspraak in stand. Geen uitspraak over legaliteit van de invoering van conformiteitsfactoren door de Commissie. Enkele lidstaten</w:t>
            </w:r>
            <w:r w:rsidR="00146C40">
              <w:t>, waaronder Nederland,</w:t>
            </w:r>
            <w:r w:rsidR="00A25677">
              <w:t xml:space="preserve"> hebben aangegeven het zinniger te vinden als dit Commissievoorstel wordt ingetrokken en de focus wordt gelegd op het aankomende Euro 7 voorstel. </w:t>
            </w:r>
            <w:r w:rsidR="00146C40">
              <w:t xml:space="preserve">De Commissie heeft aangegeven hier in april 2022 uitsluitsel over te geven. </w:t>
            </w:r>
          </w:p>
        </w:tc>
      </w:tr>
      <w:tr w:rsidRPr="00766C61" w:rsidR="00FB36E8" w:rsidTr="00CA72BC" w14:paraId="7A4547F7" w14:textId="77777777">
        <w:trPr>
          <w:trHeight w:val="1399"/>
        </w:trPr>
        <w:tc>
          <w:tcPr>
            <w:tcW w:w="1838" w:type="dxa"/>
          </w:tcPr>
          <w:p w:rsidR="00FB36E8" w:rsidP="00CA72BC" w:rsidRDefault="00FB36E8" w14:paraId="12228DE2" w14:textId="77777777">
            <w:pPr>
              <w:spacing w:line="240" w:lineRule="atLeast"/>
            </w:pPr>
            <w:r>
              <w:t>Batterijen-</w:t>
            </w:r>
          </w:p>
          <w:p w:rsidR="00FB36E8" w:rsidP="00CA72BC" w:rsidRDefault="00FB36E8" w14:paraId="52A9C64E" w14:textId="77777777">
            <w:pPr>
              <w:spacing w:line="240" w:lineRule="atLeast"/>
            </w:pPr>
            <w:r>
              <w:t>verordening</w:t>
            </w:r>
          </w:p>
        </w:tc>
        <w:tc>
          <w:tcPr>
            <w:tcW w:w="1276" w:type="dxa"/>
          </w:tcPr>
          <w:p w:rsidRPr="00766C61" w:rsidR="00FB36E8" w:rsidP="00CA72BC" w:rsidRDefault="00FB36E8" w14:paraId="562988CF" w14:textId="77777777">
            <w:pPr>
              <w:spacing w:line="240" w:lineRule="atLeast"/>
            </w:pPr>
            <w:r>
              <w:t>(2020) 798</w:t>
            </w:r>
          </w:p>
        </w:tc>
        <w:tc>
          <w:tcPr>
            <w:tcW w:w="3118" w:type="dxa"/>
          </w:tcPr>
          <w:p w:rsidR="00FB36E8" w:rsidP="00CA72BC" w:rsidRDefault="00FB36E8" w14:paraId="12724B50" w14:textId="77777777">
            <w:pPr>
              <w:spacing w:line="240" w:lineRule="atLeast"/>
            </w:pPr>
            <w:r>
              <w:t>Voorstel ziet toe op de realisatie van geharmoniseerde producteisen voor batterijen, het opzetten van een goed functionerende</w:t>
            </w:r>
          </w:p>
          <w:p w:rsidR="00FB36E8" w:rsidP="00CA72BC" w:rsidRDefault="00FB36E8" w14:paraId="45BFF4EF" w14:textId="635F5D9C">
            <w:pPr>
              <w:spacing w:line="240" w:lineRule="atLeast"/>
            </w:pPr>
            <w:r>
              <w:t>markt voor secundaire grondstoffen en</w:t>
            </w:r>
            <w:r w:rsidR="004E0585">
              <w:t xml:space="preserve"> wil</w:t>
            </w:r>
            <w:r>
              <w:t xml:space="preserve"> de negatieve milieueffecten in de productie,</w:t>
            </w:r>
          </w:p>
          <w:p w:rsidRPr="00766C61" w:rsidR="00FB36E8" w:rsidP="00CA72BC" w:rsidRDefault="00FB36E8" w14:paraId="7024497E" w14:textId="77777777">
            <w:pPr>
              <w:spacing w:line="240" w:lineRule="atLeast"/>
            </w:pPr>
            <w:r>
              <w:t>gebruiks- en einde-levensfasen van batterijen reduceren.</w:t>
            </w:r>
          </w:p>
        </w:tc>
        <w:tc>
          <w:tcPr>
            <w:tcW w:w="3119" w:type="dxa"/>
          </w:tcPr>
          <w:p w:rsidRPr="00766C61" w:rsidR="00FB36E8" w:rsidP="00D77C34" w:rsidRDefault="00FB36E8" w14:paraId="3B244A5B" w14:textId="71AA6E74">
            <w:pPr>
              <w:spacing w:line="240" w:lineRule="atLeast"/>
            </w:pPr>
            <w:r>
              <w:t xml:space="preserve">Tijdens de Milieuraad van </w:t>
            </w:r>
            <w:r w:rsidR="00E66570">
              <w:t>17 maart</w:t>
            </w:r>
            <w:r>
              <w:t xml:space="preserve"> </w:t>
            </w:r>
            <w:r w:rsidR="00E66570">
              <w:t>is een algemene oriëntatie aangenomen</w:t>
            </w:r>
            <w:r w:rsidR="00D77C34">
              <w:t xml:space="preserve"> waarmee de triloogfase van start kan gaan.</w:t>
            </w:r>
          </w:p>
        </w:tc>
      </w:tr>
      <w:tr w:rsidRPr="00766C61" w:rsidR="00FB36E8" w:rsidTr="00CA72BC" w14:paraId="17F52538" w14:textId="77777777">
        <w:trPr>
          <w:trHeight w:val="1399"/>
        </w:trPr>
        <w:tc>
          <w:tcPr>
            <w:tcW w:w="1838" w:type="dxa"/>
            <w:shd w:val="clear" w:color="auto" w:fill="auto"/>
          </w:tcPr>
          <w:p w:rsidR="00FB36E8" w:rsidP="00CA72BC" w:rsidRDefault="00FB36E8" w14:paraId="4EE6D6CD" w14:textId="77777777">
            <w:pPr>
              <w:spacing w:line="240" w:lineRule="atLeast"/>
            </w:pPr>
            <w:r w:rsidRPr="00BA6881">
              <w:lastRenderedPageBreak/>
              <w:t xml:space="preserve">Herziening richtlijn EU ETS voor luchtvaart </w:t>
            </w:r>
          </w:p>
          <w:p w:rsidR="00FB36E8" w:rsidP="00CA72BC" w:rsidRDefault="00FB36E8" w14:paraId="08CB4AEC" w14:textId="77777777">
            <w:pPr>
              <w:spacing w:line="240" w:lineRule="atLeast"/>
            </w:pPr>
          </w:p>
        </w:tc>
        <w:tc>
          <w:tcPr>
            <w:tcW w:w="1276" w:type="dxa"/>
            <w:shd w:val="clear" w:color="auto" w:fill="auto"/>
          </w:tcPr>
          <w:p w:rsidR="00FB36E8" w:rsidP="00CA72BC" w:rsidRDefault="00FB36E8" w14:paraId="7A05E80B" w14:textId="77777777">
            <w:pPr>
              <w:spacing w:line="240" w:lineRule="atLeast"/>
            </w:pPr>
            <w:r>
              <w:t xml:space="preserve">(2021) 552 </w:t>
            </w:r>
          </w:p>
          <w:p w:rsidR="00FB36E8" w:rsidP="00CA72BC" w:rsidRDefault="00FB36E8" w14:paraId="4FA3E38F" w14:textId="77777777">
            <w:pPr>
              <w:spacing w:line="240" w:lineRule="atLeast"/>
            </w:pPr>
          </w:p>
        </w:tc>
        <w:tc>
          <w:tcPr>
            <w:tcW w:w="3118" w:type="dxa"/>
            <w:shd w:val="clear" w:color="auto" w:fill="auto"/>
          </w:tcPr>
          <w:p w:rsidR="00FB36E8" w:rsidP="00CA72BC" w:rsidRDefault="00FB36E8" w14:paraId="5D5DBEA3" w14:textId="77777777">
            <w:pPr>
              <w:spacing w:line="240" w:lineRule="atLeast"/>
            </w:pPr>
            <w:r>
              <w:t>Voorstel voor de herziening van de richtlijn met betrekking tot het EU emissiehandelssysteem (ETS) voor de luchtvaart waarbij ook wijzigingen worden voorgesteld in het licht van de implementatie van het mondiale systeem voor compensatie en reductie van CO₂-emissies van de internationale luchtvaart (</w:t>
            </w:r>
            <w:r w:rsidRPr="008D2769">
              <w:rPr>
                <w:i/>
              </w:rPr>
              <w:t>Carbon Offsetting and Reduction Scheme for International Aviation</w:t>
            </w:r>
            <w:r>
              <w:t xml:space="preserve">, CORSIA), teneinde </w:t>
            </w:r>
            <w:r w:rsidRPr="00A3414D">
              <w:t>verdere reductie van broeikasgasemissies in de luchtvaartsector te stimuleren</w:t>
            </w:r>
            <w:r>
              <w:t xml:space="preserve">. </w:t>
            </w:r>
          </w:p>
          <w:p w:rsidR="00FB36E8" w:rsidP="00CA72BC" w:rsidRDefault="00FB36E8" w14:paraId="70675D50" w14:textId="77777777">
            <w:pPr>
              <w:spacing w:line="240" w:lineRule="atLeast"/>
            </w:pPr>
          </w:p>
        </w:tc>
        <w:tc>
          <w:tcPr>
            <w:tcW w:w="3119" w:type="dxa"/>
            <w:shd w:val="clear" w:color="auto" w:fill="auto"/>
          </w:tcPr>
          <w:p w:rsidR="00FB36E8" w:rsidP="00CA72BC" w:rsidRDefault="00FB36E8" w14:paraId="4873A7B2" w14:textId="1FA4976E">
            <w:pPr>
              <w:spacing w:line="240" w:lineRule="atLeast"/>
            </w:pPr>
            <w:r>
              <w:t xml:space="preserve">Voorstel in juli 2021 gepubliceerd. Bevindt zich nu in de eerste lezing. </w:t>
            </w:r>
          </w:p>
        </w:tc>
      </w:tr>
      <w:tr w:rsidRPr="00766C61" w:rsidR="00FB36E8" w:rsidTr="00CA72BC" w14:paraId="4EC94499" w14:textId="77777777">
        <w:trPr>
          <w:trHeight w:val="1399"/>
        </w:trPr>
        <w:tc>
          <w:tcPr>
            <w:tcW w:w="1838" w:type="dxa"/>
            <w:shd w:val="clear" w:color="auto" w:fill="auto"/>
          </w:tcPr>
          <w:p w:rsidR="00FB36E8" w:rsidP="00CA72BC" w:rsidRDefault="00FB36E8" w14:paraId="32A188BF" w14:textId="77777777">
            <w:pPr>
              <w:spacing w:line="240" w:lineRule="atLeast"/>
            </w:pPr>
            <w:r w:rsidRPr="00BA6881">
              <w:t>Verordening aanscherping CO2-normen nieuwe personen- en bestelauto’s in 2030 en 2035</w:t>
            </w:r>
          </w:p>
          <w:p w:rsidRPr="00BA6881" w:rsidR="00FB36E8" w:rsidP="00CA72BC" w:rsidRDefault="00FB36E8" w14:paraId="7A07D216" w14:textId="77777777">
            <w:pPr>
              <w:spacing w:line="240" w:lineRule="atLeast"/>
            </w:pPr>
          </w:p>
        </w:tc>
        <w:tc>
          <w:tcPr>
            <w:tcW w:w="1276" w:type="dxa"/>
            <w:shd w:val="clear" w:color="auto" w:fill="auto"/>
          </w:tcPr>
          <w:p w:rsidR="00FB36E8" w:rsidP="00CA72BC" w:rsidRDefault="00FB36E8" w14:paraId="191399DE" w14:textId="77777777">
            <w:pPr>
              <w:spacing w:line="240" w:lineRule="atLeast"/>
            </w:pPr>
            <w:r w:rsidRPr="00BA6881">
              <w:t>(2021) 556</w:t>
            </w:r>
          </w:p>
        </w:tc>
        <w:tc>
          <w:tcPr>
            <w:tcW w:w="3118" w:type="dxa"/>
            <w:shd w:val="clear" w:color="auto" w:fill="auto"/>
          </w:tcPr>
          <w:p w:rsidR="00FB36E8" w:rsidP="00CA72BC" w:rsidRDefault="00FB36E8" w14:paraId="2002A780" w14:textId="77777777">
            <w:pPr>
              <w:spacing w:line="240" w:lineRule="atLeast"/>
            </w:pPr>
            <w:r>
              <w:t xml:space="preserve">Voorstel voor een aanscherping van de CO2-normen voor personen- en bestelauto’s, om bij te dragen aan het behalen van de doelen uit de bredere EU-mobiliteitsstrategie. </w:t>
            </w:r>
          </w:p>
          <w:p w:rsidR="00FB36E8" w:rsidP="00CA72BC" w:rsidRDefault="00FB36E8" w14:paraId="20E0A8C7" w14:textId="77777777">
            <w:pPr>
              <w:spacing w:line="240" w:lineRule="atLeast"/>
            </w:pPr>
          </w:p>
        </w:tc>
        <w:tc>
          <w:tcPr>
            <w:tcW w:w="3119" w:type="dxa"/>
            <w:shd w:val="clear" w:color="auto" w:fill="auto"/>
          </w:tcPr>
          <w:p w:rsidRPr="00BA6881" w:rsidR="00FB36E8" w:rsidP="00CA72BC" w:rsidRDefault="00FB36E8" w14:paraId="65B79483" w14:textId="064EDC1F">
            <w:pPr>
              <w:spacing w:line="240" w:lineRule="atLeast"/>
            </w:pPr>
            <w:r>
              <w:t xml:space="preserve">Voorstel in juli 2021 gepubliceerd. Bevindt zich nu in de eerste lezing. </w:t>
            </w:r>
            <w:r w:rsidR="004A0068">
              <w:t xml:space="preserve">Er heeft opnieuw een beleidsdebat plaatsgevonden in de Milieuraad van 17 maart. </w:t>
            </w:r>
          </w:p>
        </w:tc>
      </w:tr>
      <w:tr w:rsidRPr="00766C61" w:rsidR="00FB36E8" w:rsidTr="00CA72BC" w14:paraId="26975E55" w14:textId="77777777">
        <w:trPr>
          <w:trHeight w:val="1399"/>
        </w:trPr>
        <w:tc>
          <w:tcPr>
            <w:tcW w:w="1838" w:type="dxa"/>
            <w:shd w:val="clear" w:color="auto" w:fill="auto"/>
          </w:tcPr>
          <w:p w:rsidRPr="00BA6881" w:rsidR="00FB36E8" w:rsidP="00CA72BC" w:rsidRDefault="00FB36E8" w14:paraId="1A5987B6" w14:textId="77777777">
            <w:pPr>
              <w:spacing w:line="240" w:lineRule="atLeast"/>
            </w:pPr>
            <w:r>
              <w:t xml:space="preserve">Wijziging Verordening </w:t>
            </w:r>
            <w:r w:rsidRPr="00FE7362">
              <w:t>persistente organische verontreinigende stoffen</w:t>
            </w:r>
            <w:r>
              <w:t xml:space="preserve"> (POP’s)</w:t>
            </w:r>
          </w:p>
        </w:tc>
        <w:tc>
          <w:tcPr>
            <w:tcW w:w="1276" w:type="dxa"/>
            <w:shd w:val="clear" w:color="auto" w:fill="auto"/>
          </w:tcPr>
          <w:p w:rsidRPr="00BA6881" w:rsidR="00FB36E8" w:rsidP="00CA72BC" w:rsidRDefault="00FB36E8" w14:paraId="77B81AB2" w14:textId="77777777">
            <w:pPr>
              <w:spacing w:line="240" w:lineRule="atLeast"/>
            </w:pPr>
            <w:r>
              <w:t>(</w:t>
            </w:r>
            <w:r w:rsidRPr="00FE7362">
              <w:t>2021</w:t>
            </w:r>
            <w:r>
              <w:t xml:space="preserve">) </w:t>
            </w:r>
            <w:r w:rsidRPr="00FE7362">
              <w:t>656</w:t>
            </w:r>
          </w:p>
        </w:tc>
        <w:tc>
          <w:tcPr>
            <w:tcW w:w="3118" w:type="dxa"/>
            <w:shd w:val="clear" w:color="auto" w:fill="auto"/>
          </w:tcPr>
          <w:p w:rsidR="00FB36E8" w:rsidP="00CA72BC" w:rsidRDefault="00FB36E8" w14:paraId="6CE506BD" w14:textId="77777777">
            <w:pPr>
              <w:spacing w:line="240" w:lineRule="atLeast"/>
            </w:pPr>
            <w:r>
              <w:t>V</w:t>
            </w:r>
            <w:r w:rsidRPr="001B0E2B">
              <w:t xml:space="preserve">oorstel betreft de aanpassing van </w:t>
            </w:r>
            <w:r>
              <w:t>bijlage vier en vijf</w:t>
            </w:r>
            <w:r w:rsidRPr="001B0E2B">
              <w:t>, waarmee de Commissie uitvoering geeft aan de verplichtingen uit hoofde van het Verdrag van Stockholm. De verordening heeft als doel om de volksgezondheid en het milieu te beschermen tegen de negatieve gevolgen van persistente organische verontreinigende stoffen</w:t>
            </w:r>
            <w:r>
              <w:t xml:space="preserve">. </w:t>
            </w:r>
          </w:p>
        </w:tc>
        <w:tc>
          <w:tcPr>
            <w:tcW w:w="3119" w:type="dxa"/>
            <w:shd w:val="clear" w:color="auto" w:fill="auto"/>
          </w:tcPr>
          <w:p w:rsidR="00FB36E8" w:rsidP="00482318" w:rsidRDefault="00FB36E8" w14:paraId="2940660A" w14:textId="4C5181B0">
            <w:pPr>
              <w:spacing w:line="240" w:lineRule="atLeast"/>
            </w:pPr>
            <w:r>
              <w:t>Voorstel in oktober 2021 gepubliceerd.</w:t>
            </w:r>
            <w:r w:rsidR="004A0068">
              <w:t xml:space="preserve"> In C</w:t>
            </w:r>
            <w:r w:rsidR="00482318">
              <w:t>oreper</w:t>
            </w:r>
            <w:r w:rsidR="004A0068">
              <w:t xml:space="preserve"> op vrijdag 11 maart is o</w:t>
            </w:r>
            <w:r w:rsidR="004A0068">
              <w:rPr>
                <w:rFonts w:eastAsia="Times New Roman"/>
              </w:rPr>
              <w:t>vereenstemming bereikt over de Raadspositie en het compromisvoorstel met unanimiteit aangenomen. Tijdens de Milieuraad van 17 maart heeft het voorzitterschap hier in het kader van een diversenpunt bij stilgestaan.</w:t>
            </w:r>
            <w:r w:rsidR="000972A6">
              <w:rPr>
                <w:rFonts w:eastAsia="Times New Roman"/>
              </w:rPr>
              <w:t xml:space="preserve"> Voorstel bevindt zich daarmee in eerste lezing.</w:t>
            </w:r>
            <w:r w:rsidR="004A0068">
              <w:rPr>
                <w:rFonts w:eastAsia="Times New Roman"/>
              </w:rPr>
              <w:t xml:space="preserve"> </w:t>
            </w:r>
          </w:p>
        </w:tc>
      </w:tr>
      <w:tr w:rsidRPr="00766C61" w:rsidR="00FB36E8" w:rsidTr="00CA72BC" w14:paraId="039E1AEE" w14:textId="77777777">
        <w:trPr>
          <w:trHeight w:val="1399"/>
        </w:trPr>
        <w:tc>
          <w:tcPr>
            <w:tcW w:w="1838" w:type="dxa"/>
            <w:shd w:val="clear" w:color="auto" w:fill="auto"/>
          </w:tcPr>
          <w:p w:rsidR="00FB36E8" w:rsidP="00CA72BC" w:rsidRDefault="00FB36E8" w14:paraId="180AAE69" w14:textId="77777777">
            <w:pPr>
              <w:spacing w:line="240" w:lineRule="atLeast"/>
            </w:pPr>
            <w:r>
              <w:t xml:space="preserve">Wijziging Europese Verordening Overbrenging Afvalstoffen Mededeling </w:t>
            </w:r>
            <w:r w:rsidRPr="001B0E2B">
              <w:t>Ons afval, onze verantwoordelijkheid – overbrenging van afval in een schone en meer circulaire economie</w:t>
            </w:r>
          </w:p>
        </w:tc>
        <w:tc>
          <w:tcPr>
            <w:tcW w:w="1276" w:type="dxa"/>
            <w:shd w:val="clear" w:color="auto" w:fill="auto"/>
          </w:tcPr>
          <w:p w:rsidR="00FB36E8" w:rsidP="00CA72BC" w:rsidRDefault="00FB36E8" w14:paraId="6CD1A937" w14:textId="77777777">
            <w:pPr>
              <w:spacing w:line="240" w:lineRule="atLeast"/>
            </w:pPr>
            <w:r>
              <w:t>(2021) 708</w:t>
            </w:r>
          </w:p>
          <w:p w:rsidRPr="00BA6881" w:rsidR="00FB36E8" w:rsidP="00CA72BC" w:rsidRDefault="00FB36E8" w14:paraId="4255903A" w14:textId="77777777">
            <w:pPr>
              <w:spacing w:line="240" w:lineRule="atLeast"/>
            </w:pPr>
            <w:r>
              <w:t>(2021) 709</w:t>
            </w:r>
          </w:p>
        </w:tc>
        <w:tc>
          <w:tcPr>
            <w:tcW w:w="3118" w:type="dxa"/>
            <w:shd w:val="clear" w:color="auto" w:fill="auto"/>
          </w:tcPr>
          <w:p w:rsidRPr="000A68E6" w:rsidR="00FB36E8" w:rsidP="00CA72BC" w:rsidRDefault="00FB36E8" w14:paraId="678AD49D" w14:textId="77777777">
            <w:pPr>
              <w:pStyle w:val="Spreekpunten"/>
              <w:numPr>
                <w:ilvl w:val="0"/>
                <w:numId w:val="0"/>
              </w:numPr>
              <w:spacing w:line="240" w:lineRule="auto"/>
              <w:rPr>
                <w:rFonts w:eastAsia="DejaVu Sans" w:cs="Lohit Hindi" w:asciiTheme="minorHAnsi" w:hAnsiTheme="minorHAnsi"/>
                <w:bCs w:val="0"/>
                <w:color w:val="000000"/>
                <w:sz w:val="22"/>
                <w:szCs w:val="18"/>
                <w:lang w:val="nl-NL"/>
              </w:rPr>
            </w:pPr>
            <w:r w:rsidRPr="000A68E6">
              <w:rPr>
                <w:rFonts w:eastAsia="DejaVu Sans" w:cs="Lohit Hindi" w:asciiTheme="minorHAnsi" w:hAnsiTheme="minorHAnsi"/>
                <w:bCs w:val="0"/>
                <w:color w:val="000000"/>
                <w:sz w:val="22"/>
                <w:szCs w:val="18"/>
                <w:lang w:val="nl-NL"/>
              </w:rPr>
              <w:t>De Commissie zet in de mededeling ‘ons afval, onze verantwoordelijkheid’ en in het voorstel voor de herziening van de EVOA haar voorstellen uiteen om binnen de EU een grotere verantwoordelijkheid te nemen voor afval, waarbij een hoog niveau van milieubescherming wordt gehandhaafd.</w:t>
            </w:r>
          </w:p>
          <w:p w:rsidR="00FB36E8" w:rsidP="00CA72BC" w:rsidRDefault="00FB36E8" w14:paraId="540B792E" w14:textId="77777777">
            <w:pPr>
              <w:spacing w:line="240" w:lineRule="atLeast"/>
            </w:pPr>
          </w:p>
        </w:tc>
        <w:tc>
          <w:tcPr>
            <w:tcW w:w="3119" w:type="dxa"/>
            <w:shd w:val="clear" w:color="auto" w:fill="auto"/>
          </w:tcPr>
          <w:p w:rsidR="00FB36E8" w:rsidP="00CA72BC" w:rsidRDefault="00FB36E8" w14:paraId="5734B400" w14:textId="72FDEC59">
            <w:pPr>
              <w:spacing w:line="240" w:lineRule="atLeast"/>
            </w:pPr>
            <w:r>
              <w:t xml:space="preserve">Voorstel in november 2021 gepubliceerd. Uw Kamer </w:t>
            </w:r>
            <w:r w:rsidR="00E77B7E">
              <w:t xml:space="preserve">is </w:t>
            </w:r>
            <w:r>
              <w:t>geïnformeerd via het gebruikelijke BNC-fiche.</w:t>
            </w:r>
            <w:r w:rsidR="00E77B7E">
              <w:t xml:space="preserve"> </w:t>
            </w:r>
            <w:r w:rsidR="00EC3862">
              <w:t xml:space="preserve">Voorstel gepresenteerd door de Commissie in de Milieuraad van 17 december 2021. </w:t>
            </w:r>
            <w:r w:rsidR="00E77B7E">
              <w:t>Raadswerkgroepen zijn onder Frans voorzitterschap van start gegaan. Eerste inhoudelijke bespreking</w:t>
            </w:r>
            <w:r w:rsidR="00482318">
              <w:t xml:space="preserve"> op niveau van bewindspersonen</w:t>
            </w:r>
            <w:r w:rsidR="00E77B7E">
              <w:t xml:space="preserve"> voorzien tijdens de Milieuraad van 28 juni aanstaande. </w:t>
            </w:r>
          </w:p>
          <w:p w:rsidR="00FB36E8" w:rsidP="00CA72BC" w:rsidRDefault="00FB36E8" w14:paraId="1BEA391F" w14:textId="77777777">
            <w:pPr>
              <w:spacing w:line="240" w:lineRule="atLeast"/>
            </w:pPr>
          </w:p>
        </w:tc>
      </w:tr>
      <w:tr w:rsidRPr="00766C61" w:rsidR="00FB36E8" w:rsidTr="00CA72BC" w14:paraId="4EE10AE3" w14:textId="77777777">
        <w:trPr>
          <w:trHeight w:val="1399"/>
        </w:trPr>
        <w:tc>
          <w:tcPr>
            <w:tcW w:w="1838" w:type="dxa"/>
            <w:shd w:val="clear" w:color="auto" w:fill="auto"/>
          </w:tcPr>
          <w:p w:rsidR="00FB36E8" w:rsidP="00CA72BC" w:rsidRDefault="00FB36E8" w14:paraId="637BC692" w14:textId="77777777">
            <w:pPr>
              <w:spacing w:line="240" w:lineRule="atLeast"/>
            </w:pPr>
            <w:r>
              <w:t xml:space="preserve">Mededeling </w:t>
            </w:r>
            <w:r w:rsidRPr="00F41112">
              <w:t>EU-bodemstrategie voor 2030</w:t>
            </w:r>
          </w:p>
        </w:tc>
        <w:tc>
          <w:tcPr>
            <w:tcW w:w="1276" w:type="dxa"/>
            <w:shd w:val="clear" w:color="auto" w:fill="auto"/>
          </w:tcPr>
          <w:p w:rsidRPr="00BA6881" w:rsidR="00FB36E8" w:rsidP="00CA72BC" w:rsidRDefault="00FB36E8" w14:paraId="1E7DAC07" w14:textId="77777777">
            <w:pPr>
              <w:spacing w:line="240" w:lineRule="atLeast"/>
            </w:pPr>
            <w:r w:rsidRPr="00F41112">
              <w:t>(2021) 699</w:t>
            </w:r>
          </w:p>
        </w:tc>
        <w:tc>
          <w:tcPr>
            <w:tcW w:w="3118" w:type="dxa"/>
            <w:shd w:val="clear" w:color="auto" w:fill="auto"/>
          </w:tcPr>
          <w:p w:rsidR="00FB36E8" w:rsidP="00CA72BC" w:rsidRDefault="00FB36E8" w14:paraId="563D4BFA" w14:textId="77777777">
            <w:pPr>
              <w:spacing w:line="240" w:lineRule="auto"/>
            </w:pPr>
            <w:r w:rsidRPr="006B4AF9">
              <w:t>De visie in het voorstel is dat tegen 2050 alle bodemecosystemen in de EU in een gezonde toestand</w:t>
            </w:r>
            <w:r>
              <w:t xml:space="preserve"> </w:t>
            </w:r>
            <w:r w:rsidRPr="006B4AF9">
              <w:t>verkeren en bescherming krijgen.</w:t>
            </w:r>
            <w:r>
              <w:t xml:space="preserve"> </w:t>
            </w:r>
            <w:r w:rsidRPr="006B4AF9">
              <w:t>Het voorstel rust op drie belangrijke pijlers van de Green Deal: klimaat, biodiversiteit en circulaire economie. Daar voegt de Commissie de coördinatie van het water- en het bodembeleid als vierde essentieel belang aan toe om via een beter bodem- en waterbeheer, ook grensoverschrijdend, te komen tot gezonde bodems en aquatische ecosystemen.</w:t>
            </w:r>
          </w:p>
        </w:tc>
        <w:tc>
          <w:tcPr>
            <w:tcW w:w="3119" w:type="dxa"/>
            <w:shd w:val="clear" w:color="auto" w:fill="auto"/>
          </w:tcPr>
          <w:p w:rsidR="00FB36E8" w:rsidP="00CA72BC" w:rsidRDefault="00FB36E8" w14:paraId="0898A1F2" w14:textId="07C51B56">
            <w:pPr>
              <w:spacing w:line="240" w:lineRule="atLeast"/>
            </w:pPr>
            <w:r>
              <w:t xml:space="preserve">Voorstel in november 2021 gepubliceerd. Uw Kamer </w:t>
            </w:r>
            <w:r w:rsidR="00EC3862">
              <w:t xml:space="preserve">is </w:t>
            </w:r>
            <w:r>
              <w:t>geïnformeerd via het gebruikelijke BNC-fiche.</w:t>
            </w:r>
            <w:r w:rsidR="00EC3862">
              <w:t xml:space="preserve"> Voorstel gepresenteerd door de Commissie in de Milieuraad van 17 december 2021. Onduidelijk of en zo ja</w:t>
            </w:r>
            <w:r w:rsidR="00AF2F0C">
              <w:t>,</w:t>
            </w:r>
            <w:r w:rsidR="00EC3862">
              <w:t xml:space="preserve"> wanneer</w:t>
            </w:r>
            <w:r w:rsidR="00AF2F0C">
              <w:t>,</w:t>
            </w:r>
            <w:r w:rsidR="00EC3862">
              <w:t xml:space="preserve"> bespreking in de Milieuraad wordt beoogd. </w:t>
            </w:r>
          </w:p>
          <w:p w:rsidR="00FB36E8" w:rsidP="00CA72BC" w:rsidRDefault="00FB36E8" w14:paraId="62897882" w14:textId="77777777">
            <w:pPr>
              <w:spacing w:line="240" w:lineRule="atLeast"/>
            </w:pPr>
          </w:p>
        </w:tc>
      </w:tr>
    </w:tbl>
    <w:p w:rsidR="00FB36E8" w:rsidP="00FB36E8" w:rsidRDefault="00FB36E8" w14:paraId="2A6B8361" w14:textId="77777777">
      <w:pPr>
        <w:spacing w:line="240" w:lineRule="atLeast"/>
      </w:pPr>
    </w:p>
    <w:p w:rsidRPr="00766C61" w:rsidR="00FB36E8" w:rsidP="00FB36E8" w:rsidRDefault="00FB36E8" w14:paraId="799BDCB4" w14:textId="77777777">
      <w:pPr>
        <w:spacing w:line="240" w:lineRule="atLeast"/>
      </w:pPr>
      <w:r w:rsidRPr="00766C61">
        <w:t xml:space="preserve">* Indien een voorstel besproken is in de Milieuraad, is in het betreffende verslag van de Raad een uitgebreidere beschrijving van de discussie opgenomen. </w:t>
      </w:r>
    </w:p>
    <w:p w:rsidRPr="003309B9" w:rsidR="00FB36E8" w:rsidP="00FB36E8" w:rsidRDefault="00FB36E8" w14:paraId="6B6ED5A2" w14:textId="77777777">
      <w:pPr>
        <w:autoSpaceDN/>
        <w:spacing w:after="160" w:line="240" w:lineRule="atLeast"/>
        <w:textAlignment w:val="auto"/>
        <w:rPr>
          <w:bCs/>
        </w:rPr>
      </w:pPr>
    </w:p>
    <w:p w:rsidR="00FB36E8" w:rsidP="00FB36E8" w:rsidRDefault="00FB36E8" w14:paraId="16068597" w14:textId="34CB603B">
      <w:pPr>
        <w:pStyle w:val="ListParagraph"/>
        <w:spacing w:line="240" w:lineRule="atLeast"/>
        <w:ind w:left="1080"/>
        <w:rPr>
          <w:color w:val="1F497D"/>
          <w:lang w:eastAsia="en-US"/>
        </w:rPr>
      </w:pPr>
    </w:p>
    <w:p w:rsidR="00FB36E8" w:rsidP="00FB36E8" w:rsidRDefault="00FB36E8" w14:paraId="79378295" w14:textId="61999573">
      <w:pPr>
        <w:pStyle w:val="ListParagraph"/>
        <w:spacing w:line="240" w:lineRule="atLeast"/>
        <w:ind w:left="1080"/>
        <w:rPr>
          <w:color w:val="1F497D"/>
          <w:lang w:eastAsia="en-US"/>
        </w:rPr>
      </w:pPr>
    </w:p>
    <w:p w:rsidR="00FB36E8" w:rsidP="00FB36E8" w:rsidRDefault="00FB36E8" w14:paraId="5C07386A" w14:textId="1C0C19F8">
      <w:pPr>
        <w:pStyle w:val="ListParagraph"/>
        <w:spacing w:line="240" w:lineRule="atLeast"/>
        <w:ind w:left="1080"/>
        <w:rPr>
          <w:color w:val="1F497D"/>
          <w:lang w:eastAsia="en-US"/>
        </w:rPr>
      </w:pPr>
    </w:p>
    <w:p w:rsidR="00FB36E8" w:rsidP="00FB36E8" w:rsidRDefault="00FB36E8" w14:paraId="174D024F" w14:textId="005E418F">
      <w:pPr>
        <w:pStyle w:val="ListParagraph"/>
        <w:spacing w:line="240" w:lineRule="atLeast"/>
        <w:ind w:left="1080"/>
        <w:rPr>
          <w:color w:val="1F497D"/>
          <w:lang w:eastAsia="en-US"/>
        </w:rPr>
      </w:pPr>
    </w:p>
    <w:p w:rsidR="00FB36E8" w:rsidP="00FB36E8" w:rsidRDefault="00FB36E8" w14:paraId="3B05A88C" w14:textId="631FD308">
      <w:pPr>
        <w:pStyle w:val="ListParagraph"/>
        <w:spacing w:line="240" w:lineRule="atLeast"/>
        <w:ind w:left="1080"/>
        <w:rPr>
          <w:color w:val="1F497D"/>
          <w:lang w:eastAsia="en-US"/>
        </w:rPr>
      </w:pPr>
    </w:p>
    <w:p w:rsidR="00FB36E8" w:rsidP="00FB36E8" w:rsidRDefault="00FB36E8" w14:paraId="56EFCFC4" w14:textId="490287B1">
      <w:pPr>
        <w:pStyle w:val="ListParagraph"/>
        <w:spacing w:line="240" w:lineRule="atLeast"/>
        <w:ind w:left="1080"/>
        <w:rPr>
          <w:color w:val="1F497D"/>
          <w:lang w:eastAsia="en-US"/>
        </w:rPr>
      </w:pPr>
    </w:p>
    <w:p w:rsidR="00FB36E8" w:rsidP="00FB36E8" w:rsidRDefault="00FB36E8" w14:paraId="011C63F3" w14:textId="3933222A">
      <w:pPr>
        <w:pStyle w:val="ListParagraph"/>
        <w:spacing w:line="240" w:lineRule="atLeast"/>
        <w:ind w:left="1080"/>
        <w:rPr>
          <w:color w:val="1F497D"/>
          <w:lang w:eastAsia="en-US"/>
        </w:rPr>
      </w:pPr>
    </w:p>
    <w:p w:rsidR="00FB36E8" w:rsidP="00FB36E8" w:rsidRDefault="00FB36E8" w14:paraId="79B28AA2" w14:textId="517D6B4D">
      <w:pPr>
        <w:pStyle w:val="ListParagraph"/>
        <w:spacing w:line="240" w:lineRule="atLeast"/>
        <w:ind w:left="1080"/>
        <w:rPr>
          <w:color w:val="1F497D"/>
          <w:lang w:eastAsia="en-US"/>
        </w:rPr>
      </w:pPr>
    </w:p>
    <w:p w:rsidR="00FB36E8" w:rsidP="00FB36E8" w:rsidRDefault="00FB36E8" w14:paraId="538A4BF4" w14:textId="7B90A774">
      <w:pPr>
        <w:pStyle w:val="ListParagraph"/>
        <w:spacing w:line="240" w:lineRule="atLeast"/>
        <w:ind w:left="1080"/>
        <w:rPr>
          <w:color w:val="1F497D"/>
          <w:lang w:eastAsia="en-US"/>
        </w:rPr>
      </w:pPr>
    </w:p>
    <w:p w:rsidR="00FB36E8" w:rsidP="00FB36E8" w:rsidRDefault="00FB36E8" w14:paraId="777508D8" w14:textId="5FE14279">
      <w:pPr>
        <w:pStyle w:val="ListParagraph"/>
        <w:spacing w:line="240" w:lineRule="atLeast"/>
        <w:ind w:left="1080"/>
        <w:rPr>
          <w:color w:val="1F497D"/>
          <w:lang w:eastAsia="en-US"/>
        </w:rPr>
      </w:pPr>
    </w:p>
    <w:p w:rsidR="00FB36E8" w:rsidP="00FB36E8" w:rsidRDefault="00FB36E8" w14:paraId="5FC00D79" w14:textId="65D1BBEA">
      <w:pPr>
        <w:pStyle w:val="ListParagraph"/>
        <w:spacing w:line="240" w:lineRule="atLeast"/>
        <w:ind w:left="1080"/>
        <w:rPr>
          <w:color w:val="1F497D"/>
          <w:lang w:eastAsia="en-US"/>
        </w:rPr>
      </w:pPr>
    </w:p>
    <w:p w:rsidR="00FB36E8" w:rsidP="00FB36E8" w:rsidRDefault="00FB36E8" w14:paraId="3A22DB7F" w14:textId="6E197701">
      <w:pPr>
        <w:pStyle w:val="ListParagraph"/>
        <w:spacing w:line="240" w:lineRule="atLeast"/>
        <w:ind w:left="1080"/>
        <w:rPr>
          <w:color w:val="1F497D"/>
          <w:lang w:eastAsia="en-US"/>
        </w:rPr>
      </w:pPr>
    </w:p>
    <w:p w:rsidR="00146C40" w:rsidP="00FB36E8" w:rsidRDefault="00146C40" w14:paraId="61F742B2" w14:textId="65C67EB4">
      <w:pPr>
        <w:pStyle w:val="ListParagraph"/>
        <w:spacing w:line="240" w:lineRule="atLeast"/>
        <w:ind w:left="1080"/>
        <w:rPr>
          <w:color w:val="1F497D"/>
          <w:lang w:eastAsia="en-US"/>
        </w:rPr>
      </w:pPr>
    </w:p>
    <w:p w:rsidR="00146C40" w:rsidP="00FB36E8" w:rsidRDefault="00146C40" w14:paraId="0AF7A9A4" w14:textId="5A33C1C8">
      <w:pPr>
        <w:pStyle w:val="ListParagraph"/>
        <w:spacing w:line="240" w:lineRule="atLeast"/>
        <w:ind w:left="1080"/>
        <w:rPr>
          <w:color w:val="1F497D"/>
          <w:lang w:eastAsia="en-US"/>
        </w:rPr>
      </w:pPr>
    </w:p>
    <w:p w:rsidR="00146C40" w:rsidP="00FB36E8" w:rsidRDefault="00146C40" w14:paraId="0E9E0142" w14:textId="5EA2EE28">
      <w:pPr>
        <w:pStyle w:val="ListParagraph"/>
        <w:spacing w:line="240" w:lineRule="atLeast"/>
        <w:ind w:left="1080"/>
        <w:rPr>
          <w:color w:val="1F497D"/>
          <w:lang w:eastAsia="en-US"/>
        </w:rPr>
      </w:pPr>
    </w:p>
    <w:p w:rsidR="00146C40" w:rsidP="00FB36E8" w:rsidRDefault="00146C40" w14:paraId="2B9762AD" w14:textId="69B16122">
      <w:pPr>
        <w:pStyle w:val="ListParagraph"/>
        <w:spacing w:line="240" w:lineRule="atLeast"/>
        <w:ind w:left="1080"/>
        <w:rPr>
          <w:color w:val="1F497D"/>
          <w:lang w:eastAsia="en-US"/>
        </w:rPr>
      </w:pPr>
    </w:p>
    <w:p w:rsidR="00146C40" w:rsidP="00FB36E8" w:rsidRDefault="00146C40" w14:paraId="54E850D5" w14:textId="6F71E267">
      <w:pPr>
        <w:pStyle w:val="ListParagraph"/>
        <w:spacing w:line="240" w:lineRule="atLeast"/>
        <w:ind w:left="1080"/>
        <w:rPr>
          <w:color w:val="1F497D"/>
          <w:lang w:eastAsia="en-US"/>
        </w:rPr>
      </w:pPr>
    </w:p>
    <w:p w:rsidR="00146C40" w:rsidP="00FB36E8" w:rsidRDefault="00146C40" w14:paraId="7F078040" w14:textId="5DD01ABF">
      <w:pPr>
        <w:pStyle w:val="ListParagraph"/>
        <w:spacing w:line="240" w:lineRule="atLeast"/>
        <w:ind w:left="1080"/>
        <w:rPr>
          <w:color w:val="1F497D"/>
          <w:lang w:eastAsia="en-US"/>
        </w:rPr>
      </w:pPr>
    </w:p>
    <w:p w:rsidR="00146C40" w:rsidP="00FB36E8" w:rsidRDefault="00146C40" w14:paraId="139F0933" w14:textId="5730AE03">
      <w:pPr>
        <w:pStyle w:val="ListParagraph"/>
        <w:spacing w:line="240" w:lineRule="atLeast"/>
        <w:ind w:left="1080"/>
        <w:rPr>
          <w:color w:val="1F497D"/>
          <w:lang w:eastAsia="en-US"/>
        </w:rPr>
      </w:pPr>
    </w:p>
    <w:p w:rsidR="00146C40" w:rsidP="00FB36E8" w:rsidRDefault="00146C40" w14:paraId="019083AF" w14:textId="201874D7">
      <w:pPr>
        <w:pStyle w:val="ListParagraph"/>
        <w:spacing w:line="240" w:lineRule="atLeast"/>
        <w:ind w:left="1080"/>
        <w:rPr>
          <w:color w:val="1F497D"/>
          <w:lang w:eastAsia="en-US"/>
        </w:rPr>
      </w:pPr>
    </w:p>
    <w:p w:rsidR="00146C40" w:rsidP="00FB36E8" w:rsidRDefault="00146C40" w14:paraId="654732A6" w14:textId="77777777">
      <w:pPr>
        <w:pStyle w:val="ListParagraph"/>
        <w:spacing w:line="240" w:lineRule="atLeast"/>
        <w:ind w:left="1080"/>
        <w:rPr>
          <w:color w:val="1F497D"/>
          <w:lang w:eastAsia="en-US"/>
        </w:rPr>
      </w:pPr>
    </w:p>
    <w:p w:rsidR="00FB36E8" w:rsidP="00FB36E8" w:rsidRDefault="00FB36E8" w14:paraId="75FAE6D8" w14:textId="3576E94D">
      <w:pPr>
        <w:pStyle w:val="ListParagraph"/>
        <w:spacing w:line="240" w:lineRule="atLeast"/>
        <w:ind w:left="1080"/>
        <w:rPr>
          <w:color w:val="1F497D"/>
          <w:lang w:eastAsia="en-US"/>
        </w:rPr>
      </w:pPr>
    </w:p>
    <w:p w:rsidR="00FB36E8" w:rsidP="00FB36E8" w:rsidRDefault="00FB36E8" w14:paraId="2DE0FA21" w14:textId="2AE87E95">
      <w:pPr>
        <w:pStyle w:val="ListParagraph"/>
        <w:spacing w:line="240" w:lineRule="atLeast"/>
        <w:ind w:left="1080"/>
        <w:rPr>
          <w:color w:val="1F497D"/>
          <w:lang w:eastAsia="en-US"/>
        </w:rPr>
      </w:pPr>
    </w:p>
    <w:p w:rsidR="00FB36E8" w:rsidP="00FB36E8" w:rsidRDefault="00FB36E8" w14:paraId="344CF59E" w14:textId="07777FED">
      <w:pPr>
        <w:pStyle w:val="ListParagraph"/>
        <w:spacing w:line="240" w:lineRule="atLeast"/>
        <w:ind w:left="1080"/>
        <w:rPr>
          <w:color w:val="1F497D"/>
          <w:lang w:eastAsia="en-US"/>
        </w:rPr>
      </w:pPr>
    </w:p>
    <w:p w:rsidR="00FB36E8" w:rsidP="00FB36E8" w:rsidRDefault="00FB36E8" w14:paraId="0E734C31" w14:textId="783EA3E7">
      <w:pPr>
        <w:pStyle w:val="ListParagraph"/>
        <w:spacing w:line="240" w:lineRule="atLeast"/>
        <w:ind w:left="1080"/>
        <w:rPr>
          <w:color w:val="1F497D"/>
          <w:lang w:eastAsia="en-US"/>
        </w:rPr>
      </w:pPr>
    </w:p>
    <w:p w:rsidR="00FB36E8" w:rsidP="00FB36E8" w:rsidRDefault="00FB36E8" w14:paraId="1622C64A" w14:textId="4F1DB19D">
      <w:pPr>
        <w:pStyle w:val="ListParagraph"/>
        <w:spacing w:line="240" w:lineRule="atLeast"/>
        <w:ind w:left="1080"/>
        <w:rPr>
          <w:color w:val="1F497D"/>
          <w:lang w:eastAsia="en-US"/>
        </w:rPr>
      </w:pPr>
    </w:p>
    <w:p w:rsidRPr="00767A0E" w:rsidR="00767A0E" w:rsidP="00767A0E" w:rsidRDefault="00767A0E" w14:paraId="68599D5C" w14:textId="77777777">
      <w:pPr>
        <w:spacing w:line="240" w:lineRule="atLeast"/>
        <w:rPr>
          <w:b/>
          <w:sz w:val="32"/>
          <w:szCs w:val="32"/>
          <w:u w:val="single"/>
        </w:rPr>
      </w:pPr>
      <w:r w:rsidRPr="00767A0E">
        <w:rPr>
          <w:b/>
          <w:sz w:val="32"/>
          <w:szCs w:val="32"/>
          <w:u w:val="single"/>
        </w:rPr>
        <w:t>Transportdossiers</w:t>
      </w:r>
    </w:p>
    <w:p w:rsidR="00767A0E" w:rsidRDefault="00767A0E" w14:paraId="50F6C776" w14:textId="77777777">
      <w:pPr>
        <w:rPr>
          <w:b/>
          <w:sz w:val="72"/>
          <w:szCs w:val="72"/>
        </w:rPr>
      </w:pPr>
    </w:p>
    <w:tbl>
      <w:tblPr>
        <w:tblStyle w:val="TableGrid"/>
        <w:tblW w:w="9209" w:type="dxa"/>
        <w:tblLayout w:type="fixed"/>
        <w:tblLook w:val="04A0" w:firstRow="1" w:lastRow="0" w:firstColumn="1" w:lastColumn="0" w:noHBand="0" w:noVBand="1"/>
      </w:tblPr>
      <w:tblGrid>
        <w:gridCol w:w="1838"/>
        <w:gridCol w:w="1276"/>
        <w:gridCol w:w="3260"/>
        <w:gridCol w:w="2835"/>
      </w:tblGrid>
      <w:tr w:rsidRPr="00766C61" w:rsidR="00074141" w:rsidTr="00A31D1E" w14:paraId="459C02C5" w14:textId="77777777">
        <w:tc>
          <w:tcPr>
            <w:tcW w:w="1838" w:type="dxa"/>
            <w:shd w:val="clear" w:color="auto" w:fill="BDD6EE" w:themeFill="accent1" w:themeFillTint="66"/>
          </w:tcPr>
          <w:p w:rsidRPr="00766C61" w:rsidR="00074141" w:rsidP="008D1A55" w:rsidRDefault="00074141" w14:paraId="6E01AA83" w14:textId="77777777">
            <w:pPr>
              <w:spacing w:line="240" w:lineRule="atLeast"/>
              <w:rPr>
                <w:b/>
              </w:rPr>
            </w:pPr>
            <w:r w:rsidRPr="00766C61">
              <w:rPr>
                <w:b/>
              </w:rPr>
              <w:t>Titel</w:t>
            </w:r>
          </w:p>
        </w:tc>
        <w:tc>
          <w:tcPr>
            <w:tcW w:w="1276" w:type="dxa"/>
            <w:shd w:val="clear" w:color="auto" w:fill="BDD6EE" w:themeFill="accent1" w:themeFillTint="66"/>
          </w:tcPr>
          <w:p w:rsidRPr="00766C61" w:rsidR="00074141" w:rsidP="008D1A55" w:rsidRDefault="00074141" w14:paraId="50F74957" w14:textId="77777777">
            <w:pPr>
              <w:spacing w:line="240" w:lineRule="atLeast"/>
              <w:rPr>
                <w:b/>
              </w:rPr>
            </w:pPr>
            <w:r w:rsidRPr="00766C61">
              <w:rPr>
                <w:b/>
              </w:rPr>
              <w:t>Document nummer COM</w:t>
            </w:r>
          </w:p>
        </w:tc>
        <w:tc>
          <w:tcPr>
            <w:tcW w:w="3260" w:type="dxa"/>
            <w:shd w:val="clear" w:color="auto" w:fill="BDD6EE" w:themeFill="accent1" w:themeFillTint="66"/>
          </w:tcPr>
          <w:p w:rsidRPr="00766C61" w:rsidR="00074141" w:rsidP="008D1A55" w:rsidRDefault="00074141" w14:paraId="39C58238" w14:textId="77777777">
            <w:pPr>
              <w:spacing w:line="240" w:lineRule="atLeast"/>
              <w:rPr>
                <w:b/>
              </w:rPr>
            </w:pPr>
            <w:r w:rsidRPr="00766C61">
              <w:rPr>
                <w:b/>
              </w:rPr>
              <w:t>Korte beschrijving</w:t>
            </w:r>
          </w:p>
        </w:tc>
        <w:tc>
          <w:tcPr>
            <w:tcW w:w="2835" w:type="dxa"/>
            <w:shd w:val="clear" w:color="auto" w:fill="BDD6EE" w:themeFill="accent1" w:themeFillTint="66"/>
          </w:tcPr>
          <w:p w:rsidRPr="00766C61" w:rsidR="00074141" w:rsidP="008D1A55" w:rsidRDefault="00074141" w14:paraId="69218298" w14:textId="77777777">
            <w:pPr>
              <w:spacing w:line="240" w:lineRule="atLeast"/>
              <w:rPr>
                <w:b/>
              </w:rPr>
            </w:pPr>
            <w:r w:rsidRPr="00766C61">
              <w:rPr>
                <w:b/>
              </w:rPr>
              <w:t>Stand van zaken*</w:t>
            </w:r>
          </w:p>
        </w:tc>
      </w:tr>
      <w:tr w:rsidRPr="00766C61" w:rsidR="00074141" w:rsidTr="00A31D1E" w14:paraId="5DFDED8F" w14:textId="77777777">
        <w:tc>
          <w:tcPr>
            <w:tcW w:w="1838" w:type="dxa"/>
          </w:tcPr>
          <w:p w:rsidRPr="00766C61" w:rsidR="00074141" w:rsidP="008D1A55" w:rsidRDefault="00074141" w14:paraId="0D231B95" w14:textId="477AD7A6">
            <w:pPr>
              <w:spacing w:line="240" w:lineRule="atLeast"/>
            </w:pPr>
            <w:r w:rsidRPr="00766C61">
              <w:t>Wijziging Eurovignet</w:t>
            </w:r>
            <w:r>
              <w:softHyphen/>
            </w:r>
            <w:r w:rsidRPr="00766C61">
              <w:t>richtlijn</w:t>
            </w:r>
          </w:p>
          <w:p w:rsidRPr="00766C61" w:rsidR="00074141" w:rsidP="008D1A55" w:rsidRDefault="00074141" w14:paraId="16E5D8B5" w14:textId="4EAFCBDA">
            <w:pPr>
              <w:spacing w:line="240" w:lineRule="atLeast"/>
            </w:pPr>
          </w:p>
          <w:p w:rsidRPr="00766C61" w:rsidR="00074141" w:rsidP="008D1A55" w:rsidRDefault="00074141" w14:paraId="0AB7465D" w14:textId="492C4E26">
            <w:pPr>
              <w:spacing w:line="240" w:lineRule="atLeast"/>
            </w:pPr>
          </w:p>
          <w:p w:rsidRPr="00766C61" w:rsidR="00074141" w:rsidP="008D1A55" w:rsidRDefault="00074141" w14:paraId="34131083" w14:textId="77777777">
            <w:pPr>
              <w:spacing w:line="240" w:lineRule="atLeast"/>
            </w:pPr>
          </w:p>
        </w:tc>
        <w:tc>
          <w:tcPr>
            <w:tcW w:w="1276" w:type="dxa"/>
          </w:tcPr>
          <w:p w:rsidRPr="00766C61" w:rsidR="00074141" w:rsidP="008D1A55" w:rsidRDefault="00074141" w14:paraId="5A6D4A4E" w14:textId="143761B8">
            <w:pPr>
              <w:spacing w:line="240" w:lineRule="atLeast"/>
            </w:pPr>
            <w:r w:rsidRPr="00766C61">
              <w:t xml:space="preserve"> (2017) 275 </w:t>
            </w:r>
          </w:p>
          <w:p w:rsidRPr="00766C61" w:rsidR="00074141" w:rsidP="008D1A55" w:rsidRDefault="00074141" w14:paraId="2DC86E93" w14:textId="2BAC7D07">
            <w:pPr>
              <w:spacing w:line="240" w:lineRule="atLeast"/>
            </w:pPr>
            <w:r w:rsidRPr="00766C61">
              <w:t xml:space="preserve"> (2017) 276</w:t>
            </w:r>
          </w:p>
        </w:tc>
        <w:tc>
          <w:tcPr>
            <w:tcW w:w="3260" w:type="dxa"/>
          </w:tcPr>
          <w:p w:rsidRPr="00766C61" w:rsidR="00074141" w:rsidP="008D1A55" w:rsidRDefault="00074141" w14:paraId="7D46C7E1" w14:textId="1B5F096A">
            <w:pPr>
              <w:spacing w:line="240" w:lineRule="atLeast"/>
            </w:pPr>
            <w:r w:rsidRPr="00766C61">
              <w:t xml:space="preserve">De voorstellen zien toe op de regels voor wegbeprijzing voor zware bedrijfsvoertuigen vanaf 3,5 ton en herzien de regels voor het heffen van gebruiksrechten (vignetten) of tol (afstand gebaseerde heffing). </w:t>
            </w:r>
          </w:p>
          <w:p w:rsidRPr="00766C61" w:rsidR="00074141" w:rsidP="008D1A55" w:rsidRDefault="00074141" w14:paraId="1F6EF1B6" w14:textId="77777777">
            <w:pPr>
              <w:spacing w:line="240" w:lineRule="atLeast"/>
            </w:pPr>
          </w:p>
        </w:tc>
        <w:tc>
          <w:tcPr>
            <w:tcW w:w="2835" w:type="dxa"/>
          </w:tcPr>
          <w:p w:rsidR="00074141" w:rsidP="008D1A55" w:rsidRDefault="00E05D57" w14:paraId="0D4AF4D3" w14:textId="1E50416F">
            <w:pPr>
              <w:spacing w:line="240" w:lineRule="atLeast"/>
            </w:pPr>
            <w:r w:rsidRPr="00E05D57">
              <w:t>In de zomer van 2021 is een politiek akkoord bereikt tussen het Europees Parlement en de Raad over de herziening van de Eurovignetrichtlijn.</w:t>
            </w:r>
            <w:r>
              <w:t xml:space="preserve"> </w:t>
            </w:r>
            <w:r w:rsidRPr="00E05D57">
              <w:t xml:space="preserve">De Raad ging er op 9 november </w:t>
            </w:r>
            <w:r w:rsidR="00995526">
              <w:t>2021</w:t>
            </w:r>
            <w:r w:rsidRPr="00E05D57">
              <w:t xml:space="preserve"> mee akkoord</w:t>
            </w:r>
            <w:r>
              <w:t>.</w:t>
            </w:r>
            <w:r w:rsidR="00501E61">
              <w:t xml:space="preserve"> </w:t>
            </w:r>
            <w:r w:rsidR="00995526">
              <w:t>Het EP heeft in februari jl. eveneens een akkoord bereikt. Lidstaten krijgen twee jaar de tijd om de wetgeving in hun nationale wetgeving te integreren.</w:t>
            </w:r>
          </w:p>
          <w:p w:rsidRPr="00766C61" w:rsidR="002B6935" w:rsidP="008D1A55" w:rsidRDefault="002B6935" w14:paraId="4CB8861D" w14:textId="7F08BD16">
            <w:pPr>
              <w:spacing w:line="240" w:lineRule="atLeast"/>
            </w:pPr>
          </w:p>
        </w:tc>
      </w:tr>
      <w:tr w:rsidRPr="00766C61" w:rsidR="00074141" w:rsidTr="00A31D1E" w14:paraId="1968EF1E" w14:textId="77777777">
        <w:tc>
          <w:tcPr>
            <w:tcW w:w="1838" w:type="dxa"/>
          </w:tcPr>
          <w:p w:rsidRPr="00766C61" w:rsidR="00074141" w:rsidP="008D1A55" w:rsidRDefault="00074141" w14:paraId="718F7DC8" w14:textId="77777777">
            <w:pPr>
              <w:spacing w:line="240" w:lineRule="atLeast"/>
            </w:pPr>
            <w:r w:rsidRPr="00766C61">
              <w:t>Voorstel gebruik van gehuurde voertuigen voor goederenvervoer</w:t>
            </w:r>
          </w:p>
          <w:p w:rsidRPr="00766C61" w:rsidR="00074141" w:rsidP="008D1A55" w:rsidRDefault="00074141" w14:paraId="28D96502" w14:textId="77777777">
            <w:pPr>
              <w:spacing w:line="240" w:lineRule="atLeast"/>
            </w:pPr>
          </w:p>
        </w:tc>
        <w:tc>
          <w:tcPr>
            <w:tcW w:w="1276" w:type="dxa"/>
          </w:tcPr>
          <w:p w:rsidRPr="00766C61" w:rsidR="00074141" w:rsidP="008D1A55" w:rsidRDefault="00074141" w14:paraId="3704C13D" w14:textId="77777777">
            <w:pPr>
              <w:spacing w:line="240" w:lineRule="atLeast"/>
            </w:pPr>
            <w:r w:rsidRPr="00766C61">
              <w:t xml:space="preserve"> (2017) 282</w:t>
            </w:r>
          </w:p>
        </w:tc>
        <w:tc>
          <w:tcPr>
            <w:tcW w:w="3260" w:type="dxa"/>
          </w:tcPr>
          <w:p w:rsidR="00074141" w:rsidP="008D1A55" w:rsidRDefault="00F86CDD" w14:paraId="55C52983" w14:textId="77777777">
            <w:pPr>
              <w:spacing w:line="240" w:lineRule="atLeast"/>
            </w:pPr>
            <w:r w:rsidRPr="00F86CDD">
              <w:t xml:space="preserve">Aanpassing van Richtlijn 2006/1/EG betreffende het gebruik van gehuurde voertuigen zonder bestuurder voor het vervoer van goederen over de weg. Voorgesteld wordt om de beperking van het gebruik van gehuurde voertuigen door eigen vervoerders te schrappen. Daarnaast  wordt voorgesteld de beperkingen voor het huren van voertuigen in andere lidstaten te versoepelen. Lidstaten krijgen met het nieuwe voorstel wel de mogelijkheid beperkingen te stellen aan de duur dat een onderneming op zijn grondgebied gebruik mag maken van gehuurde voertuigen, op voorwaarde dat het gebruik van het gehuurde voertuig is toegestaan voor een periode van tenminste twee aaneengesloten maanden in het jaar. </w:t>
            </w:r>
          </w:p>
          <w:p w:rsidRPr="00766C61" w:rsidR="00995526" w:rsidP="008D1A55" w:rsidRDefault="00995526" w14:paraId="67FF974D" w14:textId="63BC9C4D">
            <w:pPr>
              <w:spacing w:line="240" w:lineRule="atLeast"/>
            </w:pPr>
          </w:p>
        </w:tc>
        <w:tc>
          <w:tcPr>
            <w:tcW w:w="2835" w:type="dxa"/>
          </w:tcPr>
          <w:p w:rsidRPr="00766C61" w:rsidR="00074141" w:rsidP="00995526" w:rsidRDefault="007A1854" w14:paraId="535C5D02" w14:textId="07B1407D">
            <w:pPr>
              <w:spacing w:line="240" w:lineRule="atLeast"/>
              <w:rPr>
                <w:b/>
              </w:rPr>
            </w:pPr>
            <w:r>
              <w:t>Algemene oriëntatie bereikt door Transportraad juni 2021. Triloog is afgerond en de Raad heeft in januari met het resultaat ingestemd. EP TRAN stemt in maart en plenair in april.</w:t>
            </w:r>
          </w:p>
        </w:tc>
      </w:tr>
      <w:tr w:rsidRPr="00766C61" w:rsidR="00074141" w:rsidTr="00A31D1E" w14:paraId="7A448E13" w14:textId="77777777">
        <w:tc>
          <w:tcPr>
            <w:tcW w:w="1838" w:type="dxa"/>
          </w:tcPr>
          <w:p w:rsidRPr="00766C61" w:rsidR="00074141" w:rsidP="008D1A55" w:rsidRDefault="00074141" w14:paraId="26641CEC" w14:textId="77777777">
            <w:pPr>
              <w:spacing w:line="240" w:lineRule="atLeast"/>
            </w:pPr>
            <w:r w:rsidRPr="00766C61">
              <w:t>Wijziging verordening markttoegang busvervoer</w:t>
            </w:r>
          </w:p>
          <w:p w:rsidRPr="00766C61" w:rsidR="00074141" w:rsidP="008D1A55" w:rsidRDefault="00074141" w14:paraId="69B65256" w14:textId="77777777">
            <w:pPr>
              <w:spacing w:line="240" w:lineRule="atLeast"/>
            </w:pPr>
          </w:p>
          <w:p w:rsidRPr="00766C61" w:rsidR="00074141" w:rsidP="008D1A55" w:rsidRDefault="00074141" w14:paraId="1281ADD2" w14:textId="77777777">
            <w:pPr>
              <w:spacing w:line="240" w:lineRule="atLeast"/>
            </w:pPr>
          </w:p>
        </w:tc>
        <w:tc>
          <w:tcPr>
            <w:tcW w:w="1276" w:type="dxa"/>
          </w:tcPr>
          <w:p w:rsidRPr="00766C61" w:rsidR="00074141" w:rsidP="008D1A55" w:rsidRDefault="00074141" w14:paraId="13F61F71" w14:textId="77777777">
            <w:pPr>
              <w:spacing w:line="240" w:lineRule="atLeast"/>
            </w:pPr>
            <w:r w:rsidRPr="00766C61">
              <w:t xml:space="preserve"> (2017) 647</w:t>
            </w:r>
          </w:p>
        </w:tc>
        <w:tc>
          <w:tcPr>
            <w:tcW w:w="3260" w:type="dxa"/>
          </w:tcPr>
          <w:p w:rsidRPr="00766C61" w:rsidR="00074141" w:rsidP="008D1A55" w:rsidRDefault="00074141" w14:paraId="6420F6D5" w14:textId="77777777">
            <w:pPr>
              <w:spacing w:line="240" w:lineRule="atLeast"/>
            </w:pPr>
            <w:r w:rsidRPr="00766C61">
              <w:t>Het voorstel versterkt de bestaande verordening voor langeafstandsvervoer ter bevordering van het langeafstands-busvervoer als concurrerende en duurzame mobiliteitsvorm.</w:t>
            </w:r>
          </w:p>
          <w:p w:rsidRPr="00766C61" w:rsidR="00074141" w:rsidP="008D1A55" w:rsidRDefault="00074141" w14:paraId="5FAA3FD7" w14:textId="77777777">
            <w:pPr>
              <w:spacing w:line="240" w:lineRule="atLeast"/>
            </w:pPr>
          </w:p>
        </w:tc>
        <w:tc>
          <w:tcPr>
            <w:tcW w:w="2835" w:type="dxa"/>
          </w:tcPr>
          <w:p w:rsidRPr="00766C61" w:rsidR="00074141" w:rsidP="008D1A55" w:rsidRDefault="00074141" w14:paraId="215FFB9E" w14:textId="77777777">
            <w:pPr>
              <w:spacing w:line="240" w:lineRule="atLeast"/>
            </w:pPr>
            <w:r w:rsidRPr="00766C61">
              <w:t xml:space="preserve">Nog niet besproken in Raadskader. </w:t>
            </w:r>
          </w:p>
        </w:tc>
      </w:tr>
      <w:tr w:rsidRPr="00766C61" w:rsidR="00074141" w:rsidTr="00A31D1E" w14:paraId="0A04934F" w14:textId="77777777">
        <w:tc>
          <w:tcPr>
            <w:tcW w:w="1838" w:type="dxa"/>
          </w:tcPr>
          <w:p w:rsidRPr="00766C61" w:rsidR="00074141" w:rsidP="008D1A55" w:rsidRDefault="00074141" w14:paraId="7EE23575" w14:textId="77777777">
            <w:pPr>
              <w:spacing w:line="240" w:lineRule="atLeast"/>
            </w:pPr>
            <w:r w:rsidRPr="00766C61">
              <w:t>Herziening passagiersrechten luchtvaart</w:t>
            </w:r>
          </w:p>
        </w:tc>
        <w:tc>
          <w:tcPr>
            <w:tcW w:w="1276" w:type="dxa"/>
          </w:tcPr>
          <w:p w:rsidRPr="00766C61" w:rsidR="00074141" w:rsidP="008D1A55" w:rsidRDefault="00074141" w14:paraId="4729C37D" w14:textId="77777777">
            <w:pPr>
              <w:spacing w:line="240" w:lineRule="atLeast"/>
            </w:pPr>
            <w:r w:rsidRPr="00766C61">
              <w:t>(2013) 130</w:t>
            </w:r>
          </w:p>
        </w:tc>
        <w:tc>
          <w:tcPr>
            <w:tcW w:w="3260" w:type="dxa"/>
          </w:tcPr>
          <w:p w:rsidRPr="00766C61" w:rsidR="00074141" w:rsidP="008D1A55" w:rsidRDefault="00074141" w14:paraId="283D6129" w14:textId="77777777">
            <w:pPr>
              <w:spacing w:line="240" w:lineRule="atLeast"/>
            </w:pPr>
            <w:r w:rsidRPr="00766C61">
              <w:t>Voorstel voor verduidelijking en uniformering van de regels voor passagiersbescherming in de Europese luchtvaart.</w:t>
            </w:r>
          </w:p>
        </w:tc>
        <w:tc>
          <w:tcPr>
            <w:tcW w:w="2835" w:type="dxa"/>
          </w:tcPr>
          <w:p w:rsidR="00074141" w:rsidP="00535461" w:rsidRDefault="00535461" w14:paraId="6F436A93" w14:textId="77777777">
            <w:pPr>
              <w:spacing w:line="240" w:lineRule="atLeast"/>
            </w:pPr>
            <w:r>
              <w:t>In eerste semester 2020 b</w:t>
            </w:r>
            <w:r w:rsidRPr="00766C61" w:rsidR="00074141">
              <w:t>esproken onder Kroatisch voorzit</w:t>
            </w:r>
            <w:r w:rsidR="00074141">
              <w:softHyphen/>
            </w:r>
            <w:r w:rsidRPr="00766C61" w:rsidR="00074141">
              <w:t>terschap na vijf</w:t>
            </w:r>
            <w:r w:rsidR="008603D7">
              <w:t xml:space="preserve"> jaar stilstand. </w:t>
            </w:r>
            <w:r>
              <w:t>Ligt sindsdien weer stil.</w:t>
            </w:r>
          </w:p>
          <w:p w:rsidRPr="00766C61" w:rsidR="00E05D57" w:rsidP="00535461" w:rsidRDefault="00E05D57" w14:paraId="55C53810" w14:textId="2DAA09B7">
            <w:pPr>
              <w:spacing w:line="240" w:lineRule="atLeast"/>
            </w:pPr>
          </w:p>
        </w:tc>
      </w:tr>
      <w:tr w:rsidRPr="00766C61" w:rsidR="00074141" w:rsidTr="00A31D1E" w14:paraId="504C3F15" w14:textId="77777777">
        <w:tc>
          <w:tcPr>
            <w:tcW w:w="1838" w:type="dxa"/>
          </w:tcPr>
          <w:p w:rsidRPr="00766C61" w:rsidR="00074141" w:rsidP="008D1A55" w:rsidRDefault="00074141" w14:paraId="6C93FAD7" w14:textId="77777777">
            <w:pPr>
              <w:spacing w:line="240" w:lineRule="atLeast"/>
            </w:pPr>
            <w:r w:rsidRPr="00766C61">
              <w:t>Geamendeerd voorstel voor herziening Single European Sky (SES 2+)</w:t>
            </w:r>
          </w:p>
        </w:tc>
        <w:tc>
          <w:tcPr>
            <w:tcW w:w="1276" w:type="dxa"/>
          </w:tcPr>
          <w:p w:rsidRPr="00766C61" w:rsidR="00074141" w:rsidP="008D1A55" w:rsidRDefault="00074141" w14:paraId="040AEC57" w14:textId="77777777">
            <w:pPr>
              <w:spacing w:line="240" w:lineRule="atLeast"/>
            </w:pPr>
            <w:r w:rsidRPr="00766C61">
              <w:t>(2020) 577</w:t>
            </w:r>
          </w:p>
          <w:p w:rsidRPr="00766C61" w:rsidR="00074141" w:rsidP="008D1A55" w:rsidRDefault="00074141" w14:paraId="32197E2D" w14:textId="77777777">
            <w:pPr>
              <w:spacing w:line="240" w:lineRule="atLeast"/>
            </w:pPr>
            <w:r w:rsidRPr="00766C61">
              <w:t>(2020) 579</w:t>
            </w:r>
          </w:p>
          <w:p w:rsidRPr="00766C61" w:rsidR="00074141" w:rsidP="008D1A55" w:rsidRDefault="00074141" w14:paraId="170A6382" w14:textId="77777777">
            <w:pPr>
              <w:spacing w:line="240" w:lineRule="atLeast"/>
            </w:pPr>
          </w:p>
        </w:tc>
        <w:tc>
          <w:tcPr>
            <w:tcW w:w="3260" w:type="dxa"/>
          </w:tcPr>
          <w:p w:rsidRPr="00766C61" w:rsidR="00074141" w:rsidP="008D1A55" w:rsidRDefault="00074141" w14:paraId="04983FEE" w14:textId="77777777">
            <w:pPr>
              <w:spacing w:line="240" w:lineRule="atLeast"/>
            </w:pPr>
            <w:r w:rsidRPr="00766C61">
              <w:t>Herziening van voorstel COM (2013) 409. Het initiële voorstel dateert uit 2015. Doel is om het Europese luchtruim te stroomlijnen.</w:t>
            </w:r>
          </w:p>
          <w:p w:rsidRPr="00766C61" w:rsidR="00074141" w:rsidP="008D1A55" w:rsidRDefault="00074141" w14:paraId="5FD94ECC" w14:textId="77777777">
            <w:pPr>
              <w:spacing w:line="240" w:lineRule="atLeast"/>
            </w:pPr>
          </w:p>
        </w:tc>
        <w:tc>
          <w:tcPr>
            <w:tcW w:w="2835" w:type="dxa"/>
          </w:tcPr>
          <w:p w:rsidR="00074141" w:rsidP="00E05D57" w:rsidRDefault="002F584A" w14:paraId="63A36A5C" w14:textId="69AB58ED">
            <w:pPr>
              <w:spacing w:line="240" w:lineRule="atLeast"/>
            </w:pPr>
            <w:r>
              <w:t>A</w:t>
            </w:r>
            <w:r w:rsidR="002A2A79">
              <w:t xml:space="preserve">lgemene oriëntatie </w:t>
            </w:r>
            <w:r>
              <w:t>bereikt tijdens de Transportraad in juni 2021. Triloog met E</w:t>
            </w:r>
            <w:r w:rsidR="007E0B79">
              <w:t xml:space="preserve">uropees </w:t>
            </w:r>
            <w:r>
              <w:t>P</w:t>
            </w:r>
            <w:r w:rsidR="007E0B79">
              <w:t>arlement</w:t>
            </w:r>
            <w:r>
              <w:t xml:space="preserve"> gestart.</w:t>
            </w:r>
            <w:r w:rsidR="00E05D57">
              <w:t xml:space="preserve"> In november </w:t>
            </w:r>
            <w:r w:rsidR="00717B1B">
              <w:t>20</w:t>
            </w:r>
            <w:r w:rsidR="00E05D57">
              <w:t>21</w:t>
            </w:r>
            <w:r w:rsidRPr="00E05D57" w:rsidR="00E05D57">
              <w:t xml:space="preserve"> vond </w:t>
            </w:r>
            <w:r w:rsidR="002A2A79">
              <w:t xml:space="preserve">de tweede en </w:t>
            </w:r>
            <w:r w:rsidRPr="00E05D57" w:rsidR="00E05D57">
              <w:t xml:space="preserve">vooralsnog laatste triloog plaats. </w:t>
            </w:r>
            <w:r w:rsidR="002A2A79">
              <w:t>Nog geen akkoord bereikt.</w:t>
            </w:r>
          </w:p>
          <w:p w:rsidRPr="00766C61" w:rsidR="00E05D57" w:rsidP="00E05D57" w:rsidRDefault="00E05D57" w14:paraId="2EB0D0EF" w14:textId="68035A13">
            <w:pPr>
              <w:spacing w:line="240" w:lineRule="atLeast"/>
            </w:pPr>
          </w:p>
        </w:tc>
      </w:tr>
      <w:tr w:rsidRPr="00766C61" w:rsidR="00B07ACE" w:rsidTr="00A31D1E" w14:paraId="03EEB473" w14:textId="77777777">
        <w:tc>
          <w:tcPr>
            <w:tcW w:w="1838" w:type="dxa"/>
          </w:tcPr>
          <w:p w:rsidRPr="0086755A" w:rsidR="00B07ACE" w:rsidP="008D1A55" w:rsidRDefault="00B07ACE" w14:paraId="3F406D88" w14:textId="1F28F250">
            <w:pPr>
              <w:spacing w:line="240" w:lineRule="atLeast"/>
            </w:pPr>
            <w:r w:rsidRPr="00B07ACE">
              <w:t>Verordening bijmengverplichting van duurzame luchtvaartbrandstoffen</w:t>
            </w:r>
          </w:p>
        </w:tc>
        <w:tc>
          <w:tcPr>
            <w:tcW w:w="1276" w:type="dxa"/>
          </w:tcPr>
          <w:p w:rsidRPr="00D435DA" w:rsidR="00B07ACE" w:rsidP="008D1A55" w:rsidRDefault="00B07ACE" w14:paraId="25B6D299" w14:textId="326E6B7A">
            <w:pPr>
              <w:spacing w:line="240" w:lineRule="atLeast"/>
            </w:pPr>
            <w:r>
              <w:t xml:space="preserve">(2021) </w:t>
            </w:r>
            <w:r w:rsidRPr="00B07ACE">
              <w:t>561</w:t>
            </w:r>
          </w:p>
        </w:tc>
        <w:tc>
          <w:tcPr>
            <w:tcW w:w="3260" w:type="dxa"/>
          </w:tcPr>
          <w:p w:rsidR="00B07ACE" w:rsidP="008D1A55" w:rsidRDefault="00BA6881" w14:paraId="3DC8AE78" w14:textId="457B2590">
            <w:pPr>
              <w:spacing w:line="240" w:lineRule="atLeast"/>
            </w:pPr>
            <w:r>
              <w:t>Voorstel om</w:t>
            </w:r>
            <w:r w:rsidRPr="00B07ACE" w:rsidR="00B07ACE">
              <w:t xml:space="preserve"> middels een Europese bijmengverplichting van duurzame luchtvaartbrandstoffen de CO2-emissies van de luchtvaartsector significant te reduceren en de transitie naar innovatieve en duurzame luchtvaartbrandstoffen te versnellen. Dit zal leiden tot een opschaling in productiecapaciteit van duurzame luchtvaartbrandstoffen en (op termijn) een reductie in productiekosten van deze brandstoffen.</w:t>
            </w:r>
          </w:p>
          <w:p w:rsidR="00B07ACE" w:rsidP="008D1A55" w:rsidRDefault="00B07ACE" w14:paraId="71BA0967" w14:textId="1D576BA1">
            <w:pPr>
              <w:spacing w:line="240" w:lineRule="atLeast"/>
            </w:pPr>
          </w:p>
        </w:tc>
        <w:tc>
          <w:tcPr>
            <w:tcW w:w="2835" w:type="dxa"/>
          </w:tcPr>
          <w:p w:rsidR="00B07ACE" w:rsidP="007264FD" w:rsidRDefault="00B07ACE" w14:paraId="09079BBF" w14:textId="66841142">
            <w:pPr>
              <w:spacing w:line="240" w:lineRule="atLeast"/>
            </w:pPr>
            <w:r>
              <w:t>Voorstel in juli 2021 gepubliceerd. Bevindt zich nu in de eerste lezing.</w:t>
            </w:r>
            <w:r w:rsidR="00D67B9B">
              <w:t xml:space="preserve"> </w:t>
            </w:r>
            <w:r w:rsidR="00995526">
              <w:t>B</w:t>
            </w:r>
            <w:r w:rsidR="00D67B9B">
              <w:t>esproken in de Transportraad van 9</w:t>
            </w:r>
            <w:r w:rsidR="00717B1B">
              <w:t xml:space="preserve"> december 2021</w:t>
            </w:r>
            <w:r w:rsidR="00D67B9B">
              <w:t>.</w:t>
            </w:r>
            <w:r w:rsidR="00995526">
              <w:t xml:space="preserve"> Onderhandelingen </w:t>
            </w:r>
            <w:r w:rsidR="00881699">
              <w:t>voortgezet</w:t>
            </w:r>
            <w:r w:rsidR="007264FD">
              <w:t xml:space="preserve"> </w:t>
            </w:r>
            <w:r w:rsidR="00995526">
              <w:t>onder Frans Voorzitterschap.</w:t>
            </w:r>
          </w:p>
        </w:tc>
      </w:tr>
      <w:tr w:rsidRPr="00766C61" w:rsidR="00B07ACE" w:rsidTr="00A31D1E" w14:paraId="03978E90" w14:textId="77777777">
        <w:tc>
          <w:tcPr>
            <w:tcW w:w="1838" w:type="dxa"/>
          </w:tcPr>
          <w:p w:rsidR="00B07ACE" w:rsidP="008D1A55" w:rsidRDefault="00B07ACE" w14:paraId="7C4C2205" w14:textId="77777777">
            <w:pPr>
              <w:spacing w:line="240" w:lineRule="atLeast"/>
            </w:pPr>
            <w:r w:rsidRPr="00B07ACE">
              <w:t>Verordening stimuleren hernieuwbare en koolstofarme brandstoffen in de zeevaart</w:t>
            </w:r>
          </w:p>
          <w:p w:rsidRPr="0086755A" w:rsidR="00B07ACE" w:rsidP="008D1A55" w:rsidRDefault="00B07ACE" w14:paraId="06ECB6AE" w14:textId="5F8E9738">
            <w:pPr>
              <w:spacing w:line="240" w:lineRule="atLeast"/>
            </w:pPr>
          </w:p>
        </w:tc>
        <w:tc>
          <w:tcPr>
            <w:tcW w:w="1276" w:type="dxa"/>
          </w:tcPr>
          <w:p w:rsidRPr="00D435DA" w:rsidR="00B07ACE" w:rsidP="008D1A55" w:rsidRDefault="00B07ACE" w14:paraId="4228DD1E" w14:textId="43B09C7B">
            <w:pPr>
              <w:spacing w:line="240" w:lineRule="atLeast"/>
            </w:pPr>
            <w:r w:rsidRPr="00B07ACE">
              <w:t>(2021) 562</w:t>
            </w:r>
          </w:p>
        </w:tc>
        <w:tc>
          <w:tcPr>
            <w:tcW w:w="3260" w:type="dxa"/>
          </w:tcPr>
          <w:p w:rsidR="00B07ACE" w:rsidP="008D1A55" w:rsidRDefault="00BA6881" w14:paraId="00D9FCBD" w14:textId="24AC838E">
            <w:pPr>
              <w:spacing w:line="240" w:lineRule="atLeast"/>
            </w:pPr>
            <w:r>
              <w:t>V</w:t>
            </w:r>
            <w:r w:rsidRPr="00B07ACE" w:rsidR="00B07ACE">
              <w:t xml:space="preserve">oorstel voor een verordening om hernieuwbare en koolstofarme brandstoffen in het maritieme transport te stimuleren en de richtlijn betreffende havenstaatcontroles  te amenderen. De verordening </w:t>
            </w:r>
            <w:r>
              <w:t>beoogt</w:t>
            </w:r>
            <w:r w:rsidRPr="00B07ACE" w:rsidR="00B07ACE">
              <w:t xml:space="preserve"> de vraag naar hernieuwbare en koolstofarme brandstoffen in de zeevaart te stimuleren met als doel het reduceren van de uitstoot van de broeikasgassen.</w:t>
            </w:r>
          </w:p>
          <w:p w:rsidR="00B07ACE" w:rsidP="008D1A55" w:rsidRDefault="00B07ACE" w14:paraId="34B7B2AC" w14:textId="49EC1477">
            <w:pPr>
              <w:spacing w:line="240" w:lineRule="atLeast"/>
            </w:pPr>
          </w:p>
        </w:tc>
        <w:tc>
          <w:tcPr>
            <w:tcW w:w="2835" w:type="dxa"/>
          </w:tcPr>
          <w:p w:rsidR="00B07ACE" w:rsidP="00482318" w:rsidRDefault="00B07ACE" w14:paraId="064E441C" w14:textId="6DC153B7">
            <w:pPr>
              <w:spacing w:line="240" w:lineRule="atLeast"/>
            </w:pPr>
            <w:r>
              <w:t xml:space="preserve">Voorstel in juli 2021 gepubliceerd. </w:t>
            </w:r>
            <w:r w:rsidR="002B6935">
              <w:t>Beleidsdebat in de Transportraad van 9</w:t>
            </w:r>
            <w:r w:rsidR="00717B1B">
              <w:t xml:space="preserve"> december 2021.</w:t>
            </w:r>
            <w:r w:rsidR="002B6935">
              <w:t xml:space="preserve"> O</w:t>
            </w:r>
            <w:r w:rsidRPr="002B6935" w:rsidR="002B6935">
              <w:t xml:space="preserve">nderhandelingen </w:t>
            </w:r>
            <w:r w:rsidR="002B6935">
              <w:t>van start gaan onder Frans V</w:t>
            </w:r>
            <w:r w:rsidRPr="002B6935" w:rsidR="002B6935">
              <w:t>oorzitterschap</w:t>
            </w:r>
            <w:r>
              <w:t>.</w:t>
            </w:r>
            <w:r w:rsidR="00D67B9B">
              <w:t xml:space="preserve"> </w:t>
            </w:r>
          </w:p>
        </w:tc>
      </w:tr>
      <w:tr w:rsidRPr="00766C61" w:rsidR="00B07ACE" w:rsidTr="00A31D1E" w14:paraId="6259DBB3" w14:textId="77777777">
        <w:tc>
          <w:tcPr>
            <w:tcW w:w="1838" w:type="dxa"/>
          </w:tcPr>
          <w:p w:rsidR="00B07ACE" w:rsidP="008D1A55" w:rsidRDefault="00BA6881" w14:paraId="7129FE9A" w14:textId="77777777">
            <w:pPr>
              <w:spacing w:line="240" w:lineRule="atLeast"/>
            </w:pPr>
            <w:r w:rsidRPr="00BA6881">
              <w:t>Voorstel voor een verordening van het Europees Parlement en de Raad over de uitrol van infrastructuur voor alternatieve brandstoffen en tot intrekking van richtlijn 2014/94/EU</w:t>
            </w:r>
          </w:p>
          <w:p w:rsidRPr="0086755A" w:rsidR="00BA6881" w:rsidP="008D1A55" w:rsidRDefault="00BA6881" w14:paraId="2DECF19A" w14:textId="5299CBBD">
            <w:pPr>
              <w:spacing w:line="240" w:lineRule="atLeast"/>
            </w:pPr>
          </w:p>
        </w:tc>
        <w:tc>
          <w:tcPr>
            <w:tcW w:w="1276" w:type="dxa"/>
          </w:tcPr>
          <w:p w:rsidRPr="00D435DA" w:rsidR="00B07ACE" w:rsidP="008D1A55" w:rsidRDefault="00BA6881" w14:paraId="75FD69D9" w14:textId="5C225B9E">
            <w:pPr>
              <w:spacing w:line="240" w:lineRule="atLeast"/>
            </w:pPr>
            <w:r w:rsidRPr="00BA6881">
              <w:t>(2021) 559</w:t>
            </w:r>
          </w:p>
        </w:tc>
        <w:tc>
          <w:tcPr>
            <w:tcW w:w="3260" w:type="dxa"/>
          </w:tcPr>
          <w:p w:rsidR="00B07ACE" w:rsidP="008D1A55" w:rsidRDefault="00BA6881" w14:paraId="250837D9" w14:textId="19791B3B">
            <w:pPr>
              <w:spacing w:line="240" w:lineRule="atLeast"/>
            </w:pPr>
            <w:r>
              <w:t>Voorstel om</w:t>
            </w:r>
            <w:r w:rsidRPr="00BA6881">
              <w:t xml:space="preserve"> de uitrol van infrastructuur voor alternatieve brandstoffen in de EU te versnellen door o.a. bindende doelen op te nemen voor de uitrol van alternatieve tank- en laadcapaciteit op het Europese infrastructuur kern- en uitgebreide netwerk (Trans-European Network for Transport - TEN-T ) en op stedelijke knooppunten.</w:t>
            </w:r>
          </w:p>
          <w:p w:rsidR="00BA6881" w:rsidP="008D1A55" w:rsidRDefault="00BA6881" w14:paraId="15D29FEC" w14:textId="602275A5">
            <w:pPr>
              <w:spacing w:line="240" w:lineRule="atLeast"/>
            </w:pPr>
          </w:p>
        </w:tc>
        <w:tc>
          <w:tcPr>
            <w:tcW w:w="2835" w:type="dxa"/>
          </w:tcPr>
          <w:p w:rsidR="00B07ACE" w:rsidP="002A2A79" w:rsidRDefault="00BA6881" w14:paraId="4C4DDE66" w14:textId="23D6C199">
            <w:pPr>
              <w:spacing w:line="240" w:lineRule="atLeast"/>
            </w:pPr>
            <w:r>
              <w:t>Voorstel in juli 2021 gepubliceerd. Bevindt zich nu in de eerste lezing.</w:t>
            </w:r>
            <w:r w:rsidR="00D67B9B">
              <w:t xml:space="preserve"> </w:t>
            </w:r>
            <w:r w:rsidR="002A2A79">
              <w:t>Beleidsdebat</w:t>
            </w:r>
            <w:r w:rsidR="00D67B9B">
              <w:t xml:space="preserve"> in de Transportraad van 9</w:t>
            </w:r>
            <w:r w:rsidR="00717B1B">
              <w:t xml:space="preserve"> december 2021. </w:t>
            </w:r>
            <w:r w:rsidR="007264FD">
              <w:t xml:space="preserve">Onderhandelingen </w:t>
            </w:r>
            <w:r w:rsidR="00881699">
              <w:t xml:space="preserve">voortgezet </w:t>
            </w:r>
            <w:r w:rsidR="007264FD">
              <w:t>onder Frans Voorzitterschap.</w:t>
            </w:r>
          </w:p>
        </w:tc>
      </w:tr>
      <w:tr w:rsidRPr="00766C61" w:rsidR="00BA6881" w:rsidTr="00A31D1E" w14:paraId="16AEF5E2" w14:textId="77777777">
        <w:tc>
          <w:tcPr>
            <w:tcW w:w="1838" w:type="dxa"/>
          </w:tcPr>
          <w:p w:rsidR="00BA6881" w:rsidP="008D1A55" w:rsidRDefault="002B6935" w14:paraId="5934D385" w14:textId="2C629A29">
            <w:pPr>
              <w:spacing w:line="240" w:lineRule="atLeast"/>
            </w:pPr>
            <w:r w:rsidRPr="002B6935">
              <w:t>B</w:t>
            </w:r>
            <w:r>
              <w:t xml:space="preserve">esluit van het Europees Parlement en de Raad </w:t>
            </w:r>
            <w:r w:rsidRPr="002B6935">
              <w:t>tot wijziging van Richtlijn 2003/87/EG betreffende de notificatie van CO2-compensatie door luchtvaartmaatschappijen uit de Unie in relatie tot de mondiale marktgerichte maatregel</w:t>
            </w:r>
            <w:r>
              <w:t xml:space="preserve"> CORSIA</w:t>
            </w:r>
          </w:p>
          <w:p w:rsidRPr="00BA6881" w:rsidR="00BA6881" w:rsidP="008D1A55" w:rsidRDefault="00BA6881" w14:paraId="22C1542E" w14:textId="6B5C9108">
            <w:pPr>
              <w:spacing w:line="240" w:lineRule="atLeast"/>
            </w:pPr>
          </w:p>
        </w:tc>
        <w:tc>
          <w:tcPr>
            <w:tcW w:w="1276" w:type="dxa"/>
          </w:tcPr>
          <w:p w:rsidRPr="00BA6881" w:rsidR="00BA6881" w:rsidP="00BA6881" w:rsidRDefault="00BA6881" w14:paraId="6DC71BE3" w14:textId="7CE3CE96">
            <w:pPr>
              <w:spacing w:line="240" w:lineRule="atLeast"/>
            </w:pPr>
            <w:r>
              <w:t>(2021) 567</w:t>
            </w:r>
          </w:p>
        </w:tc>
        <w:tc>
          <w:tcPr>
            <w:tcW w:w="3260" w:type="dxa"/>
          </w:tcPr>
          <w:p w:rsidR="00BA6881" w:rsidP="00BA6881" w:rsidRDefault="002B6935" w14:paraId="5DF1E37D" w14:textId="7C05AC4C">
            <w:pPr>
              <w:spacing w:line="240" w:lineRule="atLeast"/>
            </w:pPr>
            <w:r>
              <w:t>V</w:t>
            </w:r>
            <w:r w:rsidR="00BA6881">
              <w:t xml:space="preserve">oorstel voor een besluit van de Raad en het Europees Parlement tot wijziging van de ETS-richtlijn met het oog op de notificatie aan luchtvaartmaatschappijen van CO2-emissies </w:t>
            </w:r>
            <w:r>
              <w:t>onder CORSIA over het jaar 2021</w:t>
            </w:r>
            <w:r w:rsidR="00BA6881">
              <w:t>.</w:t>
            </w:r>
          </w:p>
          <w:p w:rsidR="00BA6881" w:rsidP="00BA6881" w:rsidRDefault="00BA6881" w14:paraId="0A85BB22" w14:textId="099CC302">
            <w:pPr>
              <w:spacing w:line="240" w:lineRule="atLeast"/>
            </w:pPr>
          </w:p>
        </w:tc>
        <w:tc>
          <w:tcPr>
            <w:tcW w:w="2835" w:type="dxa"/>
          </w:tcPr>
          <w:p w:rsidR="00BA6881" w:rsidP="004C0446" w:rsidRDefault="00BA6881" w14:paraId="4768B32F" w14:textId="3603AFB6">
            <w:pPr>
              <w:spacing w:line="240" w:lineRule="atLeast"/>
            </w:pPr>
            <w:r>
              <w:t>Voorstel in juli 2021 gepubliceerd. Bevindt zich nu in de eerste lezing.</w:t>
            </w:r>
            <w:r w:rsidR="00D67B9B">
              <w:t xml:space="preserve"> </w:t>
            </w:r>
            <w:r w:rsidR="00AB5C31">
              <w:t xml:space="preserve">Onderhandelingen </w:t>
            </w:r>
            <w:r w:rsidR="00881699">
              <w:t xml:space="preserve">voortgezet </w:t>
            </w:r>
            <w:r w:rsidR="00AB5C31">
              <w:t>onder Frans Voorzitterschap.</w:t>
            </w:r>
          </w:p>
        </w:tc>
      </w:tr>
      <w:tr w:rsidRPr="00766C61" w:rsidR="004519C9" w:rsidTr="00A31D1E" w14:paraId="78924254" w14:textId="77777777">
        <w:tc>
          <w:tcPr>
            <w:tcW w:w="1838" w:type="dxa"/>
          </w:tcPr>
          <w:p w:rsidR="00B66F45" w:rsidP="00B66F45" w:rsidRDefault="004519C9" w14:paraId="083AC555" w14:textId="77777777">
            <w:pPr>
              <w:spacing w:line="240" w:lineRule="atLeast"/>
            </w:pPr>
            <w:r>
              <w:t>Herziening TEN-T Verordening</w:t>
            </w:r>
            <w:r w:rsidR="00B66F45">
              <w:t xml:space="preserve"> en </w:t>
            </w:r>
            <w:r w:rsidRPr="008E42E4" w:rsidR="00B66F45">
              <w:t xml:space="preserve">Mededeling van de Europese Commissie </w:t>
            </w:r>
            <w:r w:rsidR="00B66F45">
              <w:t>betreffende</w:t>
            </w:r>
            <w:r w:rsidRPr="008E42E4" w:rsidR="00B66F45">
              <w:t xml:space="preserve"> de uitbreiding van </w:t>
            </w:r>
            <w:r w:rsidR="00B66F45">
              <w:t>het Trans-Europese Transport Netwerk (</w:t>
            </w:r>
            <w:r w:rsidRPr="008E42E4" w:rsidR="00B66F45">
              <w:t>TEN-T</w:t>
            </w:r>
            <w:r w:rsidR="00B66F45">
              <w:t>) naar naburige en derde landen</w:t>
            </w:r>
          </w:p>
          <w:p w:rsidRPr="0086755A" w:rsidR="004519C9" w:rsidP="008D1A55" w:rsidRDefault="004519C9" w14:paraId="15026F55" w14:textId="51B112BD">
            <w:pPr>
              <w:spacing w:line="240" w:lineRule="atLeast"/>
            </w:pPr>
          </w:p>
        </w:tc>
        <w:tc>
          <w:tcPr>
            <w:tcW w:w="1276" w:type="dxa"/>
          </w:tcPr>
          <w:p w:rsidR="004519C9" w:rsidP="008D1A55" w:rsidRDefault="004C0446" w14:paraId="10DBD972" w14:textId="77777777">
            <w:pPr>
              <w:spacing w:line="240" w:lineRule="atLeast"/>
            </w:pPr>
            <w:r w:rsidRPr="004C0446">
              <w:t>(2021) 812</w:t>
            </w:r>
          </w:p>
          <w:p w:rsidRPr="00D435DA" w:rsidR="00B66F45" w:rsidP="008D1A55" w:rsidRDefault="00B66F45" w14:paraId="1975BCB0" w14:textId="5D31A562">
            <w:pPr>
              <w:spacing w:line="240" w:lineRule="atLeast"/>
            </w:pPr>
            <w:r w:rsidRPr="008E42E4">
              <w:t>(2021) 820</w:t>
            </w:r>
          </w:p>
        </w:tc>
        <w:tc>
          <w:tcPr>
            <w:tcW w:w="3260" w:type="dxa"/>
          </w:tcPr>
          <w:p w:rsidRPr="00A3414D" w:rsidR="00B66F45" w:rsidP="00A3414D" w:rsidRDefault="00A3414D" w14:paraId="33F65B88" w14:textId="48BCECE8">
            <w:pPr>
              <w:spacing w:line="240" w:lineRule="atLeast"/>
            </w:pPr>
            <w:r w:rsidRPr="002B6935">
              <w:t xml:space="preserve">Voorstel tot herziening van de verordening teneinde realisatie van het Trans-Europese Transport Netwerk (TEN-T). Het voorstel beoogt de </w:t>
            </w:r>
            <w:r>
              <w:t xml:space="preserve">huidige </w:t>
            </w:r>
            <w:r w:rsidRPr="002B6935">
              <w:t xml:space="preserve">knelpunten en technische </w:t>
            </w:r>
            <w:r w:rsidRPr="00A3414D">
              <w:t>barrières</w:t>
            </w:r>
            <w:r w:rsidRPr="002B6935">
              <w:t xml:space="preserve"> bij de realisatie van het netwerk tegen te gaan</w:t>
            </w:r>
            <w:r>
              <w:t>, om op die manier een toekomstgericht, veilig, veerkrachtig, duurzaam en slim TEN-T te bewerkstelligen</w:t>
            </w:r>
            <w:r w:rsidRPr="002B6935">
              <w:t xml:space="preserve">. </w:t>
            </w:r>
            <w:r w:rsidRPr="008E42E4" w:rsidR="00B66F45">
              <w:t xml:space="preserve">De </w:t>
            </w:r>
            <w:r w:rsidR="000E64F5">
              <w:t>m</w:t>
            </w:r>
            <w:r w:rsidRPr="008E42E4" w:rsidR="00B66F45">
              <w:t>ededeling ligt in het verlengde van de focus van TEN-T op samenwerking met naburige landen</w:t>
            </w:r>
            <w:r w:rsidR="000E64F5">
              <w:t>.</w:t>
            </w:r>
            <w:r w:rsidR="00B66F45">
              <w:t xml:space="preserve"> </w:t>
            </w:r>
            <w:r w:rsidRPr="008E42E4" w:rsidR="00B66F45">
              <w:t xml:space="preserve"> </w:t>
            </w:r>
          </w:p>
          <w:p w:rsidRPr="00D67B9B" w:rsidR="004519C9" w:rsidP="00A3414D" w:rsidRDefault="004519C9" w14:paraId="54D4773D" w14:textId="36B9B798">
            <w:pPr>
              <w:spacing w:line="240" w:lineRule="atLeast"/>
            </w:pPr>
          </w:p>
        </w:tc>
        <w:tc>
          <w:tcPr>
            <w:tcW w:w="2835" w:type="dxa"/>
          </w:tcPr>
          <w:p w:rsidR="004519C9" w:rsidP="006E49B9" w:rsidRDefault="00A3414D" w14:paraId="254AB89D" w14:textId="5EBDE9E1">
            <w:pPr>
              <w:spacing w:line="240" w:lineRule="atLeast"/>
            </w:pPr>
            <w:r>
              <w:t>Voorste</w:t>
            </w:r>
            <w:r w:rsidR="00B66F45">
              <w:t>l</w:t>
            </w:r>
            <w:r>
              <w:t>l</w:t>
            </w:r>
            <w:r w:rsidR="00B66F45">
              <w:t>en</w:t>
            </w:r>
            <w:r>
              <w:t xml:space="preserve"> </w:t>
            </w:r>
            <w:r w:rsidRPr="008E42E4" w:rsidR="00717B1B">
              <w:t xml:space="preserve">op 14 december </w:t>
            </w:r>
            <w:r w:rsidR="00717B1B">
              <w:t xml:space="preserve">2021 </w:t>
            </w:r>
            <w:r>
              <w:t>gepresenteerd.</w:t>
            </w:r>
            <w:r w:rsidR="00D67B9B">
              <w:t xml:space="preserve"> Kamer geïnformeerd via het gebruikelijke BNC-fiche</w:t>
            </w:r>
            <w:r w:rsidR="00963F75">
              <w:t xml:space="preserve"> d.d. 11 februari jl</w:t>
            </w:r>
            <w:r w:rsidR="00D67B9B">
              <w:t>.</w:t>
            </w:r>
            <w:r w:rsidRPr="008E42E4" w:rsidR="00B66F45">
              <w:t xml:space="preserve"> </w:t>
            </w:r>
            <w:r w:rsidR="00963F75">
              <w:t>Onderhandelingen van start gegaan onder Frans Voorzitterschap.</w:t>
            </w:r>
          </w:p>
          <w:p w:rsidR="00A3414D" w:rsidP="006E49B9" w:rsidRDefault="00A3414D" w14:paraId="75EF4E0D" w14:textId="68FBF74A">
            <w:pPr>
              <w:spacing w:line="240" w:lineRule="atLeast"/>
            </w:pPr>
          </w:p>
        </w:tc>
      </w:tr>
      <w:tr w:rsidRPr="00766C61" w:rsidR="004519C9" w:rsidTr="00A31D1E" w14:paraId="6F961836" w14:textId="77777777">
        <w:tc>
          <w:tcPr>
            <w:tcW w:w="1838" w:type="dxa"/>
          </w:tcPr>
          <w:p w:rsidR="00A3414D" w:rsidP="00A3414D" w:rsidRDefault="00A3414D" w14:paraId="2EE2CFBB" w14:textId="79A5B5AF">
            <w:pPr>
              <w:spacing w:line="240" w:lineRule="atLeast"/>
            </w:pPr>
            <w:r>
              <w:t>V</w:t>
            </w:r>
            <w:r w:rsidR="001E514A">
              <w:t>oorstel tot herziening van de Ri</w:t>
            </w:r>
            <w:r>
              <w:t xml:space="preserve">chtlijn betreffende het kader voor het invoeren van intelligente vervoerssystemen op het gebied van </w:t>
            </w:r>
          </w:p>
          <w:p w:rsidR="004519C9" w:rsidP="00A3414D" w:rsidRDefault="00A3414D" w14:paraId="023F089A" w14:textId="77777777">
            <w:pPr>
              <w:spacing w:line="240" w:lineRule="atLeast"/>
            </w:pPr>
            <w:r>
              <w:t>wegvervoer en voor interfaces met andere vervoerswijzen (</w:t>
            </w:r>
            <w:r w:rsidR="004519C9">
              <w:t>ITS-Richtlijn</w:t>
            </w:r>
            <w:r>
              <w:t>)</w:t>
            </w:r>
          </w:p>
          <w:p w:rsidR="00A3414D" w:rsidP="00A3414D" w:rsidRDefault="00A3414D" w14:paraId="32781051" w14:textId="08821A7E">
            <w:pPr>
              <w:spacing w:line="240" w:lineRule="atLeast"/>
            </w:pPr>
          </w:p>
        </w:tc>
        <w:tc>
          <w:tcPr>
            <w:tcW w:w="1276" w:type="dxa"/>
          </w:tcPr>
          <w:p w:rsidRPr="00D435DA" w:rsidR="004519C9" w:rsidP="008D1A55" w:rsidRDefault="006C781F" w14:paraId="4316BF54" w14:textId="55B4EA9F">
            <w:pPr>
              <w:spacing w:line="240" w:lineRule="atLeast"/>
            </w:pPr>
            <w:r>
              <w:t>(2021) 813</w:t>
            </w:r>
          </w:p>
        </w:tc>
        <w:tc>
          <w:tcPr>
            <w:tcW w:w="3260" w:type="dxa"/>
          </w:tcPr>
          <w:p w:rsidR="00A3414D" w:rsidP="00A3414D" w:rsidRDefault="00A3414D" w14:paraId="0547F57C" w14:textId="088C1E71">
            <w:pPr>
              <w:spacing w:line="240" w:lineRule="atLeast"/>
            </w:pPr>
            <w:r>
              <w:t xml:space="preserve">Voorstel </w:t>
            </w:r>
            <w:r w:rsidR="001E514A">
              <w:t>tot herziening van de</w:t>
            </w:r>
            <w:r>
              <w:t xml:space="preserve"> Intelligente vervoerssystemen (ITS) </w:t>
            </w:r>
            <w:r w:rsidR="000E64F5">
              <w:t>r</w:t>
            </w:r>
            <w:r w:rsidR="001E514A">
              <w:t>ichtlijn</w:t>
            </w:r>
            <w:r w:rsidR="000E64F5">
              <w:t xml:space="preserve">, Doel is </w:t>
            </w:r>
            <w:r w:rsidR="001E514A">
              <w:t>een effectieve realisatie van de oorspronkelijk richtlijn die gericht was op geavanceerde toe</w:t>
            </w:r>
            <w:r>
              <w:t xml:space="preserve">passingen </w:t>
            </w:r>
            <w:r w:rsidR="001E514A">
              <w:t>voor</w:t>
            </w:r>
            <w:r>
              <w:t xml:space="preserve"> het aanbieden van innovatieve diensten inzake verschill</w:t>
            </w:r>
            <w:r w:rsidR="001E514A">
              <w:t>ende vervoerswijzen en verkeers</w:t>
            </w:r>
            <w:r>
              <w:t>beheer</w:t>
            </w:r>
            <w:r w:rsidR="000E64F5">
              <w:t xml:space="preserve">. Hierdoor worden </w:t>
            </w:r>
            <w:r>
              <w:t xml:space="preserve">uiteenlopende gebruikers in staat </w:t>
            </w:r>
            <w:r w:rsidR="000E64F5">
              <w:t>gesteld om zich beter te inf</w:t>
            </w:r>
            <w:r>
              <w:t xml:space="preserve">ormeren en veiliger, meer gecoördineerd </w:t>
            </w:r>
          </w:p>
          <w:p w:rsidR="002B6935" w:rsidP="002B6935" w:rsidRDefault="001E514A" w14:paraId="7BB1357E" w14:textId="77777777">
            <w:pPr>
              <w:spacing w:line="240" w:lineRule="atLeast"/>
            </w:pPr>
            <w:r>
              <w:t>en slimmer</w:t>
            </w:r>
            <w:r w:rsidR="00A3414D">
              <w:t xml:space="preserve"> gebruik te maken van vervoersnetwerken.</w:t>
            </w:r>
          </w:p>
          <w:p w:rsidR="00983B33" w:rsidP="002B6935" w:rsidRDefault="00983B33" w14:paraId="5AB6D36E" w14:textId="3CF41AB4">
            <w:pPr>
              <w:spacing w:line="240" w:lineRule="atLeast"/>
            </w:pPr>
          </w:p>
        </w:tc>
        <w:tc>
          <w:tcPr>
            <w:tcW w:w="2835" w:type="dxa"/>
          </w:tcPr>
          <w:p w:rsidR="004519C9" w:rsidP="006E49B9" w:rsidRDefault="00A3414D" w14:paraId="4EDEB8E7" w14:textId="7E6DFCC9">
            <w:pPr>
              <w:spacing w:line="240" w:lineRule="atLeast"/>
            </w:pPr>
            <w:r>
              <w:t xml:space="preserve">Voorstel </w:t>
            </w:r>
            <w:r w:rsidRPr="008E42E4" w:rsidR="00717B1B">
              <w:t xml:space="preserve">op 14 december </w:t>
            </w:r>
            <w:r w:rsidR="00717B1B">
              <w:t xml:space="preserve">2021 </w:t>
            </w:r>
            <w:r>
              <w:t xml:space="preserve">gepresenteerd. </w:t>
            </w:r>
            <w:r w:rsidR="009115C0">
              <w:t xml:space="preserve">Kamer geïnformeerd via het gebruikelijke BNC-fiche d.d. 11 februari jl. </w:t>
            </w:r>
            <w:r w:rsidR="00963F75">
              <w:t>Onderhandelingen van start gegaan onder Frans Voorzitterschap.</w:t>
            </w:r>
          </w:p>
          <w:p w:rsidR="00A3414D" w:rsidP="006E49B9" w:rsidRDefault="00A3414D" w14:paraId="32D9FB9A" w14:textId="7E52F06E">
            <w:pPr>
              <w:spacing w:line="240" w:lineRule="atLeast"/>
            </w:pPr>
          </w:p>
        </w:tc>
      </w:tr>
    </w:tbl>
    <w:p w:rsidRPr="008E42E4" w:rsidR="00074141" w:rsidP="00074141" w:rsidRDefault="00074141" w14:paraId="43092C09" w14:textId="77777777">
      <w:pPr>
        <w:spacing w:line="240" w:lineRule="atLeast"/>
      </w:pPr>
    </w:p>
    <w:p w:rsidR="00074141" w:rsidP="00074141" w:rsidRDefault="00074141" w14:paraId="51EB2DAF" w14:textId="3980BAB3">
      <w:pPr>
        <w:spacing w:line="240" w:lineRule="atLeast"/>
      </w:pPr>
      <w:r w:rsidRPr="00766C61">
        <w:t>* Indien een voorstel besproken is in de Transportraad, is in het betreffende verslag van de Raad een uitgebreidere beschrijving van de discussie opgenomen.</w:t>
      </w:r>
    </w:p>
    <w:p w:rsidR="008600C7" w:rsidP="00074141" w:rsidRDefault="008600C7" w14:paraId="1A872D7C" w14:textId="4EE8BA53">
      <w:pPr>
        <w:spacing w:line="240" w:lineRule="atLeast"/>
      </w:pPr>
    </w:p>
    <w:p w:rsidR="00FD4817" w:rsidP="008600C7" w:rsidRDefault="00FD4817" w14:paraId="3AD65AE5" w14:textId="77777777">
      <w:pPr>
        <w:spacing w:line="240" w:lineRule="atLeast"/>
        <w:rPr>
          <w:b/>
        </w:rPr>
      </w:pPr>
    </w:p>
    <w:p w:rsidRPr="00766C61" w:rsidR="008600C7" w:rsidP="00074141" w:rsidRDefault="008600C7" w14:paraId="20452256" w14:textId="77777777">
      <w:pPr>
        <w:spacing w:line="240" w:lineRule="atLeast"/>
      </w:pPr>
    </w:p>
    <w:sectPr w:rsidRPr="00766C61" w:rsidR="008600C7"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E58BD" w14:textId="77777777" w:rsidR="00731457" w:rsidRDefault="00731457" w:rsidP="00767A0E">
      <w:pPr>
        <w:spacing w:line="240" w:lineRule="auto"/>
      </w:pPr>
      <w:r>
        <w:separator/>
      </w:r>
    </w:p>
  </w:endnote>
  <w:endnote w:type="continuationSeparator" w:id="0">
    <w:p w14:paraId="49583FAE" w14:textId="77777777" w:rsidR="00731457" w:rsidRDefault="00731457" w:rsidP="00767A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swiss"/>
    <w:pitch w:val="variable"/>
    <w:sig w:usb0="20000A87" w:usb1="5200FDFF" w:usb2="0A042021" w:usb3="00000000" w:csb0="000001B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DC433" w14:textId="77777777" w:rsidR="00731457" w:rsidRDefault="00731457" w:rsidP="00767A0E">
      <w:pPr>
        <w:spacing w:line="240" w:lineRule="auto"/>
      </w:pPr>
      <w:r>
        <w:separator/>
      </w:r>
    </w:p>
  </w:footnote>
  <w:footnote w:type="continuationSeparator" w:id="0">
    <w:p w14:paraId="68DD8FF0" w14:textId="77777777" w:rsidR="00731457" w:rsidRDefault="00731457" w:rsidP="00767A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141"/>
    <w:rsid w:val="00014E4B"/>
    <w:rsid w:val="00074141"/>
    <w:rsid w:val="000819B4"/>
    <w:rsid w:val="00081EBB"/>
    <w:rsid w:val="000972A6"/>
    <w:rsid w:val="000A1922"/>
    <w:rsid w:val="000E64F5"/>
    <w:rsid w:val="00105344"/>
    <w:rsid w:val="00110ACD"/>
    <w:rsid w:val="00146C40"/>
    <w:rsid w:val="00156C3C"/>
    <w:rsid w:val="00187BBB"/>
    <w:rsid w:val="001E514A"/>
    <w:rsid w:val="001E6A24"/>
    <w:rsid w:val="001F1691"/>
    <w:rsid w:val="0021402D"/>
    <w:rsid w:val="00221486"/>
    <w:rsid w:val="00226132"/>
    <w:rsid w:val="00227506"/>
    <w:rsid w:val="002348CD"/>
    <w:rsid w:val="00256F95"/>
    <w:rsid w:val="002669D6"/>
    <w:rsid w:val="002771EC"/>
    <w:rsid w:val="00277C60"/>
    <w:rsid w:val="002803CC"/>
    <w:rsid w:val="002A2A79"/>
    <w:rsid w:val="002B2883"/>
    <w:rsid w:val="002B6935"/>
    <w:rsid w:val="002D7DF5"/>
    <w:rsid w:val="002E3686"/>
    <w:rsid w:val="002F584A"/>
    <w:rsid w:val="0030632F"/>
    <w:rsid w:val="00306CB9"/>
    <w:rsid w:val="00311971"/>
    <w:rsid w:val="00311FB5"/>
    <w:rsid w:val="0033408D"/>
    <w:rsid w:val="003846B2"/>
    <w:rsid w:val="003C3FA3"/>
    <w:rsid w:val="003E6B3E"/>
    <w:rsid w:val="003F2770"/>
    <w:rsid w:val="00412E5B"/>
    <w:rsid w:val="00414403"/>
    <w:rsid w:val="0041476F"/>
    <w:rsid w:val="0042402C"/>
    <w:rsid w:val="004519C9"/>
    <w:rsid w:val="00467762"/>
    <w:rsid w:val="00467E22"/>
    <w:rsid w:val="00482318"/>
    <w:rsid w:val="00487BED"/>
    <w:rsid w:val="004A0068"/>
    <w:rsid w:val="004B5ECB"/>
    <w:rsid w:val="004C0446"/>
    <w:rsid w:val="004D0898"/>
    <w:rsid w:val="004D1A2B"/>
    <w:rsid w:val="004E0585"/>
    <w:rsid w:val="00501E61"/>
    <w:rsid w:val="00504AC1"/>
    <w:rsid w:val="00505D60"/>
    <w:rsid w:val="0051084E"/>
    <w:rsid w:val="005142B6"/>
    <w:rsid w:val="0052094E"/>
    <w:rsid w:val="00535461"/>
    <w:rsid w:val="00547F2C"/>
    <w:rsid w:val="005A3316"/>
    <w:rsid w:val="005A3376"/>
    <w:rsid w:val="005B5467"/>
    <w:rsid w:val="005C59CF"/>
    <w:rsid w:val="005C797D"/>
    <w:rsid w:val="005E321F"/>
    <w:rsid w:val="005F2AA7"/>
    <w:rsid w:val="00613C05"/>
    <w:rsid w:val="00614368"/>
    <w:rsid w:val="006539D8"/>
    <w:rsid w:val="00666BAA"/>
    <w:rsid w:val="006874FE"/>
    <w:rsid w:val="006C2C2A"/>
    <w:rsid w:val="006C781F"/>
    <w:rsid w:val="006E49B9"/>
    <w:rsid w:val="006E6EDF"/>
    <w:rsid w:val="006F2762"/>
    <w:rsid w:val="006F39FC"/>
    <w:rsid w:val="00717B1B"/>
    <w:rsid w:val="007264FD"/>
    <w:rsid w:val="00726A21"/>
    <w:rsid w:val="00731457"/>
    <w:rsid w:val="00747E82"/>
    <w:rsid w:val="00766D7E"/>
    <w:rsid w:val="00767A0E"/>
    <w:rsid w:val="00772A60"/>
    <w:rsid w:val="00777D93"/>
    <w:rsid w:val="0078228C"/>
    <w:rsid w:val="007875C1"/>
    <w:rsid w:val="007A013E"/>
    <w:rsid w:val="007A1854"/>
    <w:rsid w:val="007B053F"/>
    <w:rsid w:val="007C7430"/>
    <w:rsid w:val="007D7D37"/>
    <w:rsid w:val="007E03F9"/>
    <w:rsid w:val="007E0B79"/>
    <w:rsid w:val="007E4EAD"/>
    <w:rsid w:val="00807FC5"/>
    <w:rsid w:val="0081186C"/>
    <w:rsid w:val="00836144"/>
    <w:rsid w:val="00846C90"/>
    <w:rsid w:val="008600C7"/>
    <w:rsid w:val="008603D7"/>
    <w:rsid w:val="0086755A"/>
    <w:rsid w:val="00881699"/>
    <w:rsid w:val="008936FA"/>
    <w:rsid w:val="008A673D"/>
    <w:rsid w:val="008A6B58"/>
    <w:rsid w:val="008B48EB"/>
    <w:rsid w:val="008B733F"/>
    <w:rsid w:val="008E42E4"/>
    <w:rsid w:val="009115C0"/>
    <w:rsid w:val="00916D0A"/>
    <w:rsid w:val="0094404A"/>
    <w:rsid w:val="00963F75"/>
    <w:rsid w:val="009774B9"/>
    <w:rsid w:val="00983B33"/>
    <w:rsid w:val="00995526"/>
    <w:rsid w:val="009A2D14"/>
    <w:rsid w:val="009C0C2E"/>
    <w:rsid w:val="009C770B"/>
    <w:rsid w:val="00A25677"/>
    <w:rsid w:val="00A31D1E"/>
    <w:rsid w:val="00A3414D"/>
    <w:rsid w:val="00A60589"/>
    <w:rsid w:val="00A90189"/>
    <w:rsid w:val="00AB5C31"/>
    <w:rsid w:val="00AC537A"/>
    <w:rsid w:val="00AE46F0"/>
    <w:rsid w:val="00AF298C"/>
    <w:rsid w:val="00AF2F0C"/>
    <w:rsid w:val="00AF436D"/>
    <w:rsid w:val="00B05E0A"/>
    <w:rsid w:val="00B06701"/>
    <w:rsid w:val="00B07ACE"/>
    <w:rsid w:val="00B22C6F"/>
    <w:rsid w:val="00B33D4C"/>
    <w:rsid w:val="00B46B30"/>
    <w:rsid w:val="00B47038"/>
    <w:rsid w:val="00B66F45"/>
    <w:rsid w:val="00B71E71"/>
    <w:rsid w:val="00BA6881"/>
    <w:rsid w:val="00BB0092"/>
    <w:rsid w:val="00BB12F0"/>
    <w:rsid w:val="00BC0ACC"/>
    <w:rsid w:val="00BC419C"/>
    <w:rsid w:val="00BD5547"/>
    <w:rsid w:val="00BE23F5"/>
    <w:rsid w:val="00BF467A"/>
    <w:rsid w:val="00C15FF6"/>
    <w:rsid w:val="00C25572"/>
    <w:rsid w:val="00C27382"/>
    <w:rsid w:val="00C31F40"/>
    <w:rsid w:val="00C6591A"/>
    <w:rsid w:val="00CA609C"/>
    <w:rsid w:val="00CD0255"/>
    <w:rsid w:val="00CD4025"/>
    <w:rsid w:val="00D435DA"/>
    <w:rsid w:val="00D67B9B"/>
    <w:rsid w:val="00D77C34"/>
    <w:rsid w:val="00D91999"/>
    <w:rsid w:val="00DA416D"/>
    <w:rsid w:val="00DD61E8"/>
    <w:rsid w:val="00DF460C"/>
    <w:rsid w:val="00E05D57"/>
    <w:rsid w:val="00E357E5"/>
    <w:rsid w:val="00E367FD"/>
    <w:rsid w:val="00E455E3"/>
    <w:rsid w:val="00E66570"/>
    <w:rsid w:val="00E77B7E"/>
    <w:rsid w:val="00E77D3E"/>
    <w:rsid w:val="00E8626F"/>
    <w:rsid w:val="00EA36F8"/>
    <w:rsid w:val="00EB7027"/>
    <w:rsid w:val="00EC3862"/>
    <w:rsid w:val="00ED1A99"/>
    <w:rsid w:val="00EE0297"/>
    <w:rsid w:val="00EE2AD5"/>
    <w:rsid w:val="00F32CDB"/>
    <w:rsid w:val="00F717B7"/>
    <w:rsid w:val="00F71E2D"/>
    <w:rsid w:val="00F86CDD"/>
    <w:rsid w:val="00F95D86"/>
    <w:rsid w:val="00FA3EDB"/>
    <w:rsid w:val="00FB36E8"/>
    <w:rsid w:val="00FB5D6A"/>
    <w:rsid w:val="00FC7988"/>
    <w:rsid w:val="00FD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96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3EDB"/>
    <w:pPr>
      <w:autoSpaceDN w:val="0"/>
      <w:spacing w:after="0" w:line="240" w:lineRule="exact"/>
      <w:textAlignment w:val="baseline"/>
    </w:pPr>
    <w:rPr>
      <w:rFonts w:eastAsia="DejaVu Sans" w:cs="Lohit Hindi"/>
      <w:color w:val="000000"/>
      <w:szCs w:val="1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41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141"/>
    <w:pPr>
      <w:ind w:left="720"/>
      <w:contextualSpacing/>
    </w:pPr>
  </w:style>
  <w:style w:type="paragraph" w:styleId="Header">
    <w:name w:val="header"/>
    <w:basedOn w:val="Normal"/>
    <w:link w:val="HeaderChar"/>
    <w:uiPriority w:val="99"/>
    <w:unhideWhenUsed/>
    <w:rsid w:val="00767A0E"/>
    <w:pPr>
      <w:tabs>
        <w:tab w:val="center" w:pos="4536"/>
        <w:tab w:val="right" w:pos="9072"/>
      </w:tabs>
      <w:spacing w:line="240" w:lineRule="auto"/>
    </w:pPr>
  </w:style>
  <w:style w:type="character" w:customStyle="1" w:styleId="HeaderChar">
    <w:name w:val="Header Char"/>
    <w:basedOn w:val="DefaultParagraphFont"/>
    <w:link w:val="Header"/>
    <w:uiPriority w:val="99"/>
    <w:rsid w:val="00767A0E"/>
    <w:rPr>
      <w:rFonts w:eastAsia="DejaVu Sans" w:cs="Lohit Hindi"/>
      <w:color w:val="000000"/>
      <w:szCs w:val="18"/>
      <w:lang w:val="nl-NL" w:eastAsia="nl-NL"/>
    </w:rPr>
  </w:style>
  <w:style w:type="paragraph" w:styleId="Footer">
    <w:name w:val="footer"/>
    <w:basedOn w:val="Normal"/>
    <w:link w:val="FooterChar"/>
    <w:uiPriority w:val="99"/>
    <w:unhideWhenUsed/>
    <w:rsid w:val="00767A0E"/>
    <w:pPr>
      <w:tabs>
        <w:tab w:val="center" w:pos="4536"/>
        <w:tab w:val="right" w:pos="9072"/>
      </w:tabs>
      <w:spacing w:line="240" w:lineRule="auto"/>
    </w:pPr>
  </w:style>
  <w:style w:type="character" w:customStyle="1" w:styleId="FooterChar">
    <w:name w:val="Footer Char"/>
    <w:basedOn w:val="DefaultParagraphFont"/>
    <w:link w:val="Footer"/>
    <w:uiPriority w:val="99"/>
    <w:rsid w:val="00767A0E"/>
    <w:rPr>
      <w:rFonts w:eastAsia="DejaVu Sans" w:cs="Lohit Hindi"/>
      <w:color w:val="000000"/>
      <w:szCs w:val="18"/>
      <w:lang w:val="nl-NL" w:eastAsia="nl-NL"/>
    </w:rPr>
  </w:style>
  <w:style w:type="character" w:styleId="CommentReference">
    <w:name w:val="annotation reference"/>
    <w:basedOn w:val="DefaultParagraphFont"/>
    <w:uiPriority w:val="99"/>
    <w:semiHidden/>
    <w:unhideWhenUsed/>
    <w:rsid w:val="00AF298C"/>
    <w:rPr>
      <w:sz w:val="16"/>
      <w:szCs w:val="16"/>
    </w:rPr>
  </w:style>
  <w:style w:type="paragraph" w:styleId="CommentText">
    <w:name w:val="annotation text"/>
    <w:basedOn w:val="Normal"/>
    <w:link w:val="CommentTextChar"/>
    <w:uiPriority w:val="99"/>
    <w:semiHidden/>
    <w:unhideWhenUsed/>
    <w:rsid w:val="00AF298C"/>
    <w:pPr>
      <w:spacing w:line="240" w:lineRule="auto"/>
    </w:pPr>
    <w:rPr>
      <w:sz w:val="20"/>
      <w:szCs w:val="20"/>
    </w:rPr>
  </w:style>
  <w:style w:type="character" w:customStyle="1" w:styleId="CommentTextChar">
    <w:name w:val="Comment Text Char"/>
    <w:basedOn w:val="DefaultParagraphFont"/>
    <w:link w:val="CommentText"/>
    <w:uiPriority w:val="99"/>
    <w:semiHidden/>
    <w:rsid w:val="00AF298C"/>
    <w:rPr>
      <w:rFonts w:eastAsia="DejaVu Sans" w:cs="Lohit Hindi"/>
      <w:color w:val="000000"/>
      <w:sz w:val="20"/>
      <w:szCs w:val="20"/>
      <w:lang w:val="nl-NL" w:eastAsia="nl-NL"/>
    </w:rPr>
  </w:style>
  <w:style w:type="paragraph" w:styleId="CommentSubject">
    <w:name w:val="annotation subject"/>
    <w:basedOn w:val="CommentText"/>
    <w:next w:val="CommentText"/>
    <w:link w:val="CommentSubjectChar"/>
    <w:uiPriority w:val="99"/>
    <w:semiHidden/>
    <w:unhideWhenUsed/>
    <w:rsid w:val="00AF298C"/>
    <w:rPr>
      <w:b/>
      <w:bCs/>
    </w:rPr>
  </w:style>
  <w:style w:type="character" w:customStyle="1" w:styleId="CommentSubjectChar">
    <w:name w:val="Comment Subject Char"/>
    <w:basedOn w:val="CommentTextChar"/>
    <w:link w:val="CommentSubject"/>
    <w:uiPriority w:val="99"/>
    <w:semiHidden/>
    <w:rsid w:val="00AF298C"/>
    <w:rPr>
      <w:rFonts w:eastAsia="DejaVu Sans" w:cs="Lohit Hindi"/>
      <w:b/>
      <w:bCs/>
      <w:color w:val="000000"/>
      <w:sz w:val="20"/>
      <w:szCs w:val="20"/>
      <w:lang w:val="nl-NL" w:eastAsia="nl-NL"/>
    </w:rPr>
  </w:style>
  <w:style w:type="paragraph" w:styleId="BalloonText">
    <w:name w:val="Balloon Text"/>
    <w:basedOn w:val="Normal"/>
    <w:link w:val="BalloonTextChar"/>
    <w:uiPriority w:val="99"/>
    <w:semiHidden/>
    <w:unhideWhenUsed/>
    <w:rsid w:val="00AF298C"/>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F298C"/>
    <w:rPr>
      <w:rFonts w:ascii="Segoe UI" w:eastAsia="DejaVu Sans" w:hAnsi="Segoe UI" w:cs="Segoe UI"/>
      <w:color w:val="000000"/>
      <w:szCs w:val="18"/>
      <w:lang w:val="nl-NL" w:eastAsia="nl-NL"/>
    </w:rPr>
  </w:style>
  <w:style w:type="paragraph" w:customStyle="1" w:styleId="Default">
    <w:name w:val="Default"/>
    <w:rsid w:val="009774B9"/>
    <w:pPr>
      <w:autoSpaceDE w:val="0"/>
      <w:autoSpaceDN w:val="0"/>
      <w:adjustRightInd w:val="0"/>
      <w:spacing w:after="0" w:line="240" w:lineRule="auto"/>
    </w:pPr>
    <w:rPr>
      <w:rFonts w:ascii="Times New Roman" w:hAnsi="Times New Roman" w:cs="Times New Roman"/>
      <w:color w:val="000000"/>
      <w:sz w:val="24"/>
      <w:szCs w:val="24"/>
      <w:lang w:val="nl-NL"/>
    </w:rPr>
  </w:style>
  <w:style w:type="paragraph" w:customStyle="1" w:styleId="Spreekpunten">
    <w:name w:val="Spreekpunten"/>
    <w:basedOn w:val="Normal"/>
    <w:rsid w:val="00FB36E8"/>
    <w:pPr>
      <w:numPr>
        <w:numId w:val="1"/>
      </w:numPr>
      <w:autoSpaceDN/>
      <w:spacing w:line="360" w:lineRule="auto"/>
      <w:textAlignment w:val="auto"/>
    </w:pPr>
    <w:rPr>
      <w:rFonts w:ascii="Times New Roman" w:eastAsia="Times New Roman" w:hAnsi="Times New Roman" w:cs="Times New Roman"/>
      <w:bCs/>
      <w:color w:val="auto"/>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2682">
      <w:bodyDiv w:val="1"/>
      <w:marLeft w:val="0"/>
      <w:marRight w:val="0"/>
      <w:marTop w:val="0"/>
      <w:marBottom w:val="0"/>
      <w:divBdr>
        <w:top w:val="none" w:sz="0" w:space="0" w:color="auto"/>
        <w:left w:val="none" w:sz="0" w:space="0" w:color="auto"/>
        <w:bottom w:val="none" w:sz="0" w:space="0" w:color="auto"/>
        <w:right w:val="none" w:sz="0" w:space="0" w:color="auto"/>
      </w:divBdr>
    </w:div>
    <w:div w:id="111286478">
      <w:bodyDiv w:val="1"/>
      <w:marLeft w:val="0"/>
      <w:marRight w:val="0"/>
      <w:marTop w:val="0"/>
      <w:marBottom w:val="0"/>
      <w:divBdr>
        <w:top w:val="none" w:sz="0" w:space="0" w:color="auto"/>
        <w:left w:val="none" w:sz="0" w:space="0" w:color="auto"/>
        <w:bottom w:val="none" w:sz="0" w:space="0" w:color="auto"/>
        <w:right w:val="none" w:sz="0" w:space="0" w:color="auto"/>
      </w:divBdr>
    </w:div>
    <w:div w:id="195397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1897</ap:Words>
  <ap:Characters>10816</ap:Characters>
  <ap:DocSecurity>0</ap:DocSecurity>
  <ap:Lines>90</ap:Lines>
  <ap:Paragraphs>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2022-04-04T13:59:00.0000000Z</dcterms:created>
  <dcterms:modified xsi:type="dcterms:W3CDTF">2022-04-04T13:59:00.0000000Z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0x010100B5E1792C46DB8E4CA127F0252B63C8EA</vt:lpwstr>
  </property>
</Properties>
</file>