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5D0B" w:rsidR="00B06701" w:rsidRDefault="009D320E" w14:paraId="2027D9B4" w14:textId="77777777">
      <w:pPr>
        <w:rPr>
          <w:b/>
          <w:lang w:val="nl-NL"/>
        </w:rPr>
      </w:pPr>
      <w:bookmarkStart w:name="_GoBack" w:id="0"/>
      <w:bookmarkEnd w:id="0"/>
      <w:r w:rsidRPr="00405D0B">
        <w:rPr>
          <w:b/>
          <w:lang w:val="nl-NL"/>
        </w:rPr>
        <w:t>Afgedane moties en toezeggingen Wet Toekomst Pensioenen</w:t>
      </w:r>
    </w:p>
    <w:p w:rsidRPr="00405D0B" w:rsidR="009D320E" w:rsidRDefault="009D320E" w14:paraId="33D7870A" w14:textId="77777777">
      <w:pPr>
        <w:rPr>
          <w:b/>
          <w:lang w:val="nl-NL"/>
        </w:rPr>
      </w:pPr>
    </w:p>
    <w:p w:rsidRPr="00405D0B" w:rsidR="009D320E" w:rsidRDefault="009D320E" w14:paraId="6E644A65" w14:textId="77777777">
      <w:pPr>
        <w:rPr>
          <w:b/>
          <w:lang w:val="nl-NL"/>
        </w:rPr>
      </w:pPr>
      <w:r w:rsidRPr="00405D0B">
        <w:rPr>
          <w:b/>
          <w:lang w:val="nl-NL"/>
        </w:rPr>
        <w:t>Moties</w:t>
      </w:r>
    </w:p>
    <w:tbl>
      <w:tblPr>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4A0" w:firstRow="1" w:lastRow="0" w:firstColumn="1" w:lastColumn="0" w:noHBand="0" w:noVBand="1"/>
      </w:tblPr>
      <w:tblGrid>
        <w:gridCol w:w="1525"/>
        <w:gridCol w:w="3402"/>
        <w:gridCol w:w="6804"/>
      </w:tblGrid>
      <w:tr w:rsidRPr="00405D0B" w:rsidR="0071295C" w:rsidTr="00215A96" w14:paraId="68E98210" w14:textId="77777777">
        <w:trPr>
          <w:trHeight w:val="262"/>
          <w:tblHeader/>
        </w:trPr>
        <w:tc>
          <w:tcPr>
            <w:tcW w:w="1525" w:type="dxa"/>
            <w:tcBorders>
              <w:top w:val="single" w:color="auto" w:sz="4" w:space="0"/>
              <w:left w:val="single" w:color="auto" w:sz="4" w:space="0"/>
              <w:bottom w:val="single" w:color="auto" w:sz="4" w:space="0"/>
              <w:right w:val="single" w:color="auto" w:sz="4" w:space="0"/>
            </w:tcBorders>
            <w:hideMark/>
          </w:tcPr>
          <w:p w:rsidRPr="00405D0B" w:rsidR="0071295C" w:rsidRDefault="0071295C" w14:paraId="1886F4A3" w14:textId="77777777">
            <w:pPr>
              <w:autoSpaceDE w:val="0"/>
              <w:autoSpaceDN w:val="0"/>
              <w:adjustRightInd w:val="0"/>
              <w:spacing w:line="276" w:lineRule="auto"/>
              <w:rPr>
                <w:lang w:val="nl-NL"/>
              </w:rPr>
            </w:pPr>
            <w:r w:rsidRPr="00405D0B">
              <w:rPr>
                <w:lang w:val="nl-NL"/>
              </w:rPr>
              <w:t>Motie-nummer</w:t>
            </w:r>
          </w:p>
        </w:tc>
        <w:tc>
          <w:tcPr>
            <w:tcW w:w="3402" w:type="dxa"/>
            <w:tcBorders>
              <w:top w:val="single" w:color="auto" w:sz="4" w:space="0"/>
              <w:left w:val="single" w:color="auto" w:sz="4" w:space="0"/>
              <w:bottom w:val="single" w:color="auto" w:sz="4" w:space="0"/>
              <w:right w:val="single" w:color="auto" w:sz="4" w:space="0"/>
            </w:tcBorders>
            <w:hideMark/>
          </w:tcPr>
          <w:p w:rsidRPr="00405D0B" w:rsidR="0071295C" w:rsidRDefault="0071295C" w14:paraId="6CA57324" w14:textId="77777777">
            <w:pPr>
              <w:autoSpaceDE w:val="0"/>
              <w:autoSpaceDN w:val="0"/>
              <w:adjustRightInd w:val="0"/>
              <w:spacing w:line="276" w:lineRule="auto"/>
              <w:rPr>
                <w:lang w:val="nl-NL"/>
              </w:rPr>
            </w:pPr>
            <w:r w:rsidRPr="00405D0B">
              <w:rPr>
                <w:lang w:val="nl-NL"/>
              </w:rPr>
              <w:t>Motie</w:t>
            </w:r>
          </w:p>
        </w:tc>
        <w:tc>
          <w:tcPr>
            <w:tcW w:w="6804" w:type="dxa"/>
            <w:tcBorders>
              <w:top w:val="single" w:color="auto" w:sz="4" w:space="0"/>
              <w:left w:val="single" w:color="auto" w:sz="4" w:space="0"/>
              <w:bottom w:val="single" w:color="auto" w:sz="4" w:space="0"/>
              <w:right w:val="single" w:color="auto" w:sz="4" w:space="0"/>
            </w:tcBorders>
            <w:hideMark/>
          </w:tcPr>
          <w:p w:rsidRPr="00405D0B" w:rsidR="0071295C" w:rsidRDefault="0071295C" w14:paraId="223F13DB" w14:textId="77777777">
            <w:pPr>
              <w:autoSpaceDE w:val="0"/>
              <w:autoSpaceDN w:val="0"/>
              <w:adjustRightInd w:val="0"/>
              <w:spacing w:line="276" w:lineRule="auto"/>
              <w:rPr>
                <w:lang w:val="nl-NL"/>
              </w:rPr>
            </w:pPr>
            <w:r w:rsidRPr="00405D0B">
              <w:rPr>
                <w:lang w:val="nl-NL"/>
              </w:rPr>
              <w:t>Beschrijving</w:t>
            </w:r>
          </w:p>
        </w:tc>
      </w:tr>
      <w:tr w:rsidRPr="00544E4B" w:rsidR="0071295C" w:rsidTr="00215A96" w14:paraId="4116C1D0" w14:textId="77777777">
        <w:trPr>
          <w:trHeight w:val="262"/>
        </w:trPr>
        <w:tc>
          <w:tcPr>
            <w:tcW w:w="1525" w:type="dxa"/>
            <w:tcBorders>
              <w:top w:val="single" w:color="auto" w:sz="4" w:space="0"/>
              <w:left w:val="single" w:color="auto" w:sz="4" w:space="0"/>
              <w:bottom w:val="single" w:color="auto" w:sz="4" w:space="0"/>
              <w:right w:val="single" w:color="auto" w:sz="4" w:space="0"/>
            </w:tcBorders>
          </w:tcPr>
          <w:p w:rsidRPr="00405D0B" w:rsidR="0071295C" w:rsidRDefault="0071295C" w14:paraId="2303F6D0" w14:textId="1C7BDE0F">
            <w:pPr>
              <w:autoSpaceDE w:val="0"/>
              <w:autoSpaceDN w:val="0"/>
              <w:adjustRightInd w:val="0"/>
              <w:spacing w:line="276" w:lineRule="auto"/>
              <w:rPr>
                <w:color w:val="000000"/>
                <w:lang w:val="nl-NL"/>
              </w:rPr>
            </w:pPr>
            <w:r>
              <w:t>32 043, nr. 533</w:t>
            </w:r>
          </w:p>
        </w:tc>
        <w:tc>
          <w:tcPr>
            <w:tcW w:w="3402" w:type="dxa"/>
            <w:tcBorders>
              <w:top w:val="single" w:color="auto" w:sz="4" w:space="0"/>
              <w:left w:val="single" w:color="auto" w:sz="4" w:space="0"/>
              <w:bottom w:val="single" w:color="auto" w:sz="4" w:space="0"/>
              <w:right w:val="single" w:color="auto" w:sz="4" w:space="0"/>
            </w:tcBorders>
            <w:hideMark/>
          </w:tcPr>
          <w:p w:rsidRPr="00405D0B" w:rsidR="0071295C" w:rsidRDefault="0071295C" w14:paraId="75A3CE55" w14:textId="77777777">
            <w:pPr>
              <w:autoSpaceDE w:val="0"/>
              <w:autoSpaceDN w:val="0"/>
              <w:adjustRightInd w:val="0"/>
              <w:spacing w:line="276" w:lineRule="auto"/>
              <w:rPr>
                <w:color w:val="000000"/>
                <w:lang w:val="nl-NL"/>
              </w:rPr>
            </w:pPr>
            <w:r w:rsidRPr="00405D0B">
              <w:rPr>
                <w:color w:val="000000"/>
                <w:lang w:val="nl-NL"/>
              </w:rPr>
              <w:t>Motie-</w:t>
            </w:r>
            <w:proofErr w:type="spellStart"/>
            <w:r w:rsidRPr="00405D0B">
              <w:rPr>
                <w:color w:val="000000"/>
                <w:lang w:val="nl-NL"/>
              </w:rPr>
              <w:t>Smeulders</w:t>
            </w:r>
            <w:proofErr w:type="spellEnd"/>
            <w:r w:rsidRPr="00405D0B">
              <w:rPr>
                <w:color w:val="000000"/>
                <w:lang w:val="nl-NL"/>
              </w:rPr>
              <w:t>/Gijs van Dijk over de aanbeveling over een pensioenkompas onderdeel maken van het periodiek bestuurlijk overleg</w:t>
            </w:r>
          </w:p>
        </w:tc>
        <w:tc>
          <w:tcPr>
            <w:tcW w:w="6804" w:type="dxa"/>
            <w:tcBorders>
              <w:top w:val="single" w:color="auto" w:sz="4" w:space="0"/>
              <w:left w:val="single" w:color="auto" w:sz="4" w:space="0"/>
              <w:bottom w:val="single" w:color="auto" w:sz="4" w:space="0"/>
              <w:right w:val="single" w:color="auto" w:sz="4" w:space="0"/>
            </w:tcBorders>
          </w:tcPr>
          <w:p w:rsidRPr="00405D0B" w:rsidR="0071295C" w:rsidRDefault="0071295C" w14:paraId="282F7E8D" w14:textId="4871147F">
            <w:pPr>
              <w:autoSpaceDE w:val="0"/>
              <w:autoSpaceDN w:val="0"/>
              <w:adjustRightInd w:val="0"/>
              <w:spacing w:line="276" w:lineRule="auto"/>
              <w:rPr>
                <w:color w:val="000000"/>
                <w:lang w:val="nl-NL"/>
              </w:rPr>
            </w:pPr>
            <w:r>
              <w:rPr>
                <w:color w:val="000000"/>
                <w:lang w:val="nl-NL"/>
              </w:rPr>
              <w:t xml:space="preserve">De streefdoelen en richtsnoeren uit het pensioenkompas zijn in de breedte van de </w:t>
            </w:r>
            <w:proofErr w:type="spellStart"/>
            <w:r>
              <w:rPr>
                <w:color w:val="000000"/>
                <w:lang w:val="nl-NL"/>
              </w:rPr>
              <w:t>Wtp</w:t>
            </w:r>
            <w:proofErr w:type="spellEnd"/>
            <w:r>
              <w:rPr>
                <w:color w:val="000000"/>
                <w:lang w:val="nl-NL"/>
              </w:rPr>
              <w:t xml:space="preserve"> meegenomen. </w:t>
            </w:r>
          </w:p>
        </w:tc>
      </w:tr>
      <w:tr w:rsidRPr="00544E4B" w:rsidR="0071295C" w:rsidTr="00215A96" w14:paraId="72130DE1" w14:textId="77777777">
        <w:trPr>
          <w:trHeight w:val="262"/>
        </w:trPr>
        <w:tc>
          <w:tcPr>
            <w:tcW w:w="1525" w:type="dxa"/>
            <w:tcBorders>
              <w:top w:val="single" w:color="auto" w:sz="4" w:space="0"/>
              <w:left w:val="single" w:color="auto" w:sz="4" w:space="0"/>
              <w:bottom w:val="single" w:color="auto" w:sz="4" w:space="0"/>
              <w:right w:val="single" w:color="auto" w:sz="4" w:space="0"/>
            </w:tcBorders>
          </w:tcPr>
          <w:p w:rsidRPr="00405D0B" w:rsidR="0071295C" w:rsidRDefault="0071295C" w14:paraId="21161331" w14:textId="36213E24">
            <w:pPr>
              <w:autoSpaceDE w:val="0"/>
              <w:autoSpaceDN w:val="0"/>
              <w:adjustRightInd w:val="0"/>
              <w:spacing w:line="276" w:lineRule="auto"/>
              <w:rPr>
                <w:color w:val="000000"/>
                <w:lang w:val="nl-NL"/>
              </w:rPr>
            </w:pPr>
            <w:r>
              <w:t>34 996, nr. 7</w:t>
            </w:r>
          </w:p>
        </w:tc>
        <w:tc>
          <w:tcPr>
            <w:tcW w:w="3402" w:type="dxa"/>
            <w:tcBorders>
              <w:top w:val="single" w:color="auto" w:sz="4" w:space="0"/>
              <w:left w:val="single" w:color="auto" w:sz="4" w:space="0"/>
              <w:bottom w:val="single" w:color="auto" w:sz="4" w:space="0"/>
              <w:right w:val="single" w:color="auto" w:sz="4" w:space="0"/>
            </w:tcBorders>
            <w:hideMark/>
          </w:tcPr>
          <w:p w:rsidRPr="00405D0B" w:rsidR="0071295C" w:rsidRDefault="0071295C" w14:paraId="639EA2F0" w14:textId="77777777">
            <w:pPr>
              <w:autoSpaceDE w:val="0"/>
              <w:autoSpaceDN w:val="0"/>
              <w:adjustRightInd w:val="0"/>
              <w:spacing w:line="276" w:lineRule="auto"/>
              <w:rPr>
                <w:color w:val="000000"/>
                <w:lang w:val="nl-NL"/>
              </w:rPr>
            </w:pPr>
            <w:r w:rsidRPr="00405D0B">
              <w:rPr>
                <w:color w:val="000000"/>
                <w:lang w:val="nl-NL"/>
              </w:rPr>
              <w:t>Motie Slootweg over een advies over een adequate dekking in het nieuwe stelsel</w:t>
            </w:r>
          </w:p>
        </w:tc>
        <w:tc>
          <w:tcPr>
            <w:tcW w:w="6804" w:type="dxa"/>
            <w:tcBorders>
              <w:top w:val="single" w:color="auto" w:sz="4" w:space="0"/>
              <w:left w:val="single" w:color="auto" w:sz="4" w:space="0"/>
              <w:bottom w:val="single" w:color="auto" w:sz="4" w:space="0"/>
              <w:right w:val="single" w:color="auto" w:sz="4" w:space="0"/>
            </w:tcBorders>
          </w:tcPr>
          <w:p w:rsidRPr="00405D0B" w:rsidR="0071295C" w:rsidRDefault="0071295C" w14:paraId="57DDC673" w14:textId="37DB7FBD">
            <w:pPr>
              <w:autoSpaceDE w:val="0"/>
              <w:autoSpaceDN w:val="0"/>
              <w:adjustRightInd w:val="0"/>
              <w:spacing w:line="276" w:lineRule="auto"/>
              <w:rPr>
                <w:color w:val="000000"/>
                <w:lang w:val="nl-NL"/>
              </w:rPr>
            </w:pPr>
            <w:r>
              <w:rPr>
                <w:color w:val="000000"/>
                <w:lang w:val="nl-NL"/>
              </w:rPr>
              <w:t xml:space="preserve">Met het wetsvoorstel toekomst pensioenen wordt het nabestaandenpensioen herzien. Met deze herziening is noch een versobering noch een extra premiedruk beoogd. De wijzigingen worden in hoofdstuk 11 van de memorie van toelichting bij het wetsvoorstel toekomst pensioenen toegelicht. </w:t>
            </w:r>
          </w:p>
        </w:tc>
      </w:tr>
      <w:tr w:rsidRPr="00544E4B" w:rsidR="0071295C" w:rsidTr="00215A96" w14:paraId="450874AA" w14:textId="77777777">
        <w:trPr>
          <w:trHeight w:val="262"/>
        </w:trPr>
        <w:tc>
          <w:tcPr>
            <w:tcW w:w="1525" w:type="dxa"/>
            <w:tcBorders>
              <w:top w:val="single" w:color="auto" w:sz="4" w:space="0"/>
              <w:left w:val="single" w:color="auto" w:sz="4" w:space="0"/>
              <w:bottom w:val="single" w:color="auto" w:sz="4" w:space="0"/>
              <w:right w:val="single" w:color="auto" w:sz="4" w:space="0"/>
            </w:tcBorders>
          </w:tcPr>
          <w:p w:rsidRPr="00405D0B" w:rsidR="0071295C" w:rsidRDefault="0071295C" w14:paraId="6008645A" w14:textId="5CFD1C33">
            <w:pPr>
              <w:autoSpaceDE w:val="0"/>
              <w:autoSpaceDN w:val="0"/>
              <w:adjustRightInd w:val="0"/>
              <w:spacing w:line="276" w:lineRule="auto"/>
              <w:rPr>
                <w:color w:val="000000"/>
                <w:lang w:val="nl-NL"/>
              </w:rPr>
            </w:pPr>
            <w:r>
              <w:t>32 043, nr. 537</w:t>
            </w:r>
          </w:p>
        </w:tc>
        <w:tc>
          <w:tcPr>
            <w:tcW w:w="3402" w:type="dxa"/>
            <w:tcBorders>
              <w:top w:val="single" w:color="auto" w:sz="4" w:space="0"/>
              <w:left w:val="single" w:color="auto" w:sz="4" w:space="0"/>
              <w:bottom w:val="single" w:color="auto" w:sz="4" w:space="0"/>
              <w:right w:val="single" w:color="auto" w:sz="4" w:space="0"/>
            </w:tcBorders>
            <w:hideMark/>
          </w:tcPr>
          <w:p w:rsidRPr="00405D0B" w:rsidR="0071295C" w:rsidRDefault="0071295C" w14:paraId="12738957" w14:textId="77777777">
            <w:pPr>
              <w:autoSpaceDE w:val="0"/>
              <w:autoSpaceDN w:val="0"/>
              <w:adjustRightInd w:val="0"/>
              <w:spacing w:line="276" w:lineRule="auto"/>
              <w:rPr>
                <w:color w:val="000000"/>
                <w:lang w:val="nl-NL"/>
              </w:rPr>
            </w:pPr>
            <w:r w:rsidRPr="00405D0B">
              <w:rPr>
                <w:color w:val="000000"/>
                <w:lang w:val="nl-NL"/>
              </w:rPr>
              <w:t xml:space="preserve">Motie Van </w:t>
            </w:r>
            <w:proofErr w:type="spellStart"/>
            <w:r w:rsidRPr="00405D0B">
              <w:rPr>
                <w:color w:val="000000"/>
                <w:lang w:val="nl-NL"/>
              </w:rPr>
              <w:t>Weyenberg</w:t>
            </w:r>
            <w:proofErr w:type="spellEnd"/>
            <w:r w:rsidRPr="00405D0B">
              <w:rPr>
                <w:color w:val="000000"/>
                <w:lang w:val="nl-NL"/>
              </w:rPr>
              <w:t xml:space="preserve"> over de uitgebreide wettelijke partnerdefinitie zo snel mogelijk wettelijk verankeren</w:t>
            </w:r>
          </w:p>
        </w:tc>
        <w:tc>
          <w:tcPr>
            <w:tcW w:w="6804" w:type="dxa"/>
            <w:tcBorders>
              <w:top w:val="single" w:color="auto" w:sz="4" w:space="0"/>
              <w:left w:val="single" w:color="auto" w:sz="4" w:space="0"/>
              <w:bottom w:val="single" w:color="auto" w:sz="4" w:space="0"/>
              <w:right w:val="single" w:color="auto" w:sz="4" w:space="0"/>
            </w:tcBorders>
          </w:tcPr>
          <w:p w:rsidRPr="00405D0B" w:rsidR="0071295C" w:rsidRDefault="0071295C" w14:paraId="75688021" w14:textId="34C5CE9A">
            <w:pPr>
              <w:autoSpaceDE w:val="0"/>
              <w:autoSpaceDN w:val="0"/>
              <w:adjustRightInd w:val="0"/>
              <w:spacing w:line="276" w:lineRule="auto"/>
              <w:rPr>
                <w:color w:val="000000"/>
                <w:lang w:val="nl-NL"/>
              </w:rPr>
            </w:pPr>
            <w:r>
              <w:rPr>
                <w:color w:val="000000"/>
                <w:lang w:val="nl-NL"/>
              </w:rPr>
              <w:t>In het wetsvoorstel toekomst pensioenen wordt de partnerdefinitie geüniformeerd. In paragraaf 11.2 van de memorie van toelichting is een uitgebreide toelichting hierop te vinden.</w:t>
            </w:r>
          </w:p>
        </w:tc>
      </w:tr>
      <w:tr w:rsidRPr="00544E4B" w:rsidR="0071295C" w:rsidTr="00215A96" w14:paraId="3A131C10" w14:textId="77777777">
        <w:trPr>
          <w:trHeight w:val="262"/>
        </w:trPr>
        <w:tc>
          <w:tcPr>
            <w:tcW w:w="1525" w:type="dxa"/>
            <w:tcBorders>
              <w:top w:val="single" w:color="auto" w:sz="4" w:space="0"/>
              <w:left w:val="single" w:color="auto" w:sz="4" w:space="0"/>
              <w:bottom w:val="single" w:color="auto" w:sz="4" w:space="0"/>
              <w:right w:val="single" w:color="auto" w:sz="4" w:space="0"/>
            </w:tcBorders>
          </w:tcPr>
          <w:p w:rsidRPr="00405D0B" w:rsidR="0071295C" w:rsidRDefault="0071295C" w14:paraId="70706F34" w14:textId="4B77A118">
            <w:pPr>
              <w:autoSpaceDE w:val="0"/>
              <w:autoSpaceDN w:val="0"/>
              <w:adjustRightInd w:val="0"/>
              <w:spacing w:line="276" w:lineRule="auto"/>
              <w:rPr>
                <w:color w:val="000000"/>
                <w:lang w:val="nl-NL"/>
              </w:rPr>
            </w:pPr>
            <w:r>
              <w:t>35 555, nr. 12</w:t>
            </w:r>
          </w:p>
        </w:tc>
        <w:tc>
          <w:tcPr>
            <w:tcW w:w="3402" w:type="dxa"/>
            <w:tcBorders>
              <w:top w:val="single" w:color="auto" w:sz="4" w:space="0"/>
              <w:left w:val="single" w:color="auto" w:sz="4" w:space="0"/>
              <w:bottom w:val="single" w:color="auto" w:sz="4" w:space="0"/>
              <w:right w:val="single" w:color="auto" w:sz="4" w:space="0"/>
            </w:tcBorders>
            <w:hideMark/>
          </w:tcPr>
          <w:p w:rsidRPr="00405D0B" w:rsidR="0071295C" w:rsidRDefault="0071295C" w14:paraId="1FC71567" w14:textId="77777777">
            <w:pPr>
              <w:autoSpaceDE w:val="0"/>
              <w:autoSpaceDN w:val="0"/>
              <w:adjustRightInd w:val="0"/>
              <w:spacing w:line="276" w:lineRule="auto"/>
              <w:rPr>
                <w:color w:val="000000"/>
                <w:lang w:val="nl-NL"/>
              </w:rPr>
            </w:pPr>
            <w:r w:rsidRPr="00405D0B">
              <w:rPr>
                <w:color w:val="000000"/>
                <w:lang w:val="nl-NL"/>
              </w:rPr>
              <w:t xml:space="preserve">Motie </w:t>
            </w:r>
            <w:proofErr w:type="spellStart"/>
            <w:r w:rsidRPr="00405D0B">
              <w:rPr>
                <w:color w:val="000000"/>
                <w:lang w:val="nl-NL"/>
              </w:rPr>
              <w:t>Smeulders</w:t>
            </w:r>
            <w:proofErr w:type="spellEnd"/>
            <w:r w:rsidRPr="00405D0B">
              <w:rPr>
                <w:color w:val="000000"/>
                <w:lang w:val="nl-NL"/>
              </w:rPr>
              <w:t>/Gijs van Dijk over faciliteren van experimenten met pensioenopbouw door zelfstandigen</w:t>
            </w:r>
          </w:p>
        </w:tc>
        <w:tc>
          <w:tcPr>
            <w:tcW w:w="6804" w:type="dxa"/>
            <w:tcBorders>
              <w:top w:val="single" w:color="auto" w:sz="4" w:space="0"/>
              <w:left w:val="single" w:color="auto" w:sz="4" w:space="0"/>
              <w:bottom w:val="single" w:color="auto" w:sz="4" w:space="0"/>
              <w:right w:val="single" w:color="auto" w:sz="4" w:space="0"/>
            </w:tcBorders>
          </w:tcPr>
          <w:p w:rsidRPr="00405D0B" w:rsidR="0071295C" w:rsidP="008730AF" w:rsidRDefault="0071295C" w14:paraId="338CC29F" w14:textId="477C9075">
            <w:pPr>
              <w:autoSpaceDE w:val="0"/>
              <w:autoSpaceDN w:val="0"/>
              <w:adjustRightInd w:val="0"/>
              <w:spacing w:line="276" w:lineRule="auto"/>
              <w:rPr>
                <w:color w:val="000000"/>
                <w:lang w:val="nl-NL"/>
              </w:rPr>
            </w:pPr>
            <w:r>
              <w:rPr>
                <w:color w:val="000000"/>
                <w:lang w:val="nl-NL"/>
              </w:rPr>
              <w:t xml:space="preserve">Het wetsvoorstel toekomst pensioenen bevat een experimenteerbepaling (zie hoofdstuk 12 van de memorie van toelichting). </w:t>
            </w:r>
            <w:r w:rsidRPr="00544E4B">
              <w:rPr>
                <w:lang w:val="nl-NL"/>
              </w:rPr>
              <w:t>Deze bepaling, die met ingang van 1 januari 2023 in werking treedt, maakt het mogelijk dat bij wijze van experiment tijdelijk wordt afgeweken van een aantal artikelen in de Pensioenwet. Zo kunnen ten behoeve van het verbeteren van de</w:t>
            </w:r>
            <w:r>
              <w:rPr>
                <w:lang w:val="nl-NL"/>
              </w:rPr>
              <w:t xml:space="preserve"> pensioenpositie van zelfstandigen</w:t>
            </w:r>
            <w:r w:rsidRPr="00544E4B">
              <w:rPr>
                <w:lang w:val="nl-NL"/>
              </w:rPr>
              <w:t>, pensioenregelingen in de tweede pijler opengesteld worden voor vrijwillige aansluiting door zelfstandigen.</w:t>
            </w:r>
            <w:r>
              <w:rPr>
                <w:lang w:val="nl-NL"/>
              </w:rPr>
              <w:t xml:space="preserve"> Pensioenuitvoerders krijgen de mogelijkheid zelfstandigen a</w:t>
            </w:r>
            <w:r w:rsidRPr="00544E4B">
              <w:rPr>
                <w:lang w:val="nl-NL"/>
              </w:rPr>
              <w:t>an</w:t>
            </w:r>
            <w:r>
              <w:rPr>
                <w:lang w:val="nl-NL"/>
              </w:rPr>
              <w:t xml:space="preserve"> te </w:t>
            </w:r>
            <w:r w:rsidRPr="00544E4B">
              <w:rPr>
                <w:lang w:val="nl-NL"/>
              </w:rPr>
              <w:t>sluit</w:t>
            </w:r>
            <w:r>
              <w:rPr>
                <w:lang w:val="nl-NL"/>
              </w:rPr>
              <w:t>en</w:t>
            </w:r>
            <w:r w:rsidRPr="00544E4B">
              <w:rPr>
                <w:lang w:val="nl-NL"/>
              </w:rPr>
              <w:t xml:space="preserve"> </w:t>
            </w:r>
            <w:r>
              <w:rPr>
                <w:lang w:val="nl-NL"/>
              </w:rPr>
              <w:t>o</w:t>
            </w:r>
            <w:r w:rsidRPr="00544E4B">
              <w:rPr>
                <w:lang w:val="nl-NL"/>
              </w:rPr>
              <w:t xml:space="preserve">p </w:t>
            </w:r>
            <w:r>
              <w:rPr>
                <w:lang w:val="nl-NL"/>
              </w:rPr>
              <w:t xml:space="preserve">initiatief van de zelfstandige </w:t>
            </w:r>
            <w:r w:rsidRPr="00544E4B">
              <w:rPr>
                <w:lang w:val="nl-NL"/>
              </w:rPr>
              <w:t>é</w:t>
            </w:r>
            <w:r>
              <w:rPr>
                <w:lang w:val="nl-NL"/>
              </w:rPr>
              <w:t>n</w:t>
            </w:r>
            <w:r w:rsidRPr="00544E4B">
              <w:rPr>
                <w:lang w:val="nl-NL"/>
              </w:rPr>
              <w:t xml:space="preserve"> op initiatief van de pensioenuitvoerder</w:t>
            </w:r>
            <w:r>
              <w:rPr>
                <w:lang w:val="nl-NL"/>
              </w:rPr>
              <w:t xml:space="preserve">. </w:t>
            </w:r>
          </w:p>
        </w:tc>
      </w:tr>
    </w:tbl>
    <w:p w:rsidR="009D320E" w:rsidRDefault="009D320E" w14:paraId="28656E80" w14:textId="0CC57C1E">
      <w:pPr>
        <w:rPr>
          <w:lang w:val="nl-NL"/>
        </w:rPr>
      </w:pPr>
    </w:p>
    <w:p w:rsidR="00215A96" w:rsidRDefault="00215A96" w14:paraId="0F3735D6" w14:textId="3C20BC5C">
      <w:pPr>
        <w:rPr>
          <w:lang w:val="nl-NL"/>
        </w:rPr>
      </w:pPr>
    </w:p>
    <w:p w:rsidRPr="00215A96" w:rsidR="00215A96" w:rsidRDefault="00215A96" w14:paraId="4EE6F302" w14:textId="33241012">
      <w:pPr>
        <w:rPr>
          <w:b/>
          <w:lang w:val="nl-NL"/>
        </w:rPr>
      </w:pPr>
      <w:r w:rsidRPr="00215A96">
        <w:rPr>
          <w:b/>
          <w:lang w:val="nl-NL"/>
        </w:rPr>
        <w:lastRenderedPageBreak/>
        <w:t>Toezeggingen</w:t>
      </w:r>
    </w:p>
    <w:tbl>
      <w:tblPr>
        <w:tblW w:w="13006"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4927"/>
        <w:gridCol w:w="8079"/>
      </w:tblGrid>
      <w:tr w:rsidRPr="00405D0B" w:rsidR="00700ACB" w:rsidTr="00215A96" w14:paraId="61A22C0E" w14:textId="77777777">
        <w:trPr>
          <w:trHeight w:val="262"/>
          <w:tblHeader/>
        </w:trPr>
        <w:tc>
          <w:tcPr>
            <w:tcW w:w="4927" w:type="dxa"/>
          </w:tcPr>
          <w:p w:rsidRPr="00405D0B" w:rsidR="00700ACB" w:rsidP="00E617C8" w:rsidRDefault="00700ACB" w14:paraId="60285F69" w14:textId="77777777">
            <w:pPr>
              <w:autoSpaceDE w:val="0"/>
              <w:autoSpaceDN w:val="0"/>
              <w:adjustRightInd w:val="0"/>
              <w:rPr>
                <w:lang w:val="nl-NL"/>
              </w:rPr>
            </w:pPr>
            <w:r w:rsidRPr="00405D0B">
              <w:rPr>
                <w:lang w:val="nl-NL"/>
              </w:rPr>
              <w:t>Omschrijving</w:t>
            </w:r>
          </w:p>
        </w:tc>
        <w:tc>
          <w:tcPr>
            <w:tcW w:w="8079" w:type="dxa"/>
          </w:tcPr>
          <w:p w:rsidRPr="00405D0B" w:rsidR="00700ACB" w:rsidP="00E617C8" w:rsidRDefault="00700ACB" w14:paraId="07E119A9" w14:textId="77777777">
            <w:pPr>
              <w:autoSpaceDE w:val="0"/>
              <w:autoSpaceDN w:val="0"/>
              <w:adjustRightInd w:val="0"/>
              <w:rPr>
                <w:lang w:val="nl-NL"/>
              </w:rPr>
            </w:pPr>
            <w:r w:rsidRPr="00405D0B">
              <w:rPr>
                <w:lang w:val="nl-NL"/>
              </w:rPr>
              <w:t>Stand van zaken/knelpunten</w:t>
            </w:r>
          </w:p>
        </w:tc>
      </w:tr>
      <w:tr w:rsidRPr="00544E4B" w:rsidR="00700ACB" w:rsidTr="00215A96" w14:paraId="79F98075" w14:textId="77777777">
        <w:trPr>
          <w:trHeight w:val="262"/>
        </w:trPr>
        <w:tc>
          <w:tcPr>
            <w:tcW w:w="4927" w:type="dxa"/>
          </w:tcPr>
          <w:p w:rsidRPr="00405D0B" w:rsidR="00700ACB" w:rsidP="008730AF" w:rsidRDefault="00700ACB" w14:paraId="5E7A6A58" w14:textId="589E7FDF">
            <w:pPr>
              <w:autoSpaceDE w:val="0"/>
              <w:autoSpaceDN w:val="0"/>
              <w:adjustRightInd w:val="0"/>
              <w:rPr>
                <w:lang w:val="nl-NL"/>
              </w:rPr>
            </w:pPr>
            <w:r>
              <w:rPr>
                <w:lang w:val="nl-NL"/>
              </w:rPr>
              <w:t>I</w:t>
            </w:r>
            <w:r w:rsidRPr="00405D0B">
              <w:rPr>
                <w:lang w:val="nl-NL"/>
              </w:rPr>
              <w:t>k neem de aanbeveling van de Stichting van de Arbeid over om de uitzonderingsbepaling voor het uitzendwezen in de Pensioenwet op te heffen en in lijn te brengen met hetgeen wettelijk is bepaald voor de andere sectoren, en zal de Pensioenwet in die richting aanpassen</w:t>
            </w:r>
          </w:p>
        </w:tc>
        <w:tc>
          <w:tcPr>
            <w:tcW w:w="8079" w:type="dxa"/>
          </w:tcPr>
          <w:p w:rsidRPr="00405D0B" w:rsidR="00700ACB" w:rsidP="006D6DE0" w:rsidRDefault="00700ACB" w14:paraId="194EAAC1" w14:textId="10B816DF">
            <w:pPr>
              <w:autoSpaceDE w:val="0"/>
              <w:autoSpaceDN w:val="0"/>
              <w:adjustRightInd w:val="0"/>
              <w:rPr>
                <w:lang w:val="nl-NL"/>
              </w:rPr>
            </w:pPr>
            <w:r w:rsidRPr="00053BC0">
              <w:rPr>
                <w:lang w:val="nl-NL"/>
              </w:rPr>
              <w:t>Met het wetsvoorstel toekomst pensioenen</w:t>
            </w:r>
            <w:r>
              <w:rPr>
                <w:lang w:val="nl-NL"/>
              </w:rPr>
              <w:t xml:space="preserve"> wordt de maximale toegestane wachttijd voor de uitzendsector teruggebracht van 26 naar 8 weken. Een wachttijd van maximaal 8 weken is in lijn met de wettelijke bepalingen voor andere sectoren. Vooruitlopend op het </w:t>
            </w:r>
            <w:r w:rsidRPr="00053BC0">
              <w:rPr>
                <w:lang w:val="nl-NL"/>
              </w:rPr>
              <w:t xml:space="preserve">wetsvoorstel </w:t>
            </w:r>
            <w:r>
              <w:rPr>
                <w:lang w:val="nl-NL"/>
              </w:rPr>
              <w:t xml:space="preserve">hebben de sociale </w:t>
            </w:r>
            <w:r w:rsidRPr="00053BC0">
              <w:rPr>
                <w:lang w:val="nl-NL"/>
              </w:rPr>
              <w:t xml:space="preserve">partners </w:t>
            </w:r>
            <w:r>
              <w:rPr>
                <w:lang w:val="nl-NL"/>
              </w:rPr>
              <w:t xml:space="preserve">in de uitzendsector </w:t>
            </w:r>
            <w:r w:rsidRPr="00053BC0">
              <w:rPr>
                <w:lang w:val="nl-NL"/>
              </w:rPr>
              <w:t>de wachttijd</w:t>
            </w:r>
            <w:r>
              <w:rPr>
                <w:lang w:val="nl-NL"/>
              </w:rPr>
              <w:t>,</w:t>
            </w:r>
            <w:r w:rsidRPr="00053BC0">
              <w:rPr>
                <w:lang w:val="nl-NL"/>
              </w:rPr>
              <w:t xml:space="preserve"> </w:t>
            </w:r>
            <w:r>
              <w:rPr>
                <w:lang w:val="nl-NL"/>
              </w:rPr>
              <w:t xml:space="preserve">vanaf 1 januari 2022, </w:t>
            </w:r>
            <w:r w:rsidRPr="00053BC0">
              <w:rPr>
                <w:lang w:val="nl-NL"/>
              </w:rPr>
              <w:t xml:space="preserve">gereduceerd tot 8 gewerkte weken. </w:t>
            </w:r>
            <w:r>
              <w:rPr>
                <w:lang w:val="nl-NL"/>
              </w:rPr>
              <w:t>D</w:t>
            </w:r>
            <w:r w:rsidRPr="00053BC0">
              <w:rPr>
                <w:lang w:val="nl-NL"/>
              </w:rPr>
              <w:t>e verkorte wachttijd</w:t>
            </w:r>
            <w:r>
              <w:rPr>
                <w:lang w:val="nl-NL"/>
              </w:rPr>
              <w:t xml:space="preserve"> </w:t>
            </w:r>
            <w:r w:rsidRPr="00053BC0">
              <w:rPr>
                <w:lang w:val="nl-NL"/>
              </w:rPr>
              <w:t>draagt direct bij aan het verkleinen van de witte vlek.</w:t>
            </w:r>
          </w:p>
        </w:tc>
      </w:tr>
      <w:tr w:rsidRPr="00544E4B" w:rsidR="00700ACB" w:rsidTr="00215A96" w14:paraId="38FB0BBB" w14:textId="77777777">
        <w:trPr>
          <w:trHeight w:val="262"/>
        </w:trPr>
        <w:tc>
          <w:tcPr>
            <w:tcW w:w="4927" w:type="dxa"/>
          </w:tcPr>
          <w:p w:rsidRPr="00405D0B" w:rsidR="00700ACB" w:rsidP="00E617C8" w:rsidRDefault="00700ACB" w14:paraId="73AA1288" w14:textId="77777777">
            <w:pPr>
              <w:autoSpaceDE w:val="0"/>
              <w:autoSpaceDN w:val="0"/>
              <w:adjustRightInd w:val="0"/>
              <w:rPr>
                <w:lang w:val="nl-NL"/>
              </w:rPr>
            </w:pPr>
            <w:r w:rsidRPr="00405D0B">
              <w:rPr>
                <w:lang w:val="nl-NL"/>
              </w:rPr>
              <w:t xml:space="preserve">Bij indiening van het wetsvoorstel vernieuwing pensioenstelsel zal in gesprek met relevante partijen een </w:t>
            </w:r>
            <w:proofErr w:type="spellStart"/>
            <w:r w:rsidRPr="00405D0B">
              <w:rPr>
                <w:lang w:val="nl-NL"/>
              </w:rPr>
              <w:t>ingroeipad</w:t>
            </w:r>
            <w:proofErr w:type="spellEnd"/>
            <w:r w:rsidRPr="00405D0B">
              <w:rPr>
                <w:lang w:val="nl-NL"/>
              </w:rPr>
              <w:t xml:space="preserve"> naar het nieuwe stelsel worden vastgelegd</w:t>
            </w:r>
          </w:p>
        </w:tc>
        <w:tc>
          <w:tcPr>
            <w:tcW w:w="8079" w:type="dxa"/>
          </w:tcPr>
          <w:p w:rsidRPr="00405D0B" w:rsidR="00700ACB" w:rsidP="00700ACB" w:rsidRDefault="00700ACB" w14:paraId="5E95EEE7" w14:textId="1F4576BF">
            <w:pPr>
              <w:autoSpaceDE w:val="0"/>
              <w:autoSpaceDN w:val="0"/>
              <w:adjustRightInd w:val="0"/>
              <w:rPr>
                <w:lang w:val="nl-NL"/>
              </w:rPr>
            </w:pPr>
            <w:r>
              <w:rPr>
                <w:lang w:val="nl-NL"/>
              </w:rPr>
              <w:t xml:space="preserve">Zie hiervoor het onderdeel “stand van zaken implementatietraject” van de brief. </w:t>
            </w:r>
          </w:p>
        </w:tc>
      </w:tr>
      <w:tr w:rsidRPr="00544E4B" w:rsidR="00700ACB" w:rsidTr="00215A96" w14:paraId="0C3641B4" w14:textId="77777777">
        <w:trPr>
          <w:trHeight w:val="262"/>
        </w:trPr>
        <w:tc>
          <w:tcPr>
            <w:tcW w:w="4927" w:type="dxa"/>
          </w:tcPr>
          <w:p w:rsidRPr="00405D0B" w:rsidR="00700ACB" w:rsidP="00E617C8" w:rsidRDefault="00700ACB" w14:paraId="59C0E141" w14:textId="77777777">
            <w:pPr>
              <w:autoSpaceDE w:val="0"/>
              <w:autoSpaceDN w:val="0"/>
              <w:adjustRightInd w:val="0"/>
              <w:rPr>
                <w:lang w:val="nl-NL"/>
              </w:rPr>
            </w:pPr>
            <w:r w:rsidRPr="00405D0B">
              <w:rPr>
                <w:lang w:val="nl-NL"/>
              </w:rPr>
              <w:t>Minister bevestigt dat voor pensioenfondsen in het nieuwe stelsel het ook mogelijk blijft om in WVP-regelingen een vaste uitkering aan te bieden</w:t>
            </w:r>
          </w:p>
        </w:tc>
        <w:tc>
          <w:tcPr>
            <w:tcW w:w="8079" w:type="dxa"/>
          </w:tcPr>
          <w:p w:rsidRPr="00405D0B" w:rsidR="00700ACB" w:rsidP="007A5A28" w:rsidRDefault="00700ACB" w14:paraId="578E6144" w14:textId="6639A246">
            <w:pPr>
              <w:autoSpaceDE w:val="0"/>
              <w:autoSpaceDN w:val="0"/>
              <w:adjustRightInd w:val="0"/>
              <w:rPr>
                <w:lang w:val="nl-NL"/>
              </w:rPr>
            </w:pPr>
            <w:r w:rsidRPr="007A5A28">
              <w:rPr>
                <w:lang w:val="nl-NL"/>
              </w:rPr>
              <w:t xml:space="preserve">Pensioenfondsen </w:t>
            </w:r>
            <w:r>
              <w:rPr>
                <w:lang w:val="nl-NL"/>
              </w:rPr>
              <w:t xml:space="preserve">die een flexibele premieregeling uitvoeren </w:t>
            </w:r>
            <w:r w:rsidRPr="007A5A28">
              <w:rPr>
                <w:lang w:val="nl-NL"/>
              </w:rPr>
              <w:t xml:space="preserve">bieden vaak ofwel alleen een variabele uitkering of een vaste uitkering. </w:t>
            </w:r>
            <w:r>
              <w:rPr>
                <w:lang w:val="nl-NL"/>
              </w:rPr>
              <w:t xml:space="preserve">Zij </w:t>
            </w:r>
            <w:r w:rsidRPr="007A5A28">
              <w:rPr>
                <w:lang w:val="nl-NL"/>
              </w:rPr>
              <w:t xml:space="preserve">kunnen dit </w:t>
            </w:r>
            <w:r>
              <w:rPr>
                <w:lang w:val="nl-NL"/>
              </w:rPr>
              <w:t xml:space="preserve">blijven </w:t>
            </w:r>
            <w:r w:rsidRPr="007A5A28">
              <w:rPr>
                <w:lang w:val="nl-NL"/>
              </w:rPr>
              <w:t xml:space="preserve">doen, zoals bij het debat van 14 juli 2020 ook is toegezegd. Voor de vastgestelde uitkering die wordt uitgevoerd door pensioenfondsen, gelden de regels op grond van het financieel toetsingskader voor vaste uitkeringen. </w:t>
            </w:r>
            <w:r>
              <w:rPr>
                <w:lang w:val="nl-NL"/>
              </w:rPr>
              <w:t xml:space="preserve">Dit wordt toegelicht in paragraaf 3.4.2 in de memorie van toelichting bij het wetsvoorstel Toekomst Pensioenen. </w:t>
            </w:r>
          </w:p>
        </w:tc>
      </w:tr>
      <w:tr w:rsidRPr="00544E4B" w:rsidR="00700ACB" w:rsidTr="00215A96" w14:paraId="294C058C" w14:textId="77777777">
        <w:trPr>
          <w:trHeight w:val="262"/>
        </w:trPr>
        <w:tc>
          <w:tcPr>
            <w:tcW w:w="4927" w:type="dxa"/>
          </w:tcPr>
          <w:p w:rsidRPr="00405D0B" w:rsidR="00700ACB" w:rsidP="00E617C8" w:rsidRDefault="00700ACB" w14:paraId="7D851489" w14:textId="77777777">
            <w:pPr>
              <w:autoSpaceDE w:val="0"/>
              <w:autoSpaceDN w:val="0"/>
              <w:adjustRightInd w:val="0"/>
              <w:rPr>
                <w:lang w:val="nl-NL"/>
              </w:rPr>
            </w:pPr>
            <w:r w:rsidRPr="00405D0B">
              <w:rPr>
                <w:lang w:val="nl-NL"/>
              </w:rPr>
              <w:t>De minister zegt toe om ten behoeve van het wetgevingstraject extra onderzoek te doen naar de arbeidsmarkteffecten en eventuele schrijnende gevallen van het plan om huidige werknemers in bestaande DC-staffels te laten vallen</w:t>
            </w:r>
          </w:p>
        </w:tc>
        <w:tc>
          <w:tcPr>
            <w:tcW w:w="8079" w:type="dxa"/>
          </w:tcPr>
          <w:p w:rsidRPr="00405D0B" w:rsidR="00700ACB" w:rsidP="008F40C3" w:rsidRDefault="00700ACB" w14:paraId="7571C97F" w14:textId="5DE590BF">
            <w:pPr>
              <w:autoSpaceDE w:val="0"/>
              <w:autoSpaceDN w:val="0"/>
              <w:adjustRightInd w:val="0"/>
              <w:rPr>
                <w:lang w:val="nl-NL"/>
              </w:rPr>
            </w:pPr>
            <w:r>
              <w:rPr>
                <w:lang w:val="nl-NL"/>
              </w:rPr>
              <w:t xml:space="preserve">Zoals gevraagd is tijdens het wetgevingstraject nader onderzoek gedaan naar het arbeidsmarkteffect van de eerbiedigende werking. Dit wordt toegelicht in paragraaf 15.4 van de memorie van toelichting bij het wetsvoorstel Toekomst Pensioenen. </w:t>
            </w:r>
          </w:p>
        </w:tc>
      </w:tr>
      <w:tr w:rsidRPr="00544E4B" w:rsidR="00700ACB" w:rsidTr="00215A96" w14:paraId="23B1E217" w14:textId="77777777">
        <w:trPr>
          <w:trHeight w:val="262"/>
        </w:trPr>
        <w:tc>
          <w:tcPr>
            <w:tcW w:w="4927" w:type="dxa"/>
          </w:tcPr>
          <w:p w:rsidRPr="00405D0B" w:rsidR="00700ACB" w:rsidP="005533BD" w:rsidRDefault="00700ACB" w14:paraId="09423897" w14:textId="6EBBDB5D">
            <w:pPr>
              <w:autoSpaceDE w:val="0"/>
              <w:autoSpaceDN w:val="0"/>
              <w:adjustRightInd w:val="0"/>
              <w:rPr>
                <w:lang w:val="nl-NL"/>
              </w:rPr>
            </w:pPr>
            <w:r>
              <w:rPr>
                <w:lang w:val="nl-NL"/>
              </w:rPr>
              <w:t>De m</w:t>
            </w:r>
            <w:r w:rsidRPr="00405D0B">
              <w:rPr>
                <w:lang w:val="nl-NL"/>
              </w:rPr>
              <w:t>inister zegt toe om twee elementen mee te nemen in de uitwerking van het nabestaandenpensioen (mensen die ZZP’er worden en zieke uittreders)</w:t>
            </w:r>
          </w:p>
        </w:tc>
        <w:tc>
          <w:tcPr>
            <w:tcW w:w="8079" w:type="dxa"/>
          </w:tcPr>
          <w:p w:rsidRPr="00405D0B" w:rsidR="00700ACB" w:rsidP="00E617C8" w:rsidRDefault="00700ACB" w14:paraId="4C819EB2" w14:textId="783ECC69">
            <w:pPr>
              <w:autoSpaceDE w:val="0"/>
              <w:autoSpaceDN w:val="0"/>
              <w:adjustRightInd w:val="0"/>
              <w:rPr>
                <w:lang w:val="nl-NL"/>
              </w:rPr>
            </w:pPr>
            <w:r>
              <w:rPr>
                <w:lang w:val="nl-NL"/>
              </w:rPr>
              <w:t>De wijzigingen die voorgesteld worden voor het nabestaandenpensioen beperken zich niet tot alleen actieve deelnemers. Ook werknemers die ZZP’er worden en werknemers die ziek uittreden kunnen gebruik maken van de nieuwe mogelijkheden die het wetsvoorstel biedt. Zie hoofdstuk 11 van de memorie van toelichting bij het wetsvoorstel toekomst pensioenen.</w:t>
            </w:r>
          </w:p>
        </w:tc>
      </w:tr>
      <w:tr w:rsidRPr="00544E4B" w:rsidR="00700ACB" w:rsidTr="00215A96" w14:paraId="2A0F1A78" w14:textId="77777777">
        <w:trPr>
          <w:trHeight w:val="262"/>
        </w:trPr>
        <w:tc>
          <w:tcPr>
            <w:tcW w:w="4927" w:type="dxa"/>
          </w:tcPr>
          <w:p w:rsidRPr="00405D0B" w:rsidR="00700ACB" w:rsidP="00E617C8" w:rsidRDefault="00700ACB" w14:paraId="5125FC5B" w14:textId="16AA8FEC">
            <w:pPr>
              <w:autoSpaceDE w:val="0"/>
              <w:autoSpaceDN w:val="0"/>
              <w:adjustRightInd w:val="0"/>
              <w:rPr>
                <w:lang w:val="nl-NL"/>
              </w:rPr>
            </w:pPr>
            <w:r w:rsidRPr="00405D0B">
              <w:rPr>
                <w:lang w:val="nl-NL"/>
              </w:rPr>
              <w:t>Minister zegt toe om de partnerdefinitie te bespreken met de pensioensector om ongewenste effecten van de partnerdefinitie (waarbij samenwonende</w:t>
            </w:r>
            <w:r>
              <w:rPr>
                <w:lang w:val="nl-NL"/>
              </w:rPr>
              <w:t>n</w:t>
            </w:r>
            <w:r w:rsidRPr="00405D0B">
              <w:rPr>
                <w:lang w:val="nl-NL"/>
              </w:rPr>
              <w:t xml:space="preserve"> onterecht als partner worden gezien) te voorkomen</w:t>
            </w:r>
          </w:p>
        </w:tc>
        <w:tc>
          <w:tcPr>
            <w:tcW w:w="8079" w:type="dxa"/>
          </w:tcPr>
          <w:p w:rsidRPr="00405D0B" w:rsidR="00700ACB" w:rsidP="00E617C8" w:rsidRDefault="00700ACB" w14:paraId="394F1616" w14:textId="1C0D6AB0">
            <w:pPr>
              <w:autoSpaceDE w:val="0"/>
              <w:autoSpaceDN w:val="0"/>
              <w:adjustRightInd w:val="0"/>
              <w:rPr>
                <w:lang w:val="nl-NL"/>
              </w:rPr>
            </w:pPr>
            <w:r>
              <w:rPr>
                <w:lang w:val="nl-NL"/>
              </w:rPr>
              <w:t xml:space="preserve">De partnerdefinitie zoals deze in het wetsvoorstel toekomst pensioenen is opgenomen is tot stand gekomen na overleg met de pensioensector. </w:t>
            </w:r>
          </w:p>
        </w:tc>
      </w:tr>
      <w:tr w:rsidRPr="00544E4B" w:rsidR="00700ACB" w:rsidTr="00215A96" w14:paraId="027CDC1F" w14:textId="77777777">
        <w:trPr>
          <w:trHeight w:val="262"/>
        </w:trPr>
        <w:tc>
          <w:tcPr>
            <w:tcW w:w="4927" w:type="dxa"/>
          </w:tcPr>
          <w:p w:rsidRPr="00405D0B" w:rsidR="00700ACB" w:rsidP="00E617C8" w:rsidRDefault="00700ACB" w14:paraId="54F1C4BD" w14:textId="77777777">
            <w:pPr>
              <w:autoSpaceDE w:val="0"/>
              <w:autoSpaceDN w:val="0"/>
              <w:adjustRightInd w:val="0"/>
              <w:rPr>
                <w:lang w:val="nl-NL"/>
              </w:rPr>
            </w:pPr>
            <w:r w:rsidRPr="00405D0B">
              <w:rPr>
                <w:lang w:val="nl-NL"/>
              </w:rPr>
              <w:lastRenderedPageBreak/>
              <w:t>Ik kan mij vinden in het advies van de Stichting over het nabestaandenpensioen en ben dan ook voornemens om het advies over te nemen. De wijzigingen van wet- en regelgeving die hierna worden benoemd, worden meegenomen in het wetstraject ter verbetering van het twee pijlerpensioenstelsel.</w:t>
            </w:r>
          </w:p>
        </w:tc>
        <w:tc>
          <w:tcPr>
            <w:tcW w:w="8079" w:type="dxa"/>
          </w:tcPr>
          <w:p w:rsidRPr="00405D0B" w:rsidR="00700ACB" w:rsidP="00E617C8" w:rsidRDefault="00700ACB" w14:paraId="5A15697E" w14:textId="168CC40B">
            <w:pPr>
              <w:autoSpaceDE w:val="0"/>
              <w:autoSpaceDN w:val="0"/>
              <w:adjustRightInd w:val="0"/>
              <w:rPr>
                <w:lang w:val="nl-NL"/>
              </w:rPr>
            </w:pPr>
            <w:r>
              <w:rPr>
                <w:lang w:val="nl-NL"/>
              </w:rPr>
              <w:t xml:space="preserve">Zoals toegelicht in hoofdstuk 11 van de memorie van toelichting bij het wetsvoorstel toekomst pensioenen komt de herziening van het nabestaandenpensioen voort uit het advies dat de Stichting van de Arbeid heeft gegeven over het nabestaandenpensioen. </w:t>
            </w:r>
          </w:p>
        </w:tc>
      </w:tr>
      <w:tr w:rsidRPr="00544E4B" w:rsidR="00700ACB" w:rsidTr="00215A96" w14:paraId="76867C04" w14:textId="77777777">
        <w:trPr>
          <w:trHeight w:val="262"/>
        </w:trPr>
        <w:tc>
          <w:tcPr>
            <w:tcW w:w="4927" w:type="dxa"/>
          </w:tcPr>
          <w:p w:rsidRPr="00405D0B" w:rsidR="00700ACB" w:rsidP="00E617C8" w:rsidRDefault="00700ACB" w14:paraId="4956FFB5" w14:textId="77777777">
            <w:pPr>
              <w:autoSpaceDE w:val="0"/>
              <w:autoSpaceDN w:val="0"/>
              <w:adjustRightInd w:val="0"/>
              <w:rPr>
                <w:lang w:val="nl-NL"/>
              </w:rPr>
            </w:pPr>
            <w:r w:rsidRPr="00405D0B">
              <w:rPr>
                <w:lang w:val="nl-NL"/>
              </w:rPr>
              <w:t>Bij de uitwerking van het nieuwe contract komt bijzondere aandacht voor de wijze waarop het reeds opgebouwde nabestaandenpensioen kan worden overgedragen.</w:t>
            </w:r>
          </w:p>
        </w:tc>
        <w:tc>
          <w:tcPr>
            <w:tcW w:w="8079" w:type="dxa"/>
          </w:tcPr>
          <w:p w:rsidRPr="00405D0B" w:rsidR="00700ACB" w:rsidP="00903A13" w:rsidRDefault="00700ACB" w14:paraId="299C917F" w14:textId="1999A939">
            <w:pPr>
              <w:autoSpaceDE w:val="0"/>
              <w:autoSpaceDN w:val="0"/>
              <w:adjustRightInd w:val="0"/>
              <w:rPr>
                <w:lang w:val="nl-NL"/>
              </w:rPr>
            </w:pPr>
            <w:r>
              <w:rPr>
                <w:lang w:val="nl-NL"/>
              </w:rPr>
              <w:t>Ter bescherming van het reeds opgebouwde nabestaandenpensioen is overgangsrecht gecreëerd. Dit wordt toegelicht in paragraaf 11.4 van de memorie van toelichting bij het wetsvoorstel toekomst pensioenen.</w:t>
            </w:r>
          </w:p>
        </w:tc>
      </w:tr>
    </w:tbl>
    <w:p w:rsidRPr="00405D0B" w:rsidR="009D320E" w:rsidRDefault="009D320E" w14:paraId="07161B54" w14:textId="77777777">
      <w:pPr>
        <w:rPr>
          <w:lang w:val="nl-NL"/>
        </w:rPr>
      </w:pPr>
    </w:p>
    <w:sectPr w:rsidRPr="00405D0B" w:rsidR="009D320E" w:rsidSect="009D320E">
      <w:pgSz w:w="16840" w:h="11907" w:orient="landscape"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0E"/>
    <w:rsid w:val="00053BC0"/>
    <w:rsid w:val="00100AA7"/>
    <w:rsid w:val="00193C74"/>
    <w:rsid w:val="001A1314"/>
    <w:rsid w:val="001E6A24"/>
    <w:rsid w:val="00215A96"/>
    <w:rsid w:val="00375924"/>
    <w:rsid w:val="003801D8"/>
    <w:rsid w:val="003C65A3"/>
    <w:rsid w:val="00405D0B"/>
    <w:rsid w:val="004114FD"/>
    <w:rsid w:val="0053291C"/>
    <w:rsid w:val="00544E4B"/>
    <w:rsid w:val="005533BD"/>
    <w:rsid w:val="005872C6"/>
    <w:rsid w:val="006979AC"/>
    <w:rsid w:val="006D6DE0"/>
    <w:rsid w:val="00700ACB"/>
    <w:rsid w:val="0071295C"/>
    <w:rsid w:val="00714BFF"/>
    <w:rsid w:val="007A5A28"/>
    <w:rsid w:val="007F1BC5"/>
    <w:rsid w:val="008730AF"/>
    <w:rsid w:val="008F40C3"/>
    <w:rsid w:val="00903A13"/>
    <w:rsid w:val="009A0F56"/>
    <w:rsid w:val="009A4B55"/>
    <w:rsid w:val="009D320E"/>
    <w:rsid w:val="00B06701"/>
    <w:rsid w:val="00BB6CF6"/>
    <w:rsid w:val="00D62288"/>
    <w:rsid w:val="00FE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773D"/>
  <w15:chartTrackingRefBased/>
  <w15:docId w15:val="{7C50A8B7-071C-4A9D-B1AC-C94708D6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7A5A28"/>
    <w:rPr>
      <w:sz w:val="16"/>
      <w:szCs w:val="16"/>
    </w:rPr>
  </w:style>
  <w:style w:type="paragraph" w:styleId="Tekstopmerking">
    <w:name w:val="annotation text"/>
    <w:basedOn w:val="Standaard"/>
    <w:link w:val="TekstopmerkingChar"/>
    <w:uiPriority w:val="99"/>
    <w:semiHidden/>
    <w:unhideWhenUsed/>
    <w:rsid w:val="007A5A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5A28"/>
    <w:rPr>
      <w:sz w:val="20"/>
      <w:szCs w:val="20"/>
    </w:rPr>
  </w:style>
  <w:style w:type="paragraph" w:styleId="Onderwerpvanopmerking">
    <w:name w:val="annotation subject"/>
    <w:basedOn w:val="Tekstopmerking"/>
    <w:next w:val="Tekstopmerking"/>
    <w:link w:val="OnderwerpvanopmerkingChar"/>
    <w:uiPriority w:val="99"/>
    <w:semiHidden/>
    <w:unhideWhenUsed/>
    <w:rsid w:val="007A5A28"/>
    <w:rPr>
      <w:b/>
      <w:bCs/>
    </w:rPr>
  </w:style>
  <w:style w:type="character" w:customStyle="1" w:styleId="OnderwerpvanopmerkingChar">
    <w:name w:val="Onderwerp van opmerking Char"/>
    <w:basedOn w:val="TekstopmerkingChar"/>
    <w:link w:val="Onderwerpvanopmerking"/>
    <w:uiPriority w:val="99"/>
    <w:semiHidden/>
    <w:rsid w:val="007A5A28"/>
    <w:rPr>
      <w:b/>
      <w:bCs/>
      <w:sz w:val="20"/>
      <w:szCs w:val="20"/>
    </w:rPr>
  </w:style>
  <w:style w:type="paragraph" w:styleId="Ballontekst">
    <w:name w:val="Balloon Text"/>
    <w:basedOn w:val="Standaard"/>
    <w:link w:val="BallontekstChar"/>
    <w:uiPriority w:val="99"/>
    <w:semiHidden/>
    <w:unhideWhenUsed/>
    <w:rsid w:val="007A5A28"/>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A5A28"/>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5998">
      <w:bodyDiv w:val="1"/>
      <w:marLeft w:val="0"/>
      <w:marRight w:val="0"/>
      <w:marTop w:val="0"/>
      <w:marBottom w:val="0"/>
      <w:divBdr>
        <w:top w:val="none" w:sz="0" w:space="0" w:color="auto"/>
        <w:left w:val="none" w:sz="0" w:space="0" w:color="auto"/>
        <w:bottom w:val="none" w:sz="0" w:space="0" w:color="auto"/>
        <w:right w:val="none" w:sz="0" w:space="0" w:color="auto"/>
      </w:divBdr>
    </w:div>
    <w:div w:id="19286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868</ap:Words>
  <ap:Characters>4780</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2022-04-05T14:29:00.0000000Z</dcterms:created>
  <dcterms:modified xsi:type="dcterms:W3CDTF">2022-04-05T14:29:00.0000000Z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0x0101009100500162C61F4C999C0D2254F4B00A</vt:lpwstr>
  </property>
</Properties>
</file>