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E2682" w14:paraId="258EB843" w14:textId="684258BE">
                            <w:pPr>
                              <w:pStyle w:val="Huisstijl-Agendatitel"/>
                              <w:ind w:left="0" w:firstLine="0"/>
                              <w:jc w:val="right"/>
                            </w:pPr>
                            <w:r>
                              <w:t>18</w:t>
                            </w:r>
                            <w:r w:rsidR="00E62DC0">
                              <w:t xml:space="preserve"> maart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E2682" w14:paraId="258EB843" w14:textId="684258BE">
                      <w:pPr>
                        <w:pStyle w:val="Huisstijl-Agendatitel"/>
                        <w:ind w:left="0" w:firstLine="0"/>
                        <w:jc w:val="right"/>
                      </w:pPr>
                      <w:r>
                        <w:t>18</w:t>
                      </w:r>
                      <w:r w:rsidR="00E62DC0">
                        <w:t xml:space="preserve"> maart 2022</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005115F8" w:rsidP="005115F8" w:rsidRDefault="005115F8" w14:paraId="3EB199E6" w14:textId="336910B1">
      <w:pPr>
        <w:pStyle w:val="Normaalweb"/>
      </w:pPr>
      <w: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00B974F0">
        <w:rPr>
          <w:rStyle w:val="Voetnootmarkering"/>
        </w:rPr>
        <w:footnoteReference w:id="1"/>
      </w:r>
      <w: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B974F0" w14:paraId="2AE8D68B" w14:textId="356619D1">
            <w:pPr>
              <w:pStyle w:val="Lijstalinea"/>
              <w:numPr>
                <w:ilvl w:val="0"/>
                <w:numId w:val="10"/>
              </w:numPr>
              <w:spacing w:after="240"/>
              <w:ind w:left="312"/>
              <w:rPr>
                <w:color w:val="595959" w:themeColor="text1" w:themeTint="A6"/>
                <w:szCs w:val="18"/>
              </w:rPr>
            </w:pPr>
            <w:r>
              <w:rPr>
                <w:color w:val="595959" w:themeColor="text1" w:themeTint="A6"/>
                <w:szCs w:val="18"/>
              </w:rPr>
              <w:t>D</w:t>
            </w:r>
          </w:p>
        </w:tc>
        <w:tc>
          <w:tcPr>
            <w:tcW w:w="1035" w:type="dxa"/>
          </w:tcPr>
          <w:p w:rsidRPr="00D75535" w:rsidR="002A4BD8" w:rsidP="003A21AA" w:rsidRDefault="002A4BD8" w14:paraId="417B6F7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B25F4" w:rsidR="002A4BD8" w:rsidP="003A21AA" w:rsidRDefault="00AB25F4" w14:paraId="3770AB7C" w14:textId="285C5994">
            <w:pPr>
              <w:spacing w:after="240"/>
              <w:rPr>
                <w:rFonts w:ascii="Times New Roman" w:hAnsi="Times New Roman"/>
                <w:b/>
                <w:color w:val="595959" w:themeColor="text1" w:themeTint="A6"/>
                <w:sz w:val="22"/>
              </w:rPr>
            </w:pPr>
            <w:proofErr w:type="spellStart"/>
            <w:r w:rsidRPr="00AB25F4">
              <w:rPr>
                <w:rFonts w:ascii="Times New Roman" w:hAnsi="Times New Roman"/>
                <w:sz w:val="22"/>
              </w:rPr>
              <w:t>Proposal</w:t>
            </w:r>
            <w:proofErr w:type="spellEnd"/>
            <w:r w:rsidRPr="00AB25F4">
              <w:rPr>
                <w:rFonts w:ascii="Times New Roman" w:hAnsi="Times New Roman"/>
                <w:sz w:val="22"/>
              </w:rPr>
              <w:t xml:space="preserve"> </w:t>
            </w:r>
            <w:proofErr w:type="spellStart"/>
            <w:r w:rsidRPr="00AB25F4">
              <w:rPr>
                <w:rFonts w:ascii="Times New Roman" w:hAnsi="Times New Roman"/>
                <w:sz w:val="22"/>
              </w:rPr>
              <w:t>for</w:t>
            </w:r>
            <w:proofErr w:type="spellEnd"/>
            <w:r w:rsidRPr="00AB25F4">
              <w:rPr>
                <w:rFonts w:ascii="Times New Roman" w:hAnsi="Times New Roman"/>
                <w:sz w:val="22"/>
              </w:rPr>
              <w:t xml:space="preserve"> a COUNCIL REGULATION </w:t>
            </w:r>
            <w:proofErr w:type="spellStart"/>
            <w:r w:rsidRPr="00AB25F4">
              <w:rPr>
                <w:rFonts w:ascii="Times New Roman" w:hAnsi="Times New Roman"/>
                <w:sz w:val="22"/>
              </w:rPr>
              <w:t>amending</w:t>
            </w:r>
            <w:proofErr w:type="spellEnd"/>
            <w:r w:rsidRPr="00AB25F4">
              <w:rPr>
                <w:rFonts w:ascii="Times New Roman" w:hAnsi="Times New Roman"/>
                <w:sz w:val="22"/>
              </w:rPr>
              <w:t xml:space="preserve"> </w:t>
            </w:r>
            <w:proofErr w:type="spellStart"/>
            <w:r w:rsidRPr="00AB25F4">
              <w:rPr>
                <w:rFonts w:ascii="Times New Roman" w:hAnsi="Times New Roman"/>
                <w:sz w:val="22"/>
              </w:rPr>
              <w:t>Regulation</w:t>
            </w:r>
            <w:proofErr w:type="spellEnd"/>
            <w:r w:rsidRPr="00AB25F4">
              <w:rPr>
                <w:rFonts w:ascii="Times New Roman" w:hAnsi="Times New Roman"/>
                <w:sz w:val="22"/>
              </w:rPr>
              <w:t xml:space="preserve"> (EU, Euratom) 2021/768 of 30 April 2021 as </w:t>
            </w:r>
            <w:proofErr w:type="spellStart"/>
            <w:r w:rsidRPr="00AB25F4">
              <w:rPr>
                <w:rFonts w:ascii="Times New Roman" w:hAnsi="Times New Roman"/>
                <w:sz w:val="22"/>
              </w:rPr>
              <w:t>regards</w:t>
            </w:r>
            <w:proofErr w:type="spellEnd"/>
            <w:r w:rsidRPr="00AB25F4">
              <w:rPr>
                <w:rFonts w:ascii="Times New Roman" w:hAnsi="Times New Roman"/>
                <w:sz w:val="22"/>
              </w:rPr>
              <w:t xml:space="preserve"> </w:t>
            </w:r>
            <w:proofErr w:type="spellStart"/>
            <w:r w:rsidRPr="00AB25F4">
              <w:rPr>
                <w:rFonts w:ascii="Times New Roman" w:hAnsi="Times New Roman"/>
                <w:sz w:val="22"/>
              </w:rPr>
              <w:t>implementing</w:t>
            </w:r>
            <w:proofErr w:type="spellEnd"/>
            <w:r w:rsidRPr="00AB25F4">
              <w:rPr>
                <w:rFonts w:ascii="Times New Roman" w:hAnsi="Times New Roman"/>
                <w:sz w:val="22"/>
              </w:rPr>
              <w:t xml:space="preserve"> </w:t>
            </w:r>
            <w:proofErr w:type="spellStart"/>
            <w:r w:rsidRPr="00AB25F4">
              <w:rPr>
                <w:rFonts w:ascii="Times New Roman" w:hAnsi="Times New Roman"/>
                <w:sz w:val="22"/>
              </w:rPr>
              <w:t>measures</w:t>
            </w:r>
            <w:proofErr w:type="spellEnd"/>
            <w:r w:rsidRPr="00AB25F4">
              <w:rPr>
                <w:rFonts w:ascii="Times New Roman" w:hAnsi="Times New Roman"/>
                <w:sz w:val="22"/>
              </w:rPr>
              <w:t xml:space="preserve"> </w:t>
            </w:r>
            <w:proofErr w:type="spellStart"/>
            <w:r w:rsidRPr="00AB25F4">
              <w:rPr>
                <w:rFonts w:ascii="Times New Roman" w:hAnsi="Times New Roman"/>
                <w:sz w:val="22"/>
              </w:rPr>
              <w:t>for</w:t>
            </w:r>
            <w:proofErr w:type="spellEnd"/>
            <w:r w:rsidRPr="00AB25F4">
              <w:rPr>
                <w:rFonts w:ascii="Times New Roman" w:hAnsi="Times New Roman"/>
                <w:sz w:val="22"/>
              </w:rPr>
              <w:t xml:space="preserve"> new </w:t>
            </w:r>
            <w:proofErr w:type="spellStart"/>
            <w:r w:rsidRPr="00AB25F4">
              <w:rPr>
                <w:rFonts w:ascii="Times New Roman" w:hAnsi="Times New Roman"/>
                <w:sz w:val="22"/>
              </w:rPr>
              <w:t>own</w:t>
            </w:r>
            <w:proofErr w:type="spellEnd"/>
            <w:r w:rsidRPr="00AB25F4">
              <w:rPr>
                <w:rFonts w:ascii="Times New Roman" w:hAnsi="Times New Roman"/>
                <w:sz w:val="22"/>
              </w:rPr>
              <w:t xml:space="preserve"> resources of </w:t>
            </w:r>
            <w:proofErr w:type="spellStart"/>
            <w:r w:rsidRPr="00AB25F4">
              <w:rPr>
                <w:rFonts w:ascii="Times New Roman" w:hAnsi="Times New Roman"/>
                <w:sz w:val="22"/>
              </w:rPr>
              <w:t>the</w:t>
            </w:r>
            <w:proofErr w:type="spellEnd"/>
            <w:r w:rsidRPr="00AB25F4">
              <w:rPr>
                <w:rFonts w:ascii="Times New Roman" w:hAnsi="Times New Roman"/>
                <w:sz w:val="22"/>
              </w:rPr>
              <w:t xml:space="preserve"> European Union </w:t>
            </w:r>
            <w:hyperlink w:history="1" r:id="rId14">
              <w:r w:rsidRPr="00AB25F4">
                <w:rPr>
                  <w:rStyle w:val="Hyperlink"/>
                  <w:rFonts w:ascii="Times New Roman" w:hAnsi="Times New Roman"/>
                  <w:color w:val="954F72"/>
                  <w:sz w:val="22"/>
                </w:rPr>
                <w:t>COM (2022) 102</w:t>
              </w:r>
            </w:hyperlink>
          </w:p>
        </w:tc>
      </w:tr>
      <w:tr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7A0B1CB" w14:textId="77777777">
            <w:pPr>
              <w:spacing w:after="240"/>
              <w:rPr>
                <w:szCs w:val="18"/>
              </w:rPr>
            </w:pPr>
          </w:p>
        </w:tc>
        <w:tc>
          <w:tcPr>
            <w:tcW w:w="1035" w:type="dxa"/>
          </w:tcPr>
          <w:p w:rsidRPr="002A4BD8" w:rsidR="002A4BD8" w:rsidP="003A21AA" w:rsidRDefault="002A4BD8" w14:paraId="1AD1B08F" w14:textId="77777777">
            <w:pPr>
              <w:spacing w:after="240"/>
              <w:rPr>
                <w:szCs w:val="18"/>
              </w:rPr>
            </w:pPr>
            <w:r w:rsidRPr="002A4BD8">
              <w:rPr>
                <w:szCs w:val="18"/>
              </w:rPr>
              <w:t>Voorstel</w:t>
            </w:r>
          </w:p>
        </w:tc>
        <w:tc>
          <w:tcPr>
            <w:tcW w:w="6529" w:type="dxa"/>
          </w:tcPr>
          <w:p w:rsidRPr="002A4BD8" w:rsidR="002A4BD8" w:rsidP="003A21AA" w:rsidRDefault="00B974F0" w14:paraId="796F226E" w14:textId="1EFE1F5E">
            <w:pPr>
              <w:spacing w:after="240"/>
              <w:rPr>
                <w:szCs w:val="18"/>
              </w:rPr>
            </w:pPr>
            <w:r>
              <w:rPr>
                <w:szCs w:val="18"/>
              </w:rPr>
              <w:t>Voor kennisgeving aannemen</w:t>
            </w:r>
          </w:p>
        </w:tc>
      </w:tr>
      <w:tr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7A999B7" w14:textId="77777777">
            <w:pPr>
              <w:spacing w:after="240"/>
              <w:rPr>
                <w:color w:val="595959" w:themeColor="text1" w:themeTint="A6"/>
                <w:szCs w:val="18"/>
              </w:rPr>
            </w:pPr>
          </w:p>
        </w:tc>
        <w:tc>
          <w:tcPr>
            <w:tcW w:w="1035" w:type="dxa"/>
          </w:tcPr>
          <w:p w:rsidRPr="00D75535" w:rsidR="002A4BD8" w:rsidP="003A21AA" w:rsidRDefault="002A4BD8" w14:paraId="607AB8A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9802B0" w:rsidRDefault="00B974F0" w14:paraId="5F09C656" w14:textId="6847A7E2">
            <w:pPr>
              <w:spacing w:after="240"/>
              <w:rPr>
                <w:color w:val="595959" w:themeColor="text1" w:themeTint="A6"/>
                <w:szCs w:val="18"/>
              </w:rPr>
            </w:pPr>
            <w:r>
              <w:rPr>
                <w:color w:val="595959" w:themeColor="text1" w:themeTint="A6"/>
                <w:szCs w:val="18"/>
              </w:rPr>
              <w:t>Dit voorstel complementeert</w:t>
            </w:r>
            <w:r w:rsidR="00087C92">
              <w:rPr>
                <w:color w:val="595959" w:themeColor="text1" w:themeTint="A6"/>
                <w:szCs w:val="18"/>
              </w:rPr>
              <w:t xml:space="preserve"> het </w:t>
            </w:r>
            <w:r w:rsidRPr="00087C92" w:rsidR="00087C92">
              <w:rPr>
                <w:color w:val="595959" w:themeColor="text1" w:themeTint="A6"/>
                <w:szCs w:val="18"/>
              </w:rPr>
              <w:t>besluit ter wijziging Eigenmiddelenbesluit</w:t>
            </w:r>
            <w:r w:rsidR="00087C92">
              <w:rPr>
                <w:color w:val="595959" w:themeColor="text1" w:themeTint="A6"/>
                <w:szCs w:val="18"/>
              </w:rPr>
              <w:t xml:space="preserve"> </w:t>
            </w:r>
            <w:r w:rsidR="009802B0">
              <w:rPr>
                <w:color w:val="595959" w:themeColor="text1" w:themeTint="A6"/>
                <w:szCs w:val="18"/>
              </w:rPr>
              <w:t xml:space="preserve">waarin 3 nieuwe eigen middelen worden geïntroduceerd en </w:t>
            </w:r>
            <w:r w:rsidR="00087C92">
              <w:rPr>
                <w:color w:val="595959" w:themeColor="text1" w:themeTint="A6"/>
                <w:szCs w:val="18"/>
              </w:rPr>
              <w:t xml:space="preserve">waarover u schriftelijk overleg hebt gevoerd op 7 maart jl. Het doel van dit voorstel is het wijzigen van de uitvoeringsmaatregelen van het stelsel van eigen middelen van de EU. </w:t>
            </w:r>
          </w:p>
        </w:tc>
      </w:tr>
    </w:tbl>
    <w:p w:rsidR="002A4BD8" w:rsidP="002A4BD8" w:rsidRDefault="002A4BD8" w14:paraId="597C8652" w14:textId="6B64E99C">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B974F0" w:rsidTr="007C53BD" w14:paraId="5F22A66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B974F0" w:rsidP="007C53BD" w:rsidRDefault="00B974F0" w14:paraId="3F15C3C3" w14:textId="77777777">
            <w:pPr>
              <w:pStyle w:val="Lijstalinea"/>
              <w:numPr>
                <w:ilvl w:val="0"/>
                <w:numId w:val="10"/>
              </w:numPr>
              <w:spacing w:after="240"/>
              <w:ind w:left="312"/>
              <w:rPr>
                <w:color w:val="595959" w:themeColor="text1" w:themeTint="A6"/>
                <w:szCs w:val="18"/>
              </w:rPr>
            </w:pPr>
          </w:p>
        </w:tc>
        <w:tc>
          <w:tcPr>
            <w:tcW w:w="1035" w:type="dxa"/>
          </w:tcPr>
          <w:p w:rsidRPr="00D75535" w:rsidR="00B974F0" w:rsidP="007C53BD" w:rsidRDefault="00B974F0" w14:paraId="4103DD64" w14:textId="77777777">
            <w:pPr>
              <w:spacing w:after="240"/>
              <w:rPr>
                <w:color w:val="595959" w:themeColor="text1" w:themeTint="A6"/>
                <w:szCs w:val="18"/>
              </w:rPr>
            </w:pPr>
            <w:r w:rsidRPr="00D75535">
              <w:rPr>
                <w:color w:val="595959" w:themeColor="text1" w:themeTint="A6"/>
                <w:szCs w:val="18"/>
              </w:rPr>
              <w:t>Titel</w:t>
            </w:r>
          </w:p>
        </w:tc>
        <w:tc>
          <w:tcPr>
            <w:tcW w:w="6529" w:type="dxa"/>
          </w:tcPr>
          <w:p w:rsidR="00B974F0" w:rsidP="009802B0" w:rsidRDefault="00B974F0" w14:paraId="1B598420" w14:textId="77777777">
            <w:pPr>
              <w:shd w:val="clear" w:color="auto" w:fill="FFFFFF"/>
              <w:spacing w:after="75"/>
              <w:rPr>
                <w:rStyle w:val="Hyperlink"/>
                <w:rFonts w:ascii="Times New Roman" w:hAnsi="Times New Roman"/>
                <w:color w:val="954F72"/>
                <w:sz w:val="22"/>
                <w:lang w:val="en-US"/>
              </w:rPr>
            </w:pPr>
            <w:r w:rsidRPr="00B974F0">
              <w:rPr>
                <w:rFonts w:ascii="Times New Roman" w:hAnsi="Times New Roman"/>
                <w:sz w:val="22"/>
                <w:lang w:val="en-US"/>
              </w:rPr>
              <w:t>Proposal for a COUNCIL REGULATION on the methods and procedure for making available own resources based on the Emissions Trading System, the Carbon Border Adjustment Mechanism and reallocated profits and on the measures to meet cash requirements </w:t>
            </w:r>
            <w:hyperlink w:history="1" r:id="rId15">
              <w:r w:rsidRPr="00B974F0">
                <w:rPr>
                  <w:rStyle w:val="Hyperlink"/>
                  <w:rFonts w:ascii="Times New Roman" w:hAnsi="Times New Roman"/>
                  <w:color w:val="954F72"/>
                  <w:sz w:val="22"/>
                  <w:lang w:val="en-US"/>
                </w:rPr>
                <w:t>COM (2022) 101</w:t>
              </w:r>
            </w:hyperlink>
          </w:p>
          <w:p w:rsidRPr="009802B0" w:rsidR="00EE2682" w:rsidP="009802B0" w:rsidRDefault="00EE2682" w14:paraId="4C511F17" w14:textId="798FC3DA">
            <w:pPr>
              <w:shd w:val="clear" w:color="auto" w:fill="FFFFFF"/>
              <w:spacing w:after="75"/>
              <w:rPr>
                <w:rFonts w:ascii="Times New Roman" w:hAnsi="Times New Roman"/>
                <w:sz w:val="22"/>
                <w:lang w:val="en-US" w:eastAsia="nl-NL"/>
              </w:rPr>
            </w:pPr>
          </w:p>
        </w:tc>
      </w:tr>
      <w:tr w:rsidR="00087C92" w:rsidTr="007C53BD" w14:paraId="692D20E8" w14:textId="77777777">
        <w:tc>
          <w:tcPr>
            <w:tcW w:w="421" w:type="dxa"/>
            <w:vMerge/>
            <w:tcBorders>
              <w:top w:val="nil"/>
              <w:bottom w:val="single" w:color="D9D9D9" w:themeColor="background1" w:themeShade="D9" w:sz="4" w:space="0"/>
            </w:tcBorders>
            <w:shd w:val="clear" w:color="auto" w:fill="F2F2F2" w:themeFill="background1" w:themeFillShade="F2"/>
          </w:tcPr>
          <w:p w:rsidR="00087C92" w:rsidP="00087C92" w:rsidRDefault="00087C92" w14:paraId="4F575ABF" w14:textId="77777777">
            <w:pPr>
              <w:spacing w:after="240"/>
              <w:rPr>
                <w:szCs w:val="18"/>
              </w:rPr>
            </w:pPr>
          </w:p>
        </w:tc>
        <w:tc>
          <w:tcPr>
            <w:tcW w:w="1035" w:type="dxa"/>
          </w:tcPr>
          <w:p w:rsidRPr="002A4BD8" w:rsidR="00087C92" w:rsidP="00087C92" w:rsidRDefault="00087C92" w14:paraId="65411F3C" w14:textId="77777777">
            <w:pPr>
              <w:spacing w:after="240"/>
              <w:rPr>
                <w:szCs w:val="18"/>
              </w:rPr>
            </w:pPr>
            <w:r w:rsidRPr="002A4BD8">
              <w:rPr>
                <w:szCs w:val="18"/>
              </w:rPr>
              <w:t>Voorstel</w:t>
            </w:r>
          </w:p>
        </w:tc>
        <w:tc>
          <w:tcPr>
            <w:tcW w:w="6529" w:type="dxa"/>
          </w:tcPr>
          <w:p w:rsidRPr="002A4BD8" w:rsidR="00087C92" w:rsidP="00087C92" w:rsidRDefault="00087C92" w14:paraId="0E583670" w14:textId="0B1DD456">
            <w:pPr>
              <w:spacing w:after="240"/>
              <w:rPr>
                <w:szCs w:val="18"/>
              </w:rPr>
            </w:pPr>
            <w:r>
              <w:rPr>
                <w:szCs w:val="18"/>
              </w:rPr>
              <w:t>Voor kennisgeving aannemen</w:t>
            </w:r>
          </w:p>
        </w:tc>
      </w:tr>
      <w:tr w:rsidR="00087C92" w:rsidTr="007C53BD" w14:paraId="42795F33"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087C92" w:rsidP="00087C92" w:rsidRDefault="00087C92" w14:paraId="0354434B" w14:textId="77777777">
            <w:pPr>
              <w:spacing w:after="240"/>
              <w:rPr>
                <w:color w:val="595959" w:themeColor="text1" w:themeTint="A6"/>
                <w:szCs w:val="18"/>
              </w:rPr>
            </w:pPr>
          </w:p>
        </w:tc>
        <w:tc>
          <w:tcPr>
            <w:tcW w:w="1035" w:type="dxa"/>
          </w:tcPr>
          <w:p w:rsidRPr="00D75535" w:rsidR="00087C92" w:rsidP="00087C92" w:rsidRDefault="00087C92" w14:paraId="52A6540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087C92" w:rsidP="009802B0" w:rsidRDefault="009802B0" w14:paraId="51F1C0AC" w14:textId="32D9DD50">
            <w:pPr>
              <w:spacing w:after="240"/>
              <w:rPr>
                <w:color w:val="595959" w:themeColor="text1" w:themeTint="A6"/>
                <w:szCs w:val="18"/>
              </w:rPr>
            </w:pPr>
            <w:r>
              <w:rPr>
                <w:color w:val="595959" w:themeColor="text1" w:themeTint="A6"/>
                <w:szCs w:val="18"/>
              </w:rPr>
              <w:t xml:space="preserve">Dit voorstel complementeert het </w:t>
            </w:r>
            <w:r w:rsidRPr="00087C92">
              <w:rPr>
                <w:color w:val="595959" w:themeColor="text1" w:themeTint="A6"/>
                <w:szCs w:val="18"/>
              </w:rPr>
              <w:t>besluit ter wijziging Eigenmiddelenbesluit</w:t>
            </w:r>
            <w:r>
              <w:rPr>
                <w:color w:val="595959" w:themeColor="text1" w:themeTint="A6"/>
                <w:szCs w:val="18"/>
              </w:rPr>
              <w:t xml:space="preserve"> waarin 3 nieuwe eigen middelen worden geïntroduceerd en waarover u schriftelijk overleg hebt gevoerd op 7 maart jl.</w:t>
            </w:r>
            <w:r>
              <w:t xml:space="preserve"> </w:t>
            </w:r>
            <w:r w:rsidRPr="009802B0">
              <w:rPr>
                <w:color w:val="595959" w:themeColor="text1" w:themeTint="A6"/>
                <w:szCs w:val="18"/>
              </w:rPr>
              <w:t>D</w:t>
            </w:r>
            <w:r>
              <w:rPr>
                <w:color w:val="595959" w:themeColor="text1" w:themeTint="A6"/>
                <w:szCs w:val="18"/>
              </w:rPr>
              <w:t>it</w:t>
            </w:r>
            <w:r w:rsidRPr="009802B0">
              <w:rPr>
                <w:color w:val="595959" w:themeColor="text1" w:themeTint="A6"/>
                <w:szCs w:val="18"/>
              </w:rPr>
              <w:t xml:space="preserve"> voorstel </w:t>
            </w:r>
            <w:r>
              <w:rPr>
                <w:color w:val="595959" w:themeColor="text1" w:themeTint="A6"/>
                <w:szCs w:val="18"/>
              </w:rPr>
              <w:t>geeft</w:t>
            </w:r>
            <w:r w:rsidRPr="009802B0">
              <w:rPr>
                <w:color w:val="595959" w:themeColor="text1" w:themeTint="A6"/>
                <w:szCs w:val="18"/>
              </w:rPr>
              <w:t xml:space="preserve"> de praktische regelingen, de </w:t>
            </w:r>
            <w:r>
              <w:rPr>
                <w:color w:val="595959" w:themeColor="text1" w:themeTint="A6"/>
                <w:szCs w:val="18"/>
              </w:rPr>
              <w:t>c</w:t>
            </w:r>
            <w:r w:rsidRPr="009802B0">
              <w:rPr>
                <w:color w:val="595959" w:themeColor="text1" w:themeTint="A6"/>
                <w:szCs w:val="18"/>
              </w:rPr>
              <w:t xml:space="preserve">ontrole-, toezicht- en evaluatiemaatregelen </w:t>
            </w:r>
            <w:r>
              <w:rPr>
                <w:color w:val="595959" w:themeColor="text1" w:themeTint="A6"/>
                <w:szCs w:val="18"/>
              </w:rPr>
              <w:t>v</w:t>
            </w:r>
            <w:r w:rsidRPr="009802B0">
              <w:rPr>
                <w:color w:val="595959" w:themeColor="text1" w:themeTint="A6"/>
                <w:szCs w:val="18"/>
              </w:rPr>
              <w:t xml:space="preserve">oor de aanvullende nieuwe eigen middelen die worden voorgesteld in het gewijzigde </w:t>
            </w:r>
            <w:r>
              <w:rPr>
                <w:color w:val="595959" w:themeColor="text1" w:themeTint="A6"/>
                <w:szCs w:val="18"/>
              </w:rPr>
              <w:t>e</w:t>
            </w:r>
            <w:r w:rsidRPr="009802B0">
              <w:rPr>
                <w:color w:val="595959" w:themeColor="text1" w:themeTint="A6"/>
                <w:szCs w:val="18"/>
              </w:rPr>
              <w:t>igenmiddelenbesluit</w:t>
            </w:r>
            <w:r>
              <w:rPr>
                <w:color w:val="595959" w:themeColor="text1" w:themeTint="A6"/>
                <w:szCs w:val="18"/>
              </w:rPr>
              <w:t>.</w:t>
            </w:r>
          </w:p>
        </w:tc>
      </w:tr>
    </w:tbl>
    <w:p w:rsidR="00B974F0" w:rsidP="002A4BD8" w:rsidRDefault="00B974F0" w14:paraId="1962EB81" w14:textId="2B05C98C">
      <w:pPr>
        <w:rPr>
          <w:szCs w:val="18"/>
        </w:rPr>
      </w:pPr>
    </w:p>
    <w:p w:rsidR="00B974F0" w:rsidP="002A4BD8" w:rsidRDefault="00B974F0" w14:paraId="05CF0F6F" w14:textId="46E84C1C">
      <w:pPr>
        <w:rPr>
          <w:szCs w:val="18"/>
        </w:rPr>
      </w:pPr>
    </w:p>
    <w:p w:rsidR="00EE2682" w:rsidP="002A4BD8" w:rsidRDefault="00EE2682" w14:paraId="58BCB20D"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lastRenderedPageBreak/>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D75535" w:rsidR="00D75535" w:rsidP="002A4BD8" w:rsidRDefault="00E62DC0" w14:paraId="72720F3A" w14:textId="15A9CF13">
            <w:pPr>
              <w:spacing w:after="240"/>
              <w:rPr>
                <w:b/>
                <w:color w:val="595959" w:themeColor="text1" w:themeTint="A6"/>
                <w:szCs w:val="18"/>
              </w:rPr>
            </w:pPr>
            <w:r>
              <w:rPr>
                <w:szCs w:val="18"/>
              </w:rPr>
              <w:t xml:space="preserve">Steunprogramma voor structurele hervormingen – eindevaluatie </w:t>
            </w:r>
            <w:hyperlink w:history="1" r:id="rId16">
              <w:r>
                <w:rPr>
                  <w:rStyle w:val="Hyperlink"/>
                  <w:szCs w:val="18"/>
                </w:rPr>
                <w:t>Raadpleging</w:t>
              </w:r>
            </w:hyperlink>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5F7A26" w14:paraId="67810C71" w14:textId="08F8CF01">
            <w:pPr>
              <w:spacing w:after="240"/>
              <w:rPr>
                <w:szCs w:val="18"/>
              </w:rPr>
            </w:pPr>
            <w:r>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D75535" w:rsidR="00D75535" w:rsidP="005F7A26" w:rsidRDefault="005F7A26" w14:paraId="27F3CDCE" w14:textId="7138F384">
            <w:pPr>
              <w:spacing w:after="240"/>
              <w:rPr>
                <w:color w:val="595959" w:themeColor="text1" w:themeTint="A6"/>
                <w:szCs w:val="18"/>
              </w:rPr>
            </w:pPr>
            <w:r>
              <w:rPr>
                <w:color w:val="595959" w:themeColor="text1" w:themeTint="A6"/>
                <w:szCs w:val="18"/>
              </w:rPr>
              <w:t xml:space="preserve">Dit betreft een openbare raadpleging ten behoeve van de </w:t>
            </w:r>
            <w:r w:rsidRPr="005F7A26">
              <w:rPr>
                <w:color w:val="595959" w:themeColor="text1" w:themeTint="A6"/>
                <w:szCs w:val="18"/>
              </w:rPr>
              <w:t xml:space="preserve">eindevaluatie </w:t>
            </w:r>
            <w:r>
              <w:rPr>
                <w:color w:val="595959" w:themeColor="text1" w:themeTint="A6"/>
                <w:szCs w:val="18"/>
              </w:rPr>
              <w:t>van het s</w:t>
            </w:r>
            <w:r w:rsidRPr="005F7A26">
              <w:rPr>
                <w:color w:val="595959" w:themeColor="text1" w:themeTint="A6"/>
                <w:szCs w:val="18"/>
              </w:rPr>
              <w:t>teunprogramma voor structurele hervormingen</w:t>
            </w:r>
            <w:r>
              <w:rPr>
                <w:color w:val="595959" w:themeColor="text1" w:themeTint="A6"/>
                <w:szCs w:val="18"/>
              </w:rPr>
              <w:t>. B</w:t>
            </w:r>
            <w:r w:rsidRPr="005F7A26">
              <w:rPr>
                <w:color w:val="595959" w:themeColor="text1" w:themeTint="A6"/>
                <w:szCs w:val="18"/>
              </w:rPr>
              <w:t>ij deze eindevaluatie wordt nagegaan in hoeverre het steunprogramma voor structurele hervormingen zijn doelstellingen heeft bereikt, zoals vergroting van de capaciteit van nationale autoriteiten om hervormingsbeleid te formuleren, te ontwikkelen en uit te voeren</w:t>
            </w:r>
          </w:p>
        </w:tc>
      </w:tr>
    </w:tbl>
    <w:p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C39600"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E62DC0" w14:paraId="0C5E3C92" w14:textId="6EDD09E1">
            <w:pPr>
              <w:spacing w:after="240"/>
              <w:rPr>
                <w:b/>
                <w:color w:val="595959" w:themeColor="text1" w:themeTint="A6"/>
                <w:szCs w:val="18"/>
              </w:rPr>
            </w:pPr>
            <w:r>
              <w:rPr>
                <w:szCs w:val="18"/>
              </w:rPr>
              <w:t xml:space="preserve">COMMUNICATION FROM THE COMMISSION TO THE COUNCIL </w:t>
            </w:r>
            <w:proofErr w:type="spellStart"/>
            <w:r>
              <w:rPr>
                <w:szCs w:val="18"/>
              </w:rPr>
              <w:t>Fiscal</w:t>
            </w:r>
            <w:proofErr w:type="spellEnd"/>
            <w:r>
              <w:rPr>
                <w:szCs w:val="18"/>
              </w:rPr>
              <w:t xml:space="preserve"> policy </w:t>
            </w:r>
            <w:proofErr w:type="spellStart"/>
            <w:r>
              <w:rPr>
                <w:szCs w:val="18"/>
              </w:rPr>
              <w:t>guidance</w:t>
            </w:r>
            <w:proofErr w:type="spellEnd"/>
            <w:r>
              <w:rPr>
                <w:szCs w:val="18"/>
              </w:rPr>
              <w:t xml:space="preserve"> </w:t>
            </w:r>
            <w:proofErr w:type="spellStart"/>
            <w:r>
              <w:rPr>
                <w:szCs w:val="18"/>
              </w:rPr>
              <w:t>for</w:t>
            </w:r>
            <w:proofErr w:type="spellEnd"/>
            <w:r>
              <w:rPr>
                <w:szCs w:val="18"/>
              </w:rPr>
              <w:t xml:space="preserve"> 2023 </w:t>
            </w:r>
            <w:hyperlink w:history="1" r:id="rId17">
              <w:r>
                <w:rPr>
                  <w:rStyle w:val="Hyperlink"/>
                  <w:szCs w:val="18"/>
                </w:rPr>
                <w:t>COM (2022) 85</w:t>
              </w:r>
            </w:hyperlink>
          </w:p>
        </w:tc>
      </w:tr>
      <w:tr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230BAF7C" w14:textId="77777777">
            <w:pPr>
              <w:spacing w:after="240"/>
              <w:rPr>
                <w:szCs w:val="18"/>
              </w:rPr>
            </w:pPr>
          </w:p>
        </w:tc>
        <w:tc>
          <w:tcPr>
            <w:tcW w:w="1035" w:type="dxa"/>
          </w:tcPr>
          <w:p w:rsidRPr="002A4BD8" w:rsidR="002A4BD8" w:rsidP="003A21AA" w:rsidRDefault="002A4BD8" w14:paraId="1257E0FF" w14:textId="77777777">
            <w:pPr>
              <w:spacing w:after="240"/>
              <w:rPr>
                <w:szCs w:val="18"/>
              </w:rPr>
            </w:pPr>
            <w:r w:rsidRPr="002A4BD8">
              <w:rPr>
                <w:szCs w:val="18"/>
              </w:rPr>
              <w:t>Voorstel</w:t>
            </w:r>
          </w:p>
        </w:tc>
        <w:tc>
          <w:tcPr>
            <w:tcW w:w="6529" w:type="dxa"/>
          </w:tcPr>
          <w:p w:rsidRPr="002A4BD8" w:rsidR="002A4BD8" w:rsidP="003A21AA" w:rsidRDefault="005F7A26" w14:paraId="505F4BE9" w14:textId="35970BAF">
            <w:pPr>
              <w:spacing w:after="240"/>
              <w:rPr>
                <w:szCs w:val="18"/>
              </w:rPr>
            </w:pPr>
            <w:r w:rsidRPr="005F7A26">
              <w:rPr>
                <w:szCs w:val="18"/>
              </w:rPr>
              <w:t>Reeds behandeld in het commissiedebat Eurogroep/</w:t>
            </w:r>
            <w:proofErr w:type="spellStart"/>
            <w:r w:rsidRPr="005F7A26">
              <w:rPr>
                <w:szCs w:val="18"/>
              </w:rPr>
              <w:t>Ecofinraad</w:t>
            </w:r>
            <w:proofErr w:type="spellEnd"/>
            <w:r w:rsidRPr="005F7A26">
              <w:rPr>
                <w:szCs w:val="18"/>
              </w:rPr>
              <w:t xml:space="preserve"> op 10 maart 2022</w:t>
            </w:r>
          </w:p>
        </w:tc>
      </w:tr>
      <w:tr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7D9A1404" w14:textId="77777777">
            <w:pPr>
              <w:spacing w:after="240"/>
              <w:rPr>
                <w:color w:val="595959" w:themeColor="text1" w:themeTint="A6"/>
                <w:szCs w:val="18"/>
              </w:rPr>
            </w:pPr>
          </w:p>
        </w:tc>
        <w:tc>
          <w:tcPr>
            <w:tcW w:w="1035" w:type="dxa"/>
          </w:tcPr>
          <w:p w:rsidRPr="00D75535" w:rsidR="002A4BD8" w:rsidP="003A21AA" w:rsidRDefault="002A4BD8" w14:paraId="1AFEDB1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754F88" w:rsidRDefault="00754F88" w14:paraId="3E288C2D" w14:textId="29F2FE4D">
            <w:pPr>
              <w:spacing w:after="240"/>
              <w:rPr>
                <w:color w:val="595959" w:themeColor="text1" w:themeTint="A6"/>
                <w:szCs w:val="18"/>
              </w:rPr>
            </w:pPr>
            <w:r>
              <w:rPr>
                <w:color w:val="595959" w:themeColor="text1" w:themeTint="A6"/>
                <w:szCs w:val="18"/>
              </w:rPr>
              <w:t>Met deze</w:t>
            </w:r>
            <w:r w:rsidRPr="00754F88" w:rsidR="005F7A26">
              <w:rPr>
                <w:color w:val="595959" w:themeColor="text1" w:themeTint="A6"/>
                <w:szCs w:val="18"/>
              </w:rPr>
              <w:t xml:space="preserve"> mededeling </w:t>
            </w:r>
            <w:r>
              <w:rPr>
                <w:color w:val="595959" w:themeColor="text1" w:themeTint="A6"/>
                <w:szCs w:val="18"/>
              </w:rPr>
              <w:t>geeft de Europese Commissie</w:t>
            </w:r>
            <w:r w:rsidRPr="00754F88" w:rsidR="005F7A26">
              <w:rPr>
                <w:color w:val="595959" w:themeColor="text1" w:themeTint="A6"/>
                <w:szCs w:val="18"/>
              </w:rPr>
              <w:t xml:space="preserve"> de lidstaten richtsnoeren voor het te voeren begrotingsbeleid in 2023. De richtsnoeren zijn gebaseerd op de winterprognoses 2022 van de Commissie en moeten als leidraad dienen voor de komende stabiliteits- en convergentieprogramma’s van de lidstaten. De richtsnoeren zullen worden aangepast aan de economische ontwikkelingen waar nodig </w:t>
            </w:r>
            <w:r w:rsidRPr="00754F88">
              <w:rPr>
                <w:color w:val="595959" w:themeColor="text1" w:themeTint="A6"/>
                <w:szCs w:val="18"/>
              </w:rPr>
              <w:t xml:space="preserve">(mede als gevolg van de oorlog in Oekraïne) </w:t>
            </w:r>
            <w:r w:rsidRPr="00754F88" w:rsidR="005F7A26">
              <w:rPr>
                <w:color w:val="595959" w:themeColor="text1" w:themeTint="A6"/>
                <w:szCs w:val="18"/>
              </w:rPr>
              <w:t>en uiterlijk</w:t>
            </w:r>
            <w:r w:rsidRPr="00754F88">
              <w:rPr>
                <w:color w:val="595959" w:themeColor="text1" w:themeTint="A6"/>
                <w:szCs w:val="18"/>
              </w:rPr>
              <w:t xml:space="preserve"> landen</w:t>
            </w:r>
            <w:r w:rsidRPr="00754F88" w:rsidR="005F7A26">
              <w:rPr>
                <w:color w:val="595959" w:themeColor="text1" w:themeTint="A6"/>
                <w:szCs w:val="18"/>
              </w:rPr>
              <w:t xml:space="preserve"> in het voorjaarspakket van het Europees Semester van de Commissie eind mei 2022.</w:t>
            </w:r>
            <w:r w:rsidR="005F7A26">
              <w:rPr>
                <w:color w:val="000000"/>
                <w:bdr w:val="none" w:color="auto" w:sz="0" w:space="0" w:frame="1"/>
                <w:shd w:val="clear" w:color="auto" w:fill="FFFFFF"/>
              </w:rPr>
              <w:t> </w:t>
            </w:r>
          </w:p>
        </w:tc>
      </w:tr>
    </w:tbl>
    <w:p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50781506"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A21AA" w:rsidRDefault="00971B9A" w14:paraId="29CB7480" w14:textId="2B13CBEA">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DECISION on </w:t>
            </w:r>
            <w:proofErr w:type="spellStart"/>
            <w:r>
              <w:rPr>
                <w:szCs w:val="18"/>
              </w:rPr>
              <w:t>the</w:t>
            </w:r>
            <w:proofErr w:type="spellEnd"/>
            <w:r>
              <w:rPr>
                <w:szCs w:val="18"/>
              </w:rPr>
              <w:t xml:space="preserve"> </w:t>
            </w:r>
            <w:proofErr w:type="spellStart"/>
            <w:r>
              <w:rPr>
                <w:szCs w:val="18"/>
              </w:rPr>
              <w:t>position</w:t>
            </w:r>
            <w:proofErr w:type="spellEnd"/>
            <w:r>
              <w:rPr>
                <w:szCs w:val="18"/>
              </w:rPr>
              <w:t xml:space="preserve"> </w:t>
            </w:r>
            <w:proofErr w:type="spellStart"/>
            <w:r>
              <w:rPr>
                <w:szCs w:val="18"/>
              </w:rPr>
              <w:t>to</w:t>
            </w:r>
            <w:proofErr w:type="spellEnd"/>
            <w:r>
              <w:rPr>
                <w:szCs w:val="18"/>
              </w:rPr>
              <w:t xml:space="preserve"> </w:t>
            </w:r>
            <w:proofErr w:type="spellStart"/>
            <w:r>
              <w:rPr>
                <w:szCs w:val="18"/>
              </w:rPr>
              <w:t>be</w:t>
            </w:r>
            <w:proofErr w:type="spellEnd"/>
            <w:r>
              <w:rPr>
                <w:szCs w:val="18"/>
              </w:rPr>
              <w:t xml:space="preserve"> </w:t>
            </w:r>
            <w:proofErr w:type="spellStart"/>
            <w:r>
              <w:rPr>
                <w:szCs w:val="18"/>
              </w:rPr>
              <w:t>adopted</w:t>
            </w:r>
            <w:proofErr w:type="spellEnd"/>
            <w:r>
              <w:rPr>
                <w:szCs w:val="18"/>
              </w:rPr>
              <w:t xml:space="preserve">, on </w:t>
            </w:r>
            <w:proofErr w:type="spellStart"/>
            <w:r>
              <w:rPr>
                <w:szCs w:val="18"/>
              </w:rPr>
              <w:t>behalf</w:t>
            </w:r>
            <w:proofErr w:type="spellEnd"/>
            <w:r>
              <w:rPr>
                <w:szCs w:val="18"/>
              </w:rPr>
              <w:t xml:space="preserve"> of </w:t>
            </w:r>
            <w:proofErr w:type="spellStart"/>
            <w:r>
              <w:rPr>
                <w:szCs w:val="18"/>
              </w:rPr>
              <w:t>the</w:t>
            </w:r>
            <w:proofErr w:type="spellEnd"/>
            <w:r>
              <w:rPr>
                <w:szCs w:val="18"/>
              </w:rPr>
              <w:t xml:space="preserve"> European Union, </w:t>
            </w:r>
            <w:proofErr w:type="spellStart"/>
            <w:r>
              <w:rPr>
                <w:szCs w:val="18"/>
              </w:rPr>
              <w:t>within</w:t>
            </w:r>
            <w:proofErr w:type="spellEnd"/>
            <w:r>
              <w:rPr>
                <w:szCs w:val="18"/>
              </w:rPr>
              <w:t xml:space="preserve"> </w:t>
            </w:r>
            <w:proofErr w:type="spellStart"/>
            <w:r>
              <w:rPr>
                <w:szCs w:val="18"/>
              </w:rPr>
              <w:t>the</w:t>
            </w:r>
            <w:proofErr w:type="spellEnd"/>
            <w:r>
              <w:rPr>
                <w:szCs w:val="18"/>
              </w:rPr>
              <w:t xml:space="preserve"> EEA Joint </w:t>
            </w:r>
            <w:proofErr w:type="spellStart"/>
            <w:r>
              <w:rPr>
                <w:szCs w:val="18"/>
              </w:rPr>
              <w:t>Committee</w:t>
            </w:r>
            <w:proofErr w:type="spellEnd"/>
            <w:r>
              <w:rPr>
                <w:szCs w:val="18"/>
              </w:rPr>
              <w:t xml:space="preserve">, </w:t>
            </w:r>
            <w:proofErr w:type="spellStart"/>
            <w:r>
              <w:rPr>
                <w:szCs w:val="18"/>
              </w:rPr>
              <w:t>concerning</w:t>
            </w:r>
            <w:proofErr w:type="spellEnd"/>
            <w:r>
              <w:rPr>
                <w:szCs w:val="18"/>
              </w:rPr>
              <w:t xml:space="preserve"> </w:t>
            </w:r>
            <w:proofErr w:type="spellStart"/>
            <w:r>
              <w:rPr>
                <w:szCs w:val="18"/>
              </w:rPr>
              <w:t>the</w:t>
            </w:r>
            <w:proofErr w:type="spellEnd"/>
            <w:r>
              <w:rPr>
                <w:szCs w:val="18"/>
              </w:rPr>
              <w:t xml:space="preserve"> </w:t>
            </w:r>
            <w:proofErr w:type="spellStart"/>
            <w:r>
              <w:rPr>
                <w:szCs w:val="18"/>
              </w:rPr>
              <w:t>amendment</w:t>
            </w:r>
            <w:proofErr w:type="spellEnd"/>
            <w:r>
              <w:rPr>
                <w:szCs w:val="18"/>
              </w:rPr>
              <w:t xml:space="preserve"> </w:t>
            </w:r>
            <w:proofErr w:type="spellStart"/>
            <w:r>
              <w:rPr>
                <w:szCs w:val="18"/>
              </w:rPr>
              <w:t>to</w:t>
            </w:r>
            <w:proofErr w:type="spellEnd"/>
            <w:r>
              <w:rPr>
                <w:szCs w:val="18"/>
              </w:rPr>
              <w:t xml:space="preserve"> Annex IX (Financial services) </w:t>
            </w:r>
            <w:proofErr w:type="spellStart"/>
            <w:r>
              <w:rPr>
                <w:szCs w:val="18"/>
              </w:rPr>
              <w:t>and</w:t>
            </w:r>
            <w:proofErr w:type="spellEnd"/>
            <w:r>
              <w:rPr>
                <w:szCs w:val="18"/>
              </w:rPr>
              <w:t xml:space="preserve"> Protocol 37 (</w:t>
            </w:r>
            <w:proofErr w:type="spellStart"/>
            <w:r>
              <w:rPr>
                <w:szCs w:val="18"/>
              </w:rPr>
              <w:t>containing</w:t>
            </w:r>
            <w:proofErr w:type="spellEnd"/>
            <w:r>
              <w:rPr>
                <w:szCs w:val="18"/>
              </w:rPr>
              <w:t xml:space="preserve"> </w:t>
            </w:r>
            <w:proofErr w:type="spellStart"/>
            <w:r>
              <w:rPr>
                <w:szCs w:val="18"/>
              </w:rPr>
              <w:t>the</w:t>
            </w:r>
            <w:proofErr w:type="spellEnd"/>
            <w:r>
              <w:rPr>
                <w:szCs w:val="18"/>
              </w:rPr>
              <w:t xml:space="preserve"> list </w:t>
            </w:r>
            <w:proofErr w:type="spellStart"/>
            <w:r>
              <w:rPr>
                <w:szCs w:val="18"/>
              </w:rPr>
              <w:t>provided</w:t>
            </w:r>
            <w:proofErr w:type="spellEnd"/>
            <w:r>
              <w:rPr>
                <w:szCs w:val="18"/>
              </w:rPr>
              <w:t xml:space="preserve"> </w:t>
            </w:r>
            <w:proofErr w:type="spellStart"/>
            <w:r>
              <w:rPr>
                <w:szCs w:val="18"/>
              </w:rPr>
              <w:t>for</w:t>
            </w:r>
            <w:proofErr w:type="spellEnd"/>
            <w:r>
              <w:rPr>
                <w:szCs w:val="18"/>
              </w:rPr>
              <w:t xml:space="preserve"> in </w:t>
            </w:r>
            <w:proofErr w:type="spellStart"/>
            <w:r>
              <w:rPr>
                <w:szCs w:val="18"/>
              </w:rPr>
              <w:t>Article</w:t>
            </w:r>
            <w:proofErr w:type="spellEnd"/>
            <w:r>
              <w:rPr>
                <w:szCs w:val="18"/>
              </w:rPr>
              <w:t xml:space="preserve"> 101) </w:t>
            </w:r>
            <w:proofErr w:type="spellStart"/>
            <w:r>
              <w:rPr>
                <w:szCs w:val="18"/>
              </w:rPr>
              <w:t>to</w:t>
            </w:r>
            <w:proofErr w:type="spellEnd"/>
            <w:r>
              <w:rPr>
                <w:szCs w:val="18"/>
              </w:rPr>
              <w:t xml:space="preserve"> </w:t>
            </w:r>
            <w:proofErr w:type="spellStart"/>
            <w:r>
              <w:rPr>
                <w:szCs w:val="18"/>
              </w:rPr>
              <w:t>the</w:t>
            </w:r>
            <w:proofErr w:type="spellEnd"/>
            <w:r>
              <w:rPr>
                <w:szCs w:val="18"/>
              </w:rPr>
              <w:t xml:space="preserve"> EEA Agreement (</w:t>
            </w:r>
            <w:proofErr w:type="spellStart"/>
            <w:r>
              <w:rPr>
                <w:szCs w:val="18"/>
              </w:rPr>
              <w:t>Participation</w:t>
            </w:r>
            <w:proofErr w:type="spellEnd"/>
            <w:r>
              <w:rPr>
                <w:szCs w:val="18"/>
              </w:rPr>
              <w:t xml:space="preserve"> of </w:t>
            </w:r>
            <w:proofErr w:type="spellStart"/>
            <w:r>
              <w:rPr>
                <w:szCs w:val="18"/>
              </w:rPr>
              <w:t>the</w:t>
            </w:r>
            <w:proofErr w:type="spellEnd"/>
            <w:r>
              <w:rPr>
                <w:szCs w:val="18"/>
              </w:rPr>
              <w:t xml:space="preserve"> EEA EFTA </w:t>
            </w:r>
            <w:proofErr w:type="spellStart"/>
            <w:r>
              <w:rPr>
                <w:szCs w:val="18"/>
              </w:rPr>
              <w:t>States</w:t>
            </w:r>
            <w:proofErr w:type="spellEnd"/>
            <w:r>
              <w:rPr>
                <w:szCs w:val="18"/>
              </w:rPr>
              <w:t xml:space="preserve"> in </w:t>
            </w:r>
            <w:proofErr w:type="spellStart"/>
            <w:r>
              <w:rPr>
                <w:szCs w:val="18"/>
              </w:rPr>
              <w:t>the</w:t>
            </w:r>
            <w:proofErr w:type="spellEnd"/>
            <w:r>
              <w:rPr>
                <w:szCs w:val="18"/>
              </w:rPr>
              <w:t xml:space="preserve"> Member State Expert Group on </w:t>
            </w:r>
            <w:proofErr w:type="spellStart"/>
            <w:r>
              <w:rPr>
                <w:szCs w:val="18"/>
              </w:rPr>
              <w:t>Sustainable</w:t>
            </w:r>
            <w:proofErr w:type="spellEnd"/>
            <w:r>
              <w:rPr>
                <w:szCs w:val="18"/>
              </w:rPr>
              <w:t xml:space="preserve"> Finance) </w:t>
            </w:r>
            <w:hyperlink w:history="1" r:id="rId18">
              <w:r>
                <w:rPr>
                  <w:rStyle w:val="Hyperlink"/>
                  <w:szCs w:val="18"/>
                </w:rPr>
                <w:t>COM (2022) 79</w:t>
              </w:r>
            </w:hyperlink>
          </w:p>
        </w:tc>
      </w:tr>
      <w:tr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4862F65F" w14:textId="77777777">
            <w:pPr>
              <w:spacing w:after="240"/>
              <w:rPr>
                <w:szCs w:val="18"/>
              </w:rPr>
            </w:pPr>
          </w:p>
        </w:tc>
        <w:tc>
          <w:tcPr>
            <w:tcW w:w="1035" w:type="dxa"/>
          </w:tcPr>
          <w:p w:rsidRPr="002A4BD8" w:rsidR="002A4BD8" w:rsidP="003A21AA" w:rsidRDefault="002A4BD8" w14:paraId="17927D7F" w14:textId="77777777">
            <w:pPr>
              <w:spacing w:after="240"/>
              <w:rPr>
                <w:szCs w:val="18"/>
              </w:rPr>
            </w:pPr>
            <w:r w:rsidRPr="002A4BD8">
              <w:rPr>
                <w:szCs w:val="18"/>
              </w:rPr>
              <w:t>Voorstel</w:t>
            </w:r>
          </w:p>
        </w:tc>
        <w:tc>
          <w:tcPr>
            <w:tcW w:w="6529" w:type="dxa"/>
          </w:tcPr>
          <w:p w:rsidRPr="002A4BD8" w:rsidR="002A4BD8" w:rsidP="003A21AA" w:rsidRDefault="00754F88" w14:paraId="69E52296" w14:textId="4FDE4108">
            <w:pPr>
              <w:spacing w:after="240"/>
              <w:rPr>
                <w:szCs w:val="18"/>
              </w:rPr>
            </w:pPr>
            <w:r>
              <w:rPr>
                <w:szCs w:val="18"/>
              </w:rPr>
              <w:t>Voor kennisgeving aannemen</w:t>
            </w:r>
          </w:p>
        </w:tc>
      </w:tr>
      <w:tr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77C0A18" w14:textId="77777777">
            <w:pPr>
              <w:spacing w:after="240"/>
              <w:rPr>
                <w:color w:val="595959" w:themeColor="text1" w:themeTint="A6"/>
                <w:szCs w:val="18"/>
              </w:rPr>
            </w:pPr>
          </w:p>
        </w:tc>
        <w:tc>
          <w:tcPr>
            <w:tcW w:w="1035" w:type="dxa"/>
          </w:tcPr>
          <w:p w:rsidRPr="00D75535" w:rsidR="002A4BD8" w:rsidP="003A21AA" w:rsidRDefault="002A4BD8" w14:paraId="1C9C2532"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754F88" w:rsidRDefault="00754F88" w14:paraId="2D4BA6EA" w14:textId="3E292C77">
            <w:pPr>
              <w:spacing w:after="240"/>
              <w:rPr>
                <w:color w:val="595959" w:themeColor="text1" w:themeTint="A6"/>
                <w:szCs w:val="18"/>
              </w:rPr>
            </w:pPr>
            <w:r w:rsidRPr="00754F88">
              <w:rPr>
                <w:color w:val="595959" w:themeColor="text1" w:themeTint="A6"/>
                <w:szCs w:val="18"/>
              </w:rPr>
              <w:t>Dit voorstel betreft het besluit tot vaststelling van het in te nemen standpunt namens de Unie in het Gemengd Comité van de Europese Economische Ruimte</w:t>
            </w:r>
            <w:r>
              <w:rPr>
                <w:color w:val="595959" w:themeColor="text1" w:themeTint="A6"/>
                <w:szCs w:val="18"/>
              </w:rPr>
              <w:t xml:space="preserve"> (EER). </w:t>
            </w:r>
            <w:r w:rsidRPr="00754F88">
              <w:rPr>
                <w:color w:val="595959" w:themeColor="text1" w:themeTint="A6"/>
                <w:szCs w:val="18"/>
              </w:rPr>
              <w:t>Het Gemengd Comité van de EER is verantwoordelijk voor het beheer van de EER</w:t>
            </w:r>
            <w:r>
              <w:rPr>
                <w:color w:val="595959" w:themeColor="text1" w:themeTint="A6"/>
                <w:szCs w:val="18"/>
              </w:rPr>
              <w:t>-</w:t>
            </w:r>
            <w:r w:rsidRPr="00754F88">
              <w:rPr>
                <w:color w:val="595959" w:themeColor="text1" w:themeTint="A6"/>
                <w:szCs w:val="18"/>
              </w:rPr>
              <w:t>Overeenkomst. Het is een forum voor het uitwisselen van standpunten in verband met de</w:t>
            </w:r>
            <w:r>
              <w:rPr>
                <w:color w:val="595959" w:themeColor="text1" w:themeTint="A6"/>
                <w:szCs w:val="18"/>
              </w:rPr>
              <w:t xml:space="preserve"> </w:t>
            </w:r>
            <w:r w:rsidRPr="00754F88">
              <w:rPr>
                <w:color w:val="595959" w:themeColor="text1" w:themeTint="A6"/>
                <w:szCs w:val="18"/>
              </w:rPr>
              <w:t>werking van de EER-Overeenkomst.</w:t>
            </w:r>
            <w:r>
              <w:rPr>
                <w:color w:val="595959" w:themeColor="text1" w:themeTint="A6"/>
                <w:szCs w:val="18"/>
              </w:rPr>
              <w:t xml:space="preserve"> De voorgestelde wijzigingen van de EER-overeenkomst zien op </w:t>
            </w:r>
            <w:proofErr w:type="spellStart"/>
            <w:r>
              <w:rPr>
                <w:color w:val="595959" w:themeColor="text1" w:themeTint="A6"/>
                <w:szCs w:val="18"/>
              </w:rPr>
              <w:t>Sustainable</w:t>
            </w:r>
            <w:proofErr w:type="spellEnd"/>
            <w:r>
              <w:rPr>
                <w:color w:val="595959" w:themeColor="text1" w:themeTint="A6"/>
                <w:szCs w:val="18"/>
              </w:rPr>
              <w:t xml:space="preserve"> Finance.</w:t>
            </w:r>
          </w:p>
        </w:tc>
      </w:tr>
    </w:tbl>
    <w:p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0AA8D21F"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AB25F4" w:rsidR="002A4BD8" w:rsidP="003A21AA" w:rsidRDefault="00AB25F4" w14:paraId="099195DA" w14:textId="1B8F0C77">
            <w:pPr>
              <w:spacing w:after="240"/>
              <w:rPr>
                <w:rFonts w:ascii="Times New Roman" w:hAnsi="Times New Roman"/>
                <w:b/>
                <w:color w:val="595959" w:themeColor="text1" w:themeTint="A6"/>
                <w:sz w:val="22"/>
              </w:rPr>
            </w:pPr>
            <w:r w:rsidRPr="00AB25F4">
              <w:rPr>
                <w:rFonts w:ascii="Times New Roman" w:hAnsi="Times New Roman"/>
                <w:sz w:val="22"/>
              </w:rPr>
              <w:t xml:space="preserve">VERSLAG VAN DE COMMISSIE AAN HET EUROPEES PARLEMENT EN DE RAAD over de activiteiten van de IFRS-stichting, de </w:t>
            </w:r>
            <w:proofErr w:type="spellStart"/>
            <w:r w:rsidRPr="00AB25F4">
              <w:rPr>
                <w:rFonts w:ascii="Times New Roman" w:hAnsi="Times New Roman"/>
                <w:sz w:val="22"/>
              </w:rPr>
              <w:t>Efrag</w:t>
            </w:r>
            <w:proofErr w:type="spellEnd"/>
            <w:r w:rsidRPr="00AB25F4">
              <w:rPr>
                <w:rFonts w:ascii="Times New Roman" w:hAnsi="Times New Roman"/>
                <w:sz w:val="22"/>
              </w:rPr>
              <w:t xml:space="preserve"> en de PIOB in 2020 </w:t>
            </w:r>
            <w:hyperlink w:history="1" r:id="rId19">
              <w:r w:rsidRPr="00AB25F4">
                <w:rPr>
                  <w:rStyle w:val="Hyperlink"/>
                  <w:rFonts w:ascii="Times New Roman" w:hAnsi="Times New Roman"/>
                  <w:color w:val="954F72"/>
                  <w:sz w:val="22"/>
                </w:rPr>
                <w:t>COM (2022) 104</w:t>
              </w:r>
            </w:hyperlink>
          </w:p>
        </w:tc>
      </w:tr>
      <w:tr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6306B713" w14:textId="77777777">
            <w:pPr>
              <w:spacing w:after="240"/>
              <w:rPr>
                <w:szCs w:val="18"/>
              </w:rPr>
            </w:pPr>
          </w:p>
        </w:tc>
        <w:tc>
          <w:tcPr>
            <w:tcW w:w="1035" w:type="dxa"/>
          </w:tcPr>
          <w:p w:rsidRPr="002A4BD8" w:rsidR="002A4BD8" w:rsidP="003A21AA" w:rsidRDefault="002A4BD8" w14:paraId="13AA2E6B" w14:textId="77777777">
            <w:pPr>
              <w:spacing w:after="240"/>
              <w:rPr>
                <w:szCs w:val="18"/>
              </w:rPr>
            </w:pPr>
            <w:r w:rsidRPr="002A4BD8">
              <w:rPr>
                <w:szCs w:val="18"/>
              </w:rPr>
              <w:t>Voorstel</w:t>
            </w:r>
          </w:p>
        </w:tc>
        <w:tc>
          <w:tcPr>
            <w:tcW w:w="6529" w:type="dxa"/>
          </w:tcPr>
          <w:p w:rsidRPr="002A4BD8" w:rsidR="002A4BD8" w:rsidP="003A21AA" w:rsidRDefault="00754F88" w14:paraId="02C38289" w14:textId="2E854585">
            <w:pPr>
              <w:spacing w:after="240"/>
              <w:rPr>
                <w:szCs w:val="18"/>
              </w:rPr>
            </w:pPr>
            <w:r>
              <w:rPr>
                <w:szCs w:val="18"/>
              </w:rPr>
              <w:t>Voor kennisgeving aannemen</w:t>
            </w:r>
          </w:p>
        </w:tc>
      </w:tr>
      <w:tr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65856223" w14:textId="77777777">
            <w:pPr>
              <w:spacing w:after="240"/>
              <w:rPr>
                <w:color w:val="595959" w:themeColor="text1" w:themeTint="A6"/>
                <w:szCs w:val="18"/>
              </w:rPr>
            </w:pPr>
          </w:p>
        </w:tc>
        <w:tc>
          <w:tcPr>
            <w:tcW w:w="1035" w:type="dxa"/>
          </w:tcPr>
          <w:p w:rsidRPr="00D75535" w:rsidR="002A4BD8" w:rsidP="003A21AA" w:rsidRDefault="002A4BD8" w14:paraId="4912C22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754F88" w:rsidRDefault="00754F88" w14:paraId="6FAEA85B" w14:textId="4064F2E4">
            <w:pPr>
              <w:spacing w:after="240"/>
              <w:rPr>
                <w:color w:val="595959" w:themeColor="text1" w:themeTint="A6"/>
                <w:szCs w:val="18"/>
              </w:rPr>
            </w:pPr>
            <w:r>
              <w:rPr>
                <w:color w:val="595959" w:themeColor="text1" w:themeTint="A6"/>
                <w:szCs w:val="18"/>
              </w:rPr>
              <w:t>D</w:t>
            </w:r>
            <w:r w:rsidRPr="00754F88">
              <w:rPr>
                <w:color w:val="595959" w:themeColor="text1" w:themeTint="A6"/>
                <w:szCs w:val="18"/>
              </w:rPr>
              <w:t xml:space="preserve">e Europese Unie </w:t>
            </w:r>
            <w:r>
              <w:rPr>
                <w:color w:val="595959" w:themeColor="text1" w:themeTint="A6"/>
                <w:szCs w:val="18"/>
              </w:rPr>
              <w:t xml:space="preserve">heeft </w:t>
            </w:r>
            <w:r w:rsidRPr="00754F88">
              <w:rPr>
                <w:color w:val="595959" w:themeColor="text1" w:themeTint="A6"/>
                <w:szCs w:val="18"/>
              </w:rPr>
              <w:t>exploitatiesubsidies verstrekt aan drie organisaties op het gebied van financiële verslaggeving en controle van jaarrekeningen: de International Financial Reporting Standards Foundation (de IFRS</w:t>
            </w:r>
            <w:r>
              <w:rPr>
                <w:color w:val="595959" w:themeColor="text1" w:themeTint="A6"/>
                <w:szCs w:val="18"/>
              </w:rPr>
              <w:t>-</w:t>
            </w:r>
            <w:r w:rsidRPr="00754F88">
              <w:rPr>
                <w:color w:val="595959" w:themeColor="text1" w:themeTint="A6"/>
                <w:szCs w:val="18"/>
              </w:rPr>
              <w:t xml:space="preserve">stichting), de European Financial Reporting </w:t>
            </w:r>
            <w:proofErr w:type="spellStart"/>
            <w:r w:rsidRPr="00754F88">
              <w:rPr>
                <w:color w:val="595959" w:themeColor="text1" w:themeTint="A6"/>
                <w:szCs w:val="18"/>
              </w:rPr>
              <w:t>Advisory</w:t>
            </w:r>
            <w:proofErr w:type="spellEnd"/>
            <w:r w:rsidRPr="00754F88">
              <w:rPr>
                <w:color w:val="595959" w:themeColor="text1" w:themeTint="A6"/>
                <w:szCs w:val="18"/>
              </w:rPr>
              <w:t xml:space="preserve"> Group (</w:t>
            </w:r>
            <w:proofErr w:type="spellStart"/>
            <w:r w:rsidRPr="00754F88">
              <w:rPr>
                <w:color w:val="595959" w:themeColor="text1" w:themeTint="A6"/>
                <w:szCs w:val="18"/>
              </w:rPr>
              <w:t>Efrag</w:t>
            </w:r>
            <w:proofErr w:type="spellEnd"/>
            <w:r w:rsidRPr="00754F88">
              <w:rPr>
                <w:color w:val="595959" w:themeColor="text1" w:themeTint="A6"/>
                <w:szCs w:val="18"/>
              </w:rPr>
              <w:t xml:space="preserve">) en de Public Interest </w:t>
            </w:r>
            <w:proofErr w:type="spellStart"/>
            <w:r w:rsidRPr="00754F88">
              <w:rPr>
                <w:color w:val="595959" w:themeColor="text1" w:themeTint="A6"/>
                <w:szCs w:val="18"/>
              </w:rPr>
              <w:t>Oversight</w:t>
            </w:r>
            <w:proofErr w:type="spellEnd"/>
            <w:r w:rsidRPr="00754F88">
              <w:rPr>
                <w:color w:val="595959" w:themeColor="text1" w:themeTint="A6"/>
                <w:szCs w:val="18"/>
              </w:rPr>
              <w:t xml:space="preserve"> Board (PIOB).</w:t>
            </w:r>
            <w:r>
              <w:rPr>
                <w:color w:val="595959" w:themeColor="text1" w:themeTint="A6"/>
                <w:szCs w:val="18"/>
              </w:rPr>
              <w:t xml:space="preserve"> Dit betreft het </w:t>
            </w:r>
            <w:r w:rsidRPr="00754F88">
              <w:rPr>
                <w:color w:val="595959" w:themeColor="text1" w:themeTint="A6"/>
                <w:szCs w:val="18"/>
              </w:rPr>
              <w:t>jaarverslag over de activiteiten van deze drie organen</w:t>
            </w:r>
            <w:r>
              <w:rPr>
                <w:color w:val="595959" w:themeColor="text1" w:themeTint="A6"/>
                <w:szCs w:val="18"/>
              </w:rPr>
              <w:t>.</w:t>
            </w:r>
          </w:p>
        </w:tc>
      </w:tr>
    </w:tbl>
    <w:p w:rsidR="002A4BD8" w:rsidP="002A4BD8" w:rsidRDefault="002A4BD8" w14:paraId="6014D29F" w14:textId="522DF1FD">
      <w:pPr>
        <w:rPr>
          <w:szCs w:val="18"/>
        </w:rPr>
      </w:pPr>
    </w:p>
    <w:p w:rsidR="00DF5A2E" w:rsidP="002A4BD8" w:rsidRDefault="00DF5A2E" w14:paraId="47A9638E" w14:textId="449A710E">
      <w:pPr>
        <w:rPr>
          <w:szCs w:val="18"/>
        </w:rPr>
      </w:pPr>
    </w:p>
    <w:p w:rsidR="00DF5A2E" w:rsidP="002A4BD8" w:rsidRDefault="00DF5A2E" w14:paraId="73F01234" w14:textId="0EB0E84D">
      <w:pPr>
        <w:rPr>
          <w:szCs w:val="18"/>
        </w:rPr>
      </w:pPr>
    </w:p>
    <w:p w:rsidR="006E5214" w:rsidP="002A4BD8" w:rsidRDefault="006E5214" w14:paraId="33CC8AC5" w14:textId="721F4945">
      <w:pPr>
        <w:rPr>
          <w:szCs w:val="18"/>
        </w:rPr>
      </w:pPr>
    </w:p>
    <w:p w:rsidR="006E5214" w:rsidP="002A4BD8" w:rsidRDefault="006E5214" w14:paraId="354AC484" w14:textId="77777777">
      <w:pPr>
        <w:rPr>
          <w:szCs w:val="18"/>
        </w:rPr>
      </w:pPr>
    </w:p>
    <w:sectPr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7805A655" w:rsidR="00A42CDC" w:rsidRDefault="00F407B0">
                          <w:pPr>
                            <w:pStyle w:val="Huisstijl-Paginanummer"/>
                          </w:pPr>
                          <w:r>
                            <w:fldChar w:fldCharType="begin"/>
                          </w:r>
                          <w:r>
                            <w:instrText xml:space="preserve"> PAGE  \* Arabic  \* MERGEFORMAT </w:instrText>
                          </w:r>
                          <w:r>
                            <w:fldChar w:fldCharType="separate"/>
                          </w:r>
                          <w:r w:rsidR="00EE268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7805A655" w:rsidR="00A42CDC" w:rsidRDefault="00F407B0">
                    <w:pPr>
                      <w:pStyle w:val="Huisstijl-Paginanummer"/>
                    </w:pPr>
                    <w:r>
                      <w:fldChar w:fldCharType="begin"/>
                    </w:r>
                    <w:r>
                      <w:instrText xml:space="preserve"> PAGE  \* Arabic  \* MERGEFORMAT </w:instrText>
                    </w:r>
                    <w:r>
                      <w:fldChar w:fldCharType="separate"/>
                    </w:r>
                    <w:r w:rsidR="00EE268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69DE998" w:rsidR="00A42CDC" w:rsidRDefault="00F407B0">
                          <w:pPr>
                            <w:pStyle w:val="Huisstijl-Paginanummer"/>
                          </w:pPr>
                          <w:r>
                            <w:fldChar w:fldCharType="begin"/>
                          </w:r>
                          <w:r>
                            <w:instrText xml:space="preserve"> PAGE  \* Arabic  \* MERGEFORMAT </w:instrText>
                          </w:r>
                          <w:r>
                            <w:fldChar w:fldCharType="separate"/>
                          </w:r>
                          <w:r w:rsidR="00EE2682">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69DE998" w:rsidR="00A42CDC" w:rsidRDefault="00F407B0">
                    <w:pPr>
                      <w:pStyle w:val="Huisstijl-Paginanummer"/>
                    </w:pPr>
                    <w:r>
                      <w:fldChar w:fldCharType="begin"/>
                    </w:r>
                    <w:r>
                      <w:instrText xml:space="preserve"> PAGE  \* Arabic  \* MERGEFORMAT </w:instrText>
                    </w:r>
                    <w:r>
                      <w:fldChar w:fldCharType="separate"/>
                    </w:r>
                    <w:r w:rsidR="00EE2682">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60B23742" w14:textId="77777777" w:rsidR="00B974F0" w:rsidRDefault="00B974F0" w:rsidP="00B974F0">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C92"/>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C2985"/>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5F7A26"/>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4F88"/>
    <w:rsid w:val="00755534"/>
    <w:rsid w:val="007563B3"/>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1B9A"/>
    <w:rsid w:val="0097614E"/>
    <w:rsid w:val="009802B0"/>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25F4"/>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974F0"/>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2DC0"/>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2682"/>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393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2PC0079&amp;qid=1646726664172"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2DC0085&amp;qid=1646726357737" TargetMode="External" Id="rId17" /><Relationship Type="http://schemas.openxmlformats.org/officeDocument/2006/relationships/hyperlink" Target="https://ec.europa.eu/info/law/better-regulation/have-your-say/initiatives/12790-Steunprogramma-voor-structurele-hervormingen-eindevaluatie_nl"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OM%3A2022%3A101%3AFIN&amp;qid=1647335914852"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ur-lex.europa.eu/legal-content/NL/TXT/?uri=CELEX%3A52022DC0104&amp;qid=1647413834635" TargetMode="External" Id="rId19" /><Relationship Type="http://schemas.openxmlformats.org/officeDocument/2006/relationships/webSettings" Target="webSettings.xml" Id="rId9" /><Relationship Type="http://schemas.openxmlformats.org/officeDocument/2006/relationships/hyperlink" Target="https://eur-lex.europa.eu/legal-content/NL/TXT/?uri=COM%3A2022%3A102%3AFIN&amp;qid=1647336026693"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638</ap:Words>
  <ap:Characters>4576</ap:Characters>
  <ap:DocSecurity>4</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2022-03-18T14:28:00.0000000Z</dcterms:created>
  <dcterms:modified xsi:type="dcterms:W3CDTF">2022-03-18T14:28:00.0000000Z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