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65B22" w:rsidR="00521456" w:rsidP="0028243F" w:rsidRDefault="00521456" w14:paraId="77971FC3" w14:textId="77777777">
      <w:pPr>
        <w:ind w:firstLine="0"/>
        <w:rPr>
          <w:b/>
        </w:rPr>
      </w:pPr>
      <w:r w:rsidRPr="00B65B22">
        <w:rPr>
          <w:b/>
        </w:rPr>
        <w:t>Verdrag tussen het Koninkrijk der Nederlanden en de Republiek Cyprus tot het vermijden van dubbele belasting met betrekking tot belastingen naar het inkomen en het voorkomen van het ontduiken en ontwijke</w:t>
      </w:r>
      <w:r w:rsidRPr="00B65B22" w:rsidR="00682597">
        <w:rPr>
          <w:b/>
        </w:rPr>
        <w:t>n van belasting, met Protocol; Nicosia</w:t>
      </w:r>
      <w:r w:rsidRPr="00B65B22">
        <w:rPr>
          <w:b/>
        </w:rPr>
        <w:t xml:space="preserve">, </w:t>
      </w:r>
      <w:r w:rsidRPr="00B65B22" w:rsidR="00682597">
        <w:rPr>
          <w:b/>
        </w:rPr>
        <w:t>1 juni 2021</w:t>
      </w:r>
      <w:r w:rsidRPr="00B65B22">
        <w:rPr>
          <w:b/>
        </w:rPr>
        <w:t xml:space="preserve"> (</w:t>
      </w:r>
      <w:r w:rsidRPr="00B65B22">
        <w:rPr>
          <w:b/>
          <w:i/>
        </w:rPr>
        <w:t>Trb</w:t>
      </w:r>
      <w:r w:rsidRPr="00B65B22">
        <w:rPr>
          <w:b/>
        </w:rPr>
        <w:t>. 202</w:t>
      </w:r>
      <w:r w:rsidRPr="00B65B22" w:rsidR="00682597">
        <w:rPr>
          <w:b/>
        </w:rPr>
        <w:t>1</w:t>
      </w:r>
      <w:r w:rsidRPr="00B65B22">
        <w:rPr>
          <w:b/>
        </w:rPr>
        <w:t xml:space="preserve">, </w:t>
      </w:r>
      <w:r w:rsidRPr="00B65B22" w:rsidR="001C5455">
        <w:rPr>
          <w:b/>
        </w:rPr>
        <w:t>80</w:t>
      </w:r>
      <w:r w:rsidRPr="00B65B22" w:rsidR="00D10273">
        <w:rPr>
          <w:b/>
        </w:rPr>
        <w:t>)</w:t>
      </w:r>
    </w:p>
    <w:p w:rsidRPr="00B65B22" w:rsidR="00521456" w:rsidP="00521456" w:rsidRDefault="00521456" w14:paraId="7BAA76D5" w14:textId="77777777"/>
    <w:p w:rsidRPr="00B65B22" w:rsidR="00521456" w:rsidP="00521456" w:rsidRDefault="00521456" w14:paraId="559DBCB1" w14:textId="77777777">
      <w:pPr>
        <w:ind w:firstLine="0"/>
        <w:rPr>
          <w:b/>
        </w:rPr>
      </w:pPr>
      <w:r w:rsidRPr="00B65B22">
        <w:rPr>
          <w:b/>
        </w:rPr>
        <w:t>TOELICHTENDE NOTA</w:t>
      </w:r>
    </w:p>
    <w:p w:rsidRPr="00B65B22" w:rsidR="00521456" w:rsidP="00521456" w:rsidRDefault="00521456" w14:paraId="1F5CC11F" w14:textId="77777777">
      <w:pPr>
        <w:pStyle w:val="Kop2"/>
        <w:numPr>
          <w:ilvl w:val="0"/>
          <w:numId w:val="0"/>
        </w:numPr>
      </w:pPr>
    </w:p>
    <w:p w:rsidRPr="00B65B22" w:rsidR="00521456" w:rsidP="00521456" w:rsidRDefault="00521456" w14:paraId="44698E8A" w14:textId="77777777">
      <w:pPr>
        <w:pStyle w:val="Kop1"/>
        <w:numPr>
          <w:ilvl w:val="0"/>
          <w:numId w:val="0"/>
        </w:numPr>
      </w:pPr>
      <w:r w:rsidRPr="00B65B22">
        <w:t>I.</w:t>
      </w:r>
      <w:r w:rsidRPr="00B65B22">
        <w:tab/>
        <w:t>ALGEMEEN</w:t>
      </w:r>
    </w:p>
    <w:p w:rsidRPr="00B65B22" w:rsidR="00521456" w:rsidP="00521456" w:rsidRDefault="00521456" w14:paraId="208E1A87" w14:textId="77777777">
      <w:pPr>
        <w:pStyle w:val="Kop2"/>
        <w:numPr>
          <w:ilvl w:val="0"/>
          <w:numId w:val="0"/>
        </w:numPr>
        <w:rPr>
          <w:b w:val="0"/>
          <w:i/>
        </w:rPr>
      </w:pPr>
      <w:r w:rsidRPr="00B65B22">
        <w:rPr>
          <w:b w:val="0"/>
          <w:i/>
        </w:rPr>
        <w:t>I.0</w:t>
      </w:r>
      <w:r w:rsidRPr="00B65B22">
        <w:rPr>
          <w:b w:val="0"/>
          <w:i/>
        </w:rPr>
        <w:tab/>
        <w:t>Inleiding</w:t>
      </w:r>
    </w:p>
    <w:p w:rsidRPr="00B65B22" w:rsidR="00521456" w:rsidP="00521456" w:rsidRDefault="00521456" w14:paraId="069C7115" w14:textId="77777777">
      <w:pPr>
        <w:ind w:firstLine="720"/>
        <w:rPr>
          <w:rFonts w:cs="Arial"/>
          <w:szCs w:val="20"/>
        </w:rPr>
      </w:pPr>
      <w:r w:rsidRPr="00B65B22">
        <w:t xml:space="preserve">Het onderhavige, op </w:t>
      </w:r>
      <w:r w:rsidRPr="00B65B22" w:rsidR="00682597">
        <w:t>1 juni 2021</w:t>
      </w:r>
      <w:r w:rsidRPr="00B65B22">
        <w:t xml:space="preserve"> te </w:t>
      </w:r>
      <w:r w:rsidRPr="00B65B22" w:rsidR="00682597">
        <w:t>Nicosia</w:t>
      </w:r>
      <w:r w:rsidRPr="00B65B22">
        <w:rPr>
          <w:b/>
        </w:rPr>
        <w:t xml:space="preserve"> </w:t>
      </w:r>
      <w:r w:rsidRPr="00B65B22">
        <w:t>ondertekende Verdrag tussen het Koninkrijk der Nederlanden en de Republiek Cyprus</w:t>
      </w:r>
      <w:r w:rsidRPr="00B65B22" w:rsidR="00713B6D">
        <w:t xml:space="preserve"> tot het vermijden van dubbele belasting met betrekking tot belastingen naar het inkomen en het voorkomen van het ontgaan of het ontwijken van belasting</w:t>
      </w:r>
      <w:r w:rsidRPr="00B65B22">
        <w:t>, met Protocol, (hierna: ‘het Verdrag’</w:t>
      </w:r>
      <w:r w:rsidRPr="00B65B22" w:rsidR="00713B6D">
        <w:t xml:space="preserve"> en ‘het Protocol’</w:t>
      </w:r>
      <w:r w:rsidRPr="00B65B22">
        <w:t xml:space="preserve">) geeft regels die aanwijzen welke van de verdragsluitende staten bevoegd is om in overeenstemming met zijn nationale wetgeving belasting te heffen over het inkomen van inwoners van één of van beide </w:t>
      </w:r>
      <w:r w:rsidRPr="00B65B22" w:rsidR="00D10273">
        <w:t xml:space="preserve">verdragsluitende </w:t>
      </w:r>
      <w:r w:rsidRPr="00B65B22">
        <w:t>staten</w:t>
      </w:r>
      <w:r w:rsidRPr="00B65B22" w:rsidR="005A6E5A">
        <w:t>.</w:t>
      </w:r>
      <w:r w:rsidRPr="00B65B22">
        <w:t xml:space="preserve"> </w:t>
      </w:r>
      <w:r w:rsidRPr="00B65B22" w:rsidR="005A6E5A">
        <w:t>Het belangrijkste doel van deze regels is het vermijde</w:t>
      </w:r>
      <w:bookmarkStart w:name="_GoBack" w:id="0"/>
      <w:bookmarkEnd w:id="0"/>
      <w:r w:rsidRPr="00B65B22" w:rsidR="005A6E5A">
        <w:t xml:space="preserve">n van </w:t>
      </w:r>
      <w:r w:rsidRPr="00B65B22">
        <w:t xml:space="preserve">dubbele belasting. </w:t>
      </w:r>
      <w:r w:rsidRPr="00B65B22">
        <w:rPr>
          <w:rFonts w:cs="Arial"/>
          <w:szCs w:val="20"/>
        </w:rPr>
        <w:t xml:space="preserve">Daarnaast regelt het Verdrag, onder meer met het oog op het voorkomen van het ontduiken en ontwijken van belasting, de administratieve wederzijdse bijstand in de vorm van onderlinge uitwisseling van </w:t>
      </w:r>
      <w:r w:rsidRPr="00B65B22" w:rsidR="003E78B9">
        <w:rPr>
          <w:rFonts w:cs="Arial"/>
          <w:szCs w:val="20"/>
        </w:rPr>
        <w:t xml:space="preserve">fiscale </w:t>
      </w:r>
      <w:r w:rsidRPr="00B65B22">
        <w:rPr>
          <w:rFonts w:cs="Arial"/>
          <w:szCs w:val="20"/>
        </w:rPr>
        <w:t>informatie</w:t>
      </w:r>
      <w:r w:rsidRPr="00B65B22" w:rsidR="00466B8D">
        <w:rPr>
          <w:rFonts w:cs="Arial"/>
          <w:szCs w:val="20"/>
        </w:rPr>
        <w:t>.</w:t>
      </w:r>
    </w:p>
    <w:p w:rsidRPr="00B65B22" w:rsidR="00521456" w:rsidP="00521456" w:rsidRDefault="00521456" w14:paraId="3AAAE368" w14:textId="504113B9">
      <w:pPr>
        <w:ind w:firstLine="720"/>
        <w:rPr>
          <w:bCs/>
          <w:iCs/>
          <w:szCs w:val="28"/>
        </w:rPr>
      </w:pPr>
      <w:r w:rsidRPr="00B65B22">
        <w:rPr>
          <w:bCs/>
          <w:iCs/>
          <w:szCs w:val="28"/>
        </w:rPr>
        <w:t xml:space="preserve">Het Verdrag is, wat Nederland betreft, gebaseerd op het Nederlandse verdragsbeleid zoals </w:t>
      </w:r>
      <w:r w:rsidRPr="00B65B22" w:rsidR="00D10273">
        <w:rPr>
          <w:bCs/>
          <w:iCs/>
          <w:szCs w:val="28"/>
        </w:rPr>
        <w:t xml:space="preserve">is </w:t>
      </w:r>
      <w:r w:rsidRPr="00B65B22">
        <w:rPr>
          <w:bCs/>
          <w:iCs/>
          <w:szCs w:val="28"/>
        </w:rPr>
        <w:t>uiteengezet in de Notitie Fiscaal Verdragsbeleid 2011</w:t>
      </w:r>
      <w:r w:rsidRPr="00B65B22">
        <w:rPr>
          <w:bCs/>
          <w:iCs/>
          <w:szCs w:val="28"/>
          <w:vertAlign w:val="superscript"/>
        </w:rPr>
        <w:footnoteReference w:id="1"/>
      </w:r>
      <w:r w:rsidRPr="00B65B22">
        <w:rPr>
          <w:bCs/>
          <w:iCs/>
          <w:szCs w:val="28"/>
        </w:rPr>
        <w:t xml:space="preserve"> (hierna: ‘NFV 2011’) en</w:t>
      </w:r>
      <w:r w:rsidRPr="00B65B22" w:rsidR="00572D10">
        <w:rPr>
          <w:bCs/>
          <w:iCs/>
          <w:szCs w:val="28"/>
        </w:rPr>
        <w:t xml:space="preserve"> niet op de Notitie Fiscaal Verdragsbeleid 2020</w:t>
      </w:r>
      <w:r w:rsidRPr="00B65B22" w:rsidR="00572D10">
        <w:rPr>
          <w:bCs/>
          <w:iCs/>
          <w:szCs w:val="28"/>
          <w:vertAlign w:val="superscript"/>
        </w:rPr>
        <w:footnoteReference w:id="2"/>
      </w:r>
      <w:r w:rsidRPr="00B65B22" w:rsidR="00940771">
        <w:rPr>
          <w:bCs/>
          <w:iCs/>
          <w:szCs w:val="28"/>
        </w:rPr>
        <w:t>,</w:t>
      </w:r>
      <w:r w:rsidRPr="00B65B22" w:rsidR="00572D10">
        <w:rPr>
          <w:bCs/>
          <w:iCs/>
          <w:szCs w:val="28"/>
        </w:rPr>
        <w:t xml:space="preserve"> aangezien</w:t>
      </w:r>
      <w:r w:rsidRPr="00B65B22" w:rsidR="00031FBD">
        <w:rPr>
          <w:bCs/>
          <w:iCs/>
          <w:szCs w:val="28"/>
        </w:rPr>
        <w:t xml:space="preserve"> de onderhandelingen </w:t>
      </w:r>
      <w:r w:rsidRPr="00B65B22" w:rsidR="00940771">
        <w:rPr>
          <w:bCs/>
          <w:iCs/>
          <w:szCs w:val="28"/>
        </w:rPr>
        <w:t>over</w:t>
      </w:r>
      <w:r w:rsidRPr="00B65B22" w:rsidR="00572D10">
        <w:rPr>
          <w:bCs/>
          <w:iCs/>
          <w:szCs w:val="28"/>
        </w:rPr>
        <w:t xml:space="preserve"> het Verdrag vóór publicatie van laatstgenoemde notitie</w:t>
      </w:r>
      <w:r w:rsidRPr="00B65B22" w:rsidR="00940771">
        <w:rPr>
          <w:bCs/>
          <w:iCs/>
          <w:szCs w:val="28"/>
        </w:rPr>
        <w:t xml:space="preserve"> reeds waren</w:t>
      </w:r>
      <w:r w:rsidRPr="00B65B22" w:rsidR="00031FBD">
        <w:rPr>
          <w:bCs/>
          <w:iCs/>
          <w:szCs w:val="28"/>
        </w:rPr>
        <w:t xml:space="preserve"> </w:t>
      </w:r>
      <w:r w:rsidRPr="00B65B22" w:rsidR="003A6D8D">
        <w:rPr>
          <w:bCs/>
          <w:iCs/>
          <w:szCs w:val="28"/>
        </w:rPr>
        <w:t>afgerond</w:t>
      </w:r>
      <w:r w:rsidRPr="00B65B22" w:rsidR="00572D10">
        <w:rPr>
          <w:bCs/>
          <w:iCs/>
          <w:szCs w:val="28"/>
        </w:rPr>
        <w:t>. Het Verdrag is</w:t>
      </w:r>
      <w:r w:rsidRPr="00B65B22">
        <w:rPr>
          <w:bCs/>
          <w:iCs/>
          <w:szCs w:val="28"/>
        </w:rPr>
        <w:t xml:space="preserve">, met betrekking tot het tegengaan van belastingontwijking, </w:t>
      </w:r>
      <w:r w:rsidRPr="00B65B22" w:rsidR="00572D10">
        <w:rPr>
          <w:bCs/>
          <w:iCs/>
          <w:szCs w:val="28"/>
        </w:rPr>
        <w:t xml:space="preserve">tevens gebaseerd op het beleid zoals dat </w:t>
      </w:r>
      <w:r w:rsidRPr="00B65B22">
        <w:rPr>
          <w:bCs/>
          <w:iCs/>
          <w:szCs w:val="28"/>
        </w:rPr>
        <w:t>nader is verwoord in de kabinetsappreciatie</w:t>
      </w:r>
      <w:r w:rsidRPr="00B65B22">
        <w:rPr>
          <w:bCs/>
          <w:iCs/>
          <w:szCs w:val="28"/>
          <w:vertAlign w:val="superscript"/>
        </w:rPr>
        <w:footnoteReference w:id="3"/>
      </w:r>
      <w:r w:rsidRPr="00B65B22">
        <w:rPr>
          <w:bCs/>
          <w:iCs/>
          <w:szCs w:val="28"/>
        </w:rPr>
        <w:t xml:space="preserve"> van de op 5 oktober 2015 gepubliceerde definitieve actierapporten van het project </w:t>
      </w:r>
      <w:r w:rsidRPr="00B65B22">
        <w:rPr>
          <w:bCs/>
          <w:i/>
          <w:iCs/>
          <w:szCs w:val="28"/>
        </w:rPr>
        <w:t>Addressing</w:t>
      </w:r>
      <w:r w:rsidRPr="00B65B22">
        <w:rPr>
          <w:bCs/>
          <w:iCs/>
          <w:szCs w:val="28"/>
        </w:rPr>
        <w:t xml:space="preserve"> </w:t>
      </w:r>
      <w:r w:rsidRPr="00B65B22">
        <w:rPr>
          <w:bCs/>
          <w:i/>
          <w:iCs/>
          <w:szCs w:val="28"/>
        </w:rPr>
        <w:t xml:space="preserve">Base Erosion and Profit Shifting </w:t>
      </w:r>
      <w:r w:rsidRPr="00B65B22">
        <w:rPr>
          <w:bCs/>
          <w:iCs/>
          <w:szCs w:val="28"/>
        </w:rPr>
        <w:t>(hierna: BEPS</w:t>
      </w:r>
      <w:r w:rsidRPr="00B65B22">
        <w:rPr>
          <w:rFonts w:cs="Arial"/>
          <w:bCs/>
          <w:iCs/>
          <w:szCs w:val="20"/>
        </w:rPr>
        <w:t xml:space="preserve">) die </w:t>
      </w:r>
      <w:r w:rsidRPr="00B65B22">
        <w:rPr>
          <w:bCs/>
          <w:iCs/>
          <w:szCs w:val="28"/>
        </w:rPr>
        <w:t xml:space="preserve">de OESO op verzoek van de G20 heeft opgesteld en </w:t>
      </w:r>
      <w:r w:rsidRPr="00B65B22" w:rsidR="008531DF">
        <w:rPr>
          <w:bCs/>
          <w:iCs/>
          <w:szCs w:val="28"/>
        </w:rPr>
        <w:t xml:space="preserve">op </w:t>
      </w:r>
      <w:r w:rsidRPr="00B65B22">
        <w:rPr>
          <w:bCs/>
          <w:iCs/>
          <w:szCs w:val="28"/>
        </w:rPr>
        <w:t>de in de brief van 28 oktober 2016 gegeven reactie op het door de OESO ontwikkelde Multilaterale Instrument</w:t>
      </w:r>
      <w:r w:rsidRPr="00B65B22">
        <w:rPr>
          <w:bCs/>
          <w:iCs/>
          <w:szCs w:val="28"/>
          <w:vertAlign w:val="superscript"/>
        </w:rPr>
        <w:footnoteReference w:id="4"/>
      </w:r>
      <w:r w:rsidRPr="00B65B22">
        <w:rPr>
          <w:bCs/>
          <w:iCs/>
          <w:szCs w:val="28"/>
        </w:rPr>
        <w:t xml:space="preserve"> (hierna: ‘het MLI’) om de in het BEPS-project ontwikkelde verdragsbepalingen te implementeren.</w:t>
      </w:r>
      <w:r w:rsidRPr="00B65B22">
        <w:rPr>
          <w:bCs/>
          <w:iCs/>
          <w:szCs w:val="28"/>
          <w:vertAlign w:val="superscript"/>
          <w:lang w:val="en-GB"/>
        </w:rPr>
        <w:footnoteReference w:id="5"/>
      </w:r>
      <w:r w:rsidRPr="00B65B22">
        <w:rPr>
          <w:bCs/>
          <w:iCs/>
          <w:szCs w:val="28"/>
        </w:rPr>
        <w:t xml:space="preserve"> In de artikelsgewijze toelichting wordt hier bij de relevante artikelen nader op ingegaan.</w:t>
      </w:r>
    </w:p>
    <w:p w:rsidRPr="00B65B22" w:rsidR="00521456" w:rsidP="00521456" w:rsidRDefault="00521456" w14:paraId="48E2F023" w14:textId="77777777">
      <w:pPr>
        <w:ind w:firstLine="720"/>
        <w:rPr>
          <w:rFonts w:cs="Arial"/>
          <w:szCs w:val="20"/>
        </w:rPr>
      </w:pPr>
      <w:r w:rsidRPr="00B65B22">
        <w:rPr>
          <w:bCs/>
          <w:iCs/>
          <w:szCs w:val="28"/>
        </w:rPr>
        <w:t>De artikelen van het Verdrag en het Protocol bevatten (met uitzondering van de artikelen 27, 28 en 29 van het Verdrag</w:t>
      </w:r>
      <w:r w:rsidRPr="00B65B22" w:rsidR="003E78B9">
        <w:rPr>
          <w:bCs/>
          <w:iCs/>
          <w:szCs w:val="28"/>
        </w:rPr>
        <w:t xml:space="preserve"> en artikel 5 van het Protocol</w:t>
      </w:r>
      <w:r w:rsidRPr="00B65B22">
        <w:rPr>
          <w:bCs/>
          <w:iCs/>
          <w:szCs w:val="28"/>
        </w:rPr>
        <w:t xml:space="preserve">) naar het oordeel van de regering eenieder verbindende bepalingen in de zin van de artikelen 93 en 94 </w:t>
      </w:r>
      <w:r w:rsidRPr="00B65B22" w:rsidR="004278E8">
        <w:rPr>
          <w:bCs/>
          <w:iCs/>
          <w:szCs w:val="28"/>
        </w:rPr>
        <w:t xml:space="preserve">van de </w:t>
      </w:r>
      <w:r w:rsidRPr="00B65B22">
        <w:rPr>
          <w:bCs/>
          <w:iCs/>
          <w:szCs w:val="28"/>
        </w:rPr>
        <w:t>Grondwet, die aan de burger rechtstreeks rechten toekennen of plichten opleggen.</w:t>
      </w:r>
    </w:p>
    <w:p w:rsidRPr="00B65B22" w:rsidR="0028243F" w:rsidP="00572D10" w:rsidRDefault="00521456" w14:paraId="45234302" w14:textId="387AFE84">
      <w:r w:rsidRPr="00B65B22">
        <w:lastRenderedPageBreak/>
        <w:t>In onderdeel I.7 is het Toetsschema Fiscaal Verdragsbeleid 2011 opgenomen.</w:t>
      </w:r>
      <w:r w:rsidRPr="002A5A61">
        <w:rPr>
          <w:vertAlign w:val="superscript"/>
          <w:lang w:val="en-GB"/>
        </w:rPr>
        <w:footnoteReference w:id="6"/>
      </w:r>
    </w:p>
    <w:p w:rsidRPr="00B65B22" w:rsidR="00521456" w:rsidP="00521456" w:rsidRDefault="00521456" w14:paraId="74CE8AD3" w14:textId="77777777">
      <w:pPr>
        <w:pStyle w:val="Kop2"/>
        <w:numPr>
          <w:ilvl w:val="0"/>
          <w:numId w:val="0"/>
        </w:numPr>
        <w:rPr>
          <w:b w:val="0"/>
          <w:i/>
        </w:rPr>
      </w:pPr>
      <w:r w:rsidRPr="00B65B22">
        <w:rPr>
          <w:b w:val="0"/>
          <w:i/>
        </w:rPr>
        <w:t>I.1</w:t>
      </w:r>
      <w:r w:rsidRPr="00B65B22">
        <w:rPr>
          <w:b w:val="0"/>
          <w:i/>
        </w:rPr>
        <w:tab/>
        <w:t>Aanleiding voor en verloop van de onderhandelingen</w:t>
      </w:r>
    </w:p>
    <w:p w:rsidRPr="00CF0A8D" w:rsidR="00521456" w:rsidP="00901C1E" w:rsidRDefault="00521456" w14:paraId="32B0BE75" w14:textId="06139039">
      <w:r w:rsidRPr="00B65B22">
        <w:t>De onderhandelingen over het Verdrag zijn reeds in 2003 gestart op initiatief van Nederland vanwege de wens met alle lidstaten van de Europese Unie (hierna: EU) een belastingverdrag te hebben</w:t>
      </w:r>
      <w:r w:rsidRPr="00B65B22" w:rsidR="003A3748">
        <w:t xml:space="preserve">, </w:t>
      </w:r>
      <w:r w:rsidRPr="00B65B22">
        <w:t xml:space="preserve">teneinde de politieke en economische samenwerking te bevorderen. </w:t>
      </w:r>
      <w:r w:rsidRPr="00B65B22">
        <w:rPr>
          <w:rFonts w:cs="Arial"/>
          <w:szCs w:val="20"/>
        </w:rPr>
        <w:t xml:space="preserve">De Nederlandse inzet werd </w:t>
      </w:r>
      <w:r w:rsidRPr="00B65B22" w:rsidR="009E240D">
        <w:rPr>
          <w:rFonts w:cs="Arial"/>
          <w:szCs w:val="20"/>
        </w:rPr>
        <w:t xml:space="preserve">daarbij </w:t>
      </w:r>
      <w:r w:rsidRPr="00B65B22">
        <w:rPr>
          <w:rFonts w:cs="Arial"/>
          <w:szCs w:val="20"/>
        </w:rPr>
        <w:t xml:space="preserve">uitdrukkelijk mede bepaald door de wens oneigenlijk gebruik en misbruik van het </w:t>
      </w:r>
      <w:r w:rsidR="00CF0A8D">
        <w:rPr>
          <w:rFonts w:cs="Arial"/>
          <w:szCs w:val="20"/>
        </w:rPr>
        <w:t>V</w:t>
      </w:r>
      <w:r w:rsidRPr="00B65B22" w:rsidR="00CF0A8D">
        <w:rPr>
          <w:rFonts w:cs="Arial"/>
          <w:szCs w:val="20"/>
        </w:rPr>
        <w:t xml:space="preserve">erdrag </w:t>
      </w:r>
      <w:r w:rsidRPr="00B65B22">
        <w:rPr>
          <w:rFonts w:cs="Arial"/>
          <w:szCs w:val="20"/>
        </w:rPr>
        <w:t>tegen te gaan.</w:t>
      </w:r>
      <w:r w:rsidRPr="00B65B22">
        <w:t xml:space="preserve"> Tussen 2003 en 2019 hebben vijf onderhandelingsrondes plaatsgevonden. Tijdens de vierde</w:t>
      </w:r>
      <w:r w:rsidRPr="00B65B22" w:rsidR="004278E8">
        <w:t xml:space="preserve"> </w:t>
      </w:r>
      <w:r w:rsidRPr="00B65B22">
        <w:t xml:space="preserve">onderhandelingsronde in 2015 is het niet gelukt om over de inhoud van </w:t>
      </w:r>
      <w:r w:rsidRPr="00B65B22" w:rsidR="0092275C">
        <w:t xml:space="preserve">een </w:t>
      </w:r>
      <w:r w:rsidRPr="00B65B22">
        <w:t>belastingverdrag overeenstemming te bereiken</w:t>
      </w:r>
      <w:r w:rsidRPr="00B65B22" w:rsidR="007D4B07">
        <w:t>,</w:t>
      </w:r>
      <w:r w:rsidRPr="00B65B22">
        <w:t xml:space="preserve"> mede vanwege de sterke wens van Cyprus met betrekking tot </w:t>
      </w:r>
      <w:r w:rsidRPr="00B65B22" w:rsidR="0092275C">
        <w:t xml:space="preserve">een verlaagd </w:t>
      </w:r>
      <w:r w:rsidRPr="002A5A61">
        <w:t>bron</w:t>
      </w:r>
      <w:r w:rsidRPr="002A5A61" w:rsidR="007D4B07">
        <w:t>belasting</w:t>
      </w:r>
      <w:r w:rsidRPr="00CF0A8D">
        <w:t xml:space="preserve">tarief voor beleggingsdividenden. </w:t>
      </w:r>
    </w:p>
    <w:p w:rsidRPr="00B65B22" w:rsidR="00521456" w:rsidP="00521456" w:rsidRDefault="00521456" w14:paraId="41876772" w14:textId="77777777">
      <w:r w:rsidRPr="00CF0A8D">
        <w:t>In 2019 is op initiatief van Cyprus besloten om de onderhandelingen te hervatten</w:t>
      </w:r>
      <w:r w:rsidRPr="00CF0A8D" w:rsidR="00DC7D7B">
        <w:t>, omdat</w:t>
      </w:r>
      <w:r w:rsidRPr="00CF0A8D">
        <w:t xml:space="preserve"> </w:t>
      </w:r>
      <w:r w:rsidRPr="00CF0A8D" w:rsidR="00DC7D7B">
        <w:t>m</w:t>
      </w:r>
      <w:r w:rsidRPr="00CF0A8D">
        <w:t xml:space="preserve">et het oog op intensivering van de betrekkingen tussen Cyprus en Nederland wederzijds interesse </w:t>
      </w:r>
      <w:r w:rsidRPr="00CF0A8D" w:rsidR="005323D8">
        <w:t xml:space="preserve">was </w:t>
      </w:r>
      <w:r w:rsidRPr="009C6DBA">
        <w:t>blijven bestaan in het sluiten van een belastingverdrag. Tijdens deze laatste onderhandelingsronde in Den Haag is onder meer gesproken over de positie van beide landen ten aanzien van de verdragsgerelateerde maatregelen uit het BEPS-project van de OESO/G20</w:t>
      </w:r>
      <w:r w:rsidRPr="00CF0A8D">
        <w:rPr>
          <w:rStyle w:val="Voetnootmarkering"/>
        </w:rPr>
        <w:footnoteReference w:id="7"/>
      </w:r>
      <w:r w:rsidRPr="00B65B22">
        <w:t>. Ook is het tijdens deze onderhandelingsronde gelukt om overeenstemming te bereiken over de laatste openstaande punten.</w:t>
      </w:r>
    </w:p>
    <w:p w:rsidRPr="00B65B22" w:rsidR="00521456" w:rsidP="00521456" w:rsidRDefault="00521456" w14:paraId="02984B32" w14:textId="77777777">
      <w:pPr>
        <w:keepNext/>
        <w:numPr>
          <w:ilvl w:val="2"/>
          <w:numId w:val="0"/>
        </w:numPr>
        <w:spacing w:before="240" w:after="60"/>
        <w:outlineLvl w:val="2"/>
        <w:rPr>
          <w:bCs/>
          <w:i/>
          <w:szCs w:val="20"/>
        </w:rPr>
      </w:pPr>
      <w:r w:rsidRPr="00B65B22">
        <w:rPr>
          <w:bCs/>
          <w:i/>
          <w:szCs w:val="20"/>
        </w:rPr>
        <w:t>I.2</w:t>
      </w:r>
      <w:r w:rsidRPr="00B65B22">
        <w:rPr>
          <w:bCs/>
          <w:i/>
          <w:szCs w:val="20"/>
        </w:rPr>
        <w:tab/>
        <w:t>I</w:t>
      </w:r>
      <w:r w:rsidRPr="00B65B22">
        <w:rPr>
          <w:bCs/>
          <w:i/>
          <w:iCs/>
          <w:szCs w:val="28"/>
        </w:rPr>
        <w:t>nhoud van het Verdrag</w:t>
      </w:r>
    </w:p>
    <w:p w:rsidRPr="00B65B22" w:rsidR="00521456" w:rsidP="00901C1E" w:rsidRDefault="00521456" w14:paraId="27897B48" w14:textId="39927F84">
      <w:pPr>
        <w:ind w:firstLine="708"/>
      </w:pPr>
      <w:r w:rsidRPr="00B65B22">
        <w:t xml:space="preserve">De structuur, inhoud en bewoordingen van het Verdrag stemmen in het algemeen overeen met het gebruikelijke patroon van de door Nederland recent gesloten belastingverdragen. De Nederlandse inzet bij de onderhandelingen </w:t>
      </w:r>
      <w:r w:rsidRPr="00B65B22" w:rsidR="00F56A80">
        <w:t xml:space="preserve">is </w:t>
      </w:r>
      <w:r w:rsidRPr="002A5A61">
        <w:t xml:space="preserve">gebaseerd op het verdragsbeleid zoals neergelegd in de NFV 2011 en op de kabinetsappreciatie van de 15 actierapporten van het BEPS-project en </w:t>
      </w:r>
      <w:r w:rsidRPr="00CF0A8D" w:rsidR="00532486">
        <w:t xml:space="preserve">op </w:t>
      </w:r>
      <w:r w:rsidRPr="00CF0A8D">
        <w:t>het</w:t>
      </w:r>
      <w:r w:rsidRPr="00CF0A8D" w:rsidR="00532486">
        <w:t xml:space="preserve"> MLI</w:t>
      </w:r>
      <w:r w:rsidRPr="00CF0A8D">
        <w:t>.</w:t>
      </w:r>
      <w:r w:rsidRPr="00CF0A8D">
        <w:rPr>
          <w:vertAlign w:val="superscript"/>
        </w:rPr>
        <w:footnoteReference w:id="8"/>
      </w:r>
      <w:r w:rsidRPr="00B65B22">
        <w:t xml:space="preserve"> De Nederlandse inzet werd verder uitdrukkelijk mede bepaald door de wens oneigenlijk gebruik en misbruik van het Verdrag tegen te gaan. </w:t>
      </w:r>
    </w:p>
    <w:p w:rsidRPr="00B65B22" w:rsidR="00521456" w:rsidP="00521456" w:rsidRDefault="00521456" w14:paraId="604B42E3" w14:textId="77777777">
      <w:pPr>
        <w:ind w:firstLine="708"/>
      </w:pPr>
      <w:r w:rsidRPr="00B65B22">
        <w:t xml:space="preserve">Voor het instrumentarium is hoofdzakelijk aangeknoopt bij de bepalingen van het OESO-modelverdrag </w:t>
      </w:r>
      <w:r w:rsidRPr="00B65B22" w:rsidR="0092139E">
        <w:t xml:space="preserve">1992 </w:t>
      </w:r>
      <w:r w:rsidRPr="00B65B22">
        <w:t xml:space="preserve">zoals dat luidt na de actualisering per 21 november 2017 (hierna: ‘het OESO-modelverdrag’). </w:t>
      </w:r>
    </w:p>
    <w:p w:rsidRPr="00B65B22" w:rsidR="00521456" w:rsidP="00521456" w:rsidRDefault="00521456" w14:paraId="4251E51E" w14:textId="379089EA">
      <w:pPr>
        <w:ind w:firstLine="708"/>
      </w:pPr>
      <w:r w:rsidRPr="00B65B22">
        <w:t xml:space="preserve">Ook is gekeken naar </w:t>
      </w:r>
      <w:r w:rsidR="00CF0A8D">
        <w:t>de</w:t>
      </w:r>
      <w:r w:rsidRPr="00B65B22">
        <w:t xml:space="preserve"> afspraken </w:t>
      </w:r>
      <w:r w:rsidR="00CF0A8D">
        <w:t xml:space="preserve">die </w:t>
      </w:r>
      <w:r w:rsidRPr="00B65B22">
        <w:t>Cyprus heeft gemaakt in zijn belastingverdragen met onder andere het Verenigd Koninkrijk, Noorwegen en Zwitserland.</w:t>
      </w:r>
    </w:p>
    <w:p w:rsidRPr="00CF0A8D" w:rsidR="00521456" w:rsidP="00521456" w:rsidRDefault="00521456" w14:paraId="5ACF83E4" w14:textId="77777777">
      <w:pPr>
        <w:spacing w:after="200"/>
        <w:contextualSpacing/>
      </w:pPr>
      <w:r w:rsidRPr="00B65B22">
        <w:t xml:space="preserve">Het Verdrag bevat de maatregelen waarvan in de BEPS-rapporten is geconcludeerd dat deze minimaal nodig zijn om verdragsmisbruik op een adequate manier te bestrijden en geschillenbeslechting te verbeteren (de zogenoemde ‘minimumstandaard’). Dit betreft de titel en de preambule van het Verdrag, het opnemen van een algemene antimisbruikbepaling (artikel 26) en de toegang tot de onderlinge overlegprocedure (artikel 23). In dit verband is voorts van belang dat, </w:t>
      </w:r>
      <w:r w:rsidRPr="00B65B22">
        <w:lastRenderedPageBreak/>
        <w:t>conform het Nederlandse verdragsbeleid, onder meer een volledige woonstaatheffing is overeengekomen voor dividend in deelnemingsverhoudingen (ar</w:t>
      </w:r>
      <w:r w:rsidRPr="00CF0A8D">
        <w:t xml:space="preserve">tikel 10, derde lid), voor interest (artikel 11, eerste lid) en voor royalty’s (artikel 12, eerste lid). </w:t>
      </w:r>
    </w:p>
    <w:p w:rsidRPr="00363E1C" w:rsidR="00521456" w:rsidP="00521456" w:rsidRDefault="00521456" w14:paraId="6603B36B" w14:textId="77777777">
      <w:pPr>
        <w:ind w:firstLine="720"/>
        <w:rPr>
          <w:rFonts w:cs="Arial"/>
          <w:szCs w:val="20"/>
        </w:rPr>
      </w:pPr>
      <w:r w:rsidRPr="00CF0A8D">
        <w:rPr>
          <w:rFonts w:cs="Arial"/>
          <w:szCs w:val="20"/>
        </w:rPr>
        <w:t xml:space="preserve">In het geheel weerspiegelt het Verdrag een resultaat dat in het licht van de over en weer naar voren gebrachte wensen als evenwichtig kan worden beschouwd en waarin op bevredigende wijze rekening is gehouden met de belangen van Nederlandse burgers en bedrijven. </w:t>
      </w:r>
      <w:r w:rsidRPr="009C6DBA">
        <w:rPr>
          <w:color w:val="211D1F"/>
          <w:szCs w:val="20"/>
        </w:rPr>
        <w:t xml:space="preserve">Voor het Nederlandse bedrijfsleven zal het Verdrag bij bestaande en nieuwe activiteiten en investeringen in Cyprus positief uitwerken, omdat de grenzen van de heffingsbevoegdheden van beide landen duidelijk zijn vastgelegd en zijn gebaseerd op de actuele OESO-standaarden. Dit leidt tot meer rechtszekerheid. </w:t>
      </w:r>
      <w:r w:rsidRPr="00363E1C" w:rsidR="007643E1">
        <w:rPr>
          <w:color w:val="211D1F"/>
          <w:szCs w:val="20"/>
        </w:rPr>
        <w:t xml:space="preserve">Voor het geval dat </w:t>
      </w:r>
      <w:r w:rsidRPr="00363E1C">
        <w:rPr>
          <w:color w:val="211D1F"/>
          <w:szCs w:val="20"/>
        </w:rPr>
        <w:t xml:space="preserve">toepassing van het Verdrag in bepaalde situaties toch tot dubbele heffing </w:t>
      </w:r>
      <w:r w:rsidRPr="00363E1C" w:rsidR="007643E1">
        <w:rPr>
          <w:color w:val="211D1F"/>
          <w:szCs w:val="20"/>
        </w:rPr>
        <w:t xml:space="preserve">zou </w:t>
      </w:r>
      <w:r w:rsidRPr="00363E1C">
        <w:rPr>
          <w:color w:val="211D1F"/>
          <w:szCs w:val="20"/>
        </w:rPr>
        <w:t>leiden voorziet het Verdrag in een procedure voor onderling overleg.</w:t>
      </w:r>
      <w:r w:rsidRPr="00363E1C">
        <w:rPr>
          <w:rFonts w:cs="Arial"/>
          <w:szCs w:val="20"/>
        </w:rPr>
        <w:t xml:space="preserve"> </w:t>
      </w:r>
    </w:p>
    <w:p w:rsidRPr="00B65B22" w:rsidR="00521456" w:rsidP="00521456" w:rsidRDefault="00521456" w14:paraId="3706F7CC" w14:textId="77777777">
      <w:pPr>
        <w:keepNext/>
        <w:numPr>
          <w:ilvl w:val="2"/>
          <w:numId w:val="0"/>
        </w:numPr>
        <w:spacing w:before="240" w:after="60"/>
        <w:outlineLvl w:val="2"/>
        <w:rPr>
          <w:bCs/>
          <w:i/>
          <w:szCs w:val="20"/>
        </w:rPr>
      </w:pPr>
      <w:r w:rsidRPr="00B65B22">
        <w:rPr>
          <w:bCs/>
          <w:i/>
          <w:szCs w:val="20"/>
        </w:rPr>
        <w:t>I.3</w:t>
      </w:r>
      <w:r w:rsidRPr="00B65B22">
        <w:rPr>
          <w:bCs/>
          <w:i/>
          <w:szCs w:val="20"/>
        </w:rPr>
        <w:tab/>
        <w:t>Belastingstelsel Cyprus</w:t>
      </w:r>
    </w:p>
    <w:p w:rsidRPr="00B65B22" w:rsidR="00521456" w:rsidP="00521456" w:rsidRDefault="00521456" w14:paraId="215D247A" w14:textId="77777777">
      <w:pPr>
        <w:ind w:firstLine="708"/>
        <w:rPr>
          <w:rFonts w:cs="Arial"/>
          <w:szCs w:val="20"/>
        </w:rPr>
      </w:pPr>
      <w:r w:rsidRPr="00B65B22">
        <w:rPr>
          <w:rFonts w:cs="Arial"/>
          <w:szCs w:val="20"/>
        </w:rPr>
        <w:t xml:space="preserve">Cyprus kent een fiscaal stelsel met een samenstel van directe en indirecte belastingen. </w:t>
      </w:r>
    </w:p>
    <w:p w:rsidRPr="00B65B22" w:rsidR="00521456" w:rsidP="00521456" w:rsidRDefault="00521456" w14:paraId="0D4D2E38" w14:textId="3F079A1E">
      <w:pPr>
        <w:ind w:firstLine="708"/>
        <w:rPr>
          <w:rFonts w:cs="Arial"/>
          <w:color w:val="000000"/>
          <w:szCs w:val="20"/>
        </w:rPr>
      </w:pPr>
      <w:r w:rsidRPr="00B65B22">
        <w:rPr>
          <w:rFonts w:cs="Arial"/>
          <w:szCs w:val="20"/>
        </w:rPr>
        <w:t xml:space="preserve">De voornaamste directe belastingen voor natuurlijke personen zijn de inkomstenbelasting </w:t>
      </w:r>
      <w:r w:rsidRPr="00B65B22">
        <w:rPr>
          <w:rFonts w:cs="Arial"/>
          <w:i/>
          <w:szCs w:val="20"/>
        </w:rPr>
        <w:t>(</w:t>
      </w:r>
      <w:r w:rsidRPr="00B65B22">
        <w:rPr>
          <w:rFonts w:cs="Arial"/>
          <w:i/>
          <w:color w:val="000000"/>
          <w:szCs w:val="20"/>
        </w:rPr>
        <w:t>Income Tax</w:t>
      </w:r>
      <w:r w:rsidRPr="00B65B22">
        <w:rPr>
          <w:rFonts w:cs="Arial"/>
          <w:color w:val="000000"/>
          <w:szCs w:val="20"/>
        </w:rPr>
        <w:t>) met een progressief tarief met een maximum van 35% en de vermogenswinstbelasting (</w:t>
      </w:r>
      <w:r w:rsidRPr="00B65B22">
        <w:rPr>
          <w:rFonts w:cs="Arial"/>
          <w:i/>
          <w:color w:val="000000"/>
          <w:szCs w:val="20"/>
        </w:rPr>
        <w:t>Capital Gains Tax</w:t>
      </w:r>
      <w:r w:rsidRPr="00B65B22">
        <w:t>)</w:t>
      </w:r>
      <w:r w:rsidRPr="00B65B22">
        <w:rPr>
          <w:rFonts w:cs="Arial"/>
          <w:color w:val="000000"/>
          <w:szCs w:val="20"/>
        </w:rPr>
        <w:t xml:space="preserve"> op bepaalde voordelen met een tarief van 20%.</w:t>
      </w:r>
    </w:p>
    <w:p w:rsidRPr="00B65B22" w:rsidR="00521456" w:rsidP="00521456" w:rsidRDefault="00521456" w14:paraId="64F2E246" w14:textId="77777777">
      <w:pPr>
        <w:ind w:firstLine="708"/>
        <w:rPr>
          <w:szCs w:val="20"/>
        </w:rPr>
      </w:pPr>
      <w:r w:rsidRPr="00B65B22">
        <w:t>De inkomstenbelasting wordt geheven over het wereldinkomen van natuurlijke personen</w:t>
      </w:r>
      <w:r w:rsidRPr="00B65B22" w:rsidR="00D22679">
        <w:t xml:space="preserve"> die inwoners zijn van Cyprus</w:t>
      </w:r>
      <w:r w:rsidRPr="00B65B22">
        <w:t xml:space="preserve">. </w:t>
      </w:r>
      <w:r w:rsidRPr="00B65B22">
        <w:rPr>
          <w:szCs w:val="20"/>
        </w:rPr>
        <w:t xml:space="preserve">De vermogenswinstbelasting wordt van natuurlijke personen geheven over de vermogenswinsten behaald met de verkoop van onroerende zaken gelegen in Cyprus dan wel de verkoop van </w:t>
      </w:r>
      <w:r w:rsidRPr="00B65B22">
        <w:rPr>
          <w:color w:val="211D1F"/>
          <w:szCs w:val="20"/>
        </w:rPr>
        <w:t>aandelen in zogenoemde onroerendezaaklichamen die beschikken over in Cyprus gelegen onroerende zaken.</w:t>
      </w:r>
    </w:p>
    <w:p w:rsidRPr="00B65B22" w:rsidR="00521456" w:rsidP="00521456" w:rsidRDefault="00521456" w14:paraId="54DF7FA7" w14:textId="21B04F03">
      <w:pPr>
        <w:ind w:firstLine="708"/>
        <w:rPr>
          <w:color w:val="211D1F"/>
          <w:szCs w:val="20"/>
        </w:rPr>
      </w:pPr>
      <w:r w:rsidRPr="00B65B22">
        <w:rPr>
          <w:rFonts w:cs="Arial"/>
          <w:szCs w:val="20"/>
        </w:rPr>
        <w:t xml:space="preserve">Van niet-natuurlijke personen wordt een vennootschapsbelasting </w:t>
      </w:r>
      <w:r w:rsidRPr="00B65B22">
        <w:rPr>
          <w:rFonts w:cs="Arial"/>
          <w:i/>
          <w:szCs w:val="20"/>
        </w:rPr>
        <w:t xml:space="preserve">(Corporate </w:t>
      </w:r>
      <w:r w:rsidRPr="00B65B22">
        <w:rPr>
          <w:rFonts w:cs="Arial"/>
          <w:i/>
          <w:color w:val="000000"/>
          <w:szCs w:val="20"/>
        </w:rPr>
        <w:t>Income Tax</w:t>
      </w:r>
      <w:r w:rsidRPr="00B65B22">
        <w:rPr>
          <w:rFonts w:cs="Arial"/>
          <w:color w:val="000000"/>
          <w:szCs w:val="20"/>
        </w:rPr>
        <w:t xml:space="preserve">) </w:t>
      </w:r>
      <w:r w:rsidRPr="00B65B22">
        <w:rPr>
          <w:rFonts w:cs="Arial"/>
          <w:szCs w:val="20"/>
        </w:rPr>
        <w:t xml:space="preserve">geheven tegen een tarief van 12,5%. </w:t>
      </w:r>
      <w:r w:rsidRPr="00B65B22">
        <w:rPr>
          <w:color w:val="211D1F"/>
          <w:szCs w:val="20"/>
        </w:rPr>
        <w:t xml:space="preserve">Vermogenswinsten </w:t>
      </w:r>
      <w:r w:rsidRPr="00B65B22" w:rsidR="004D4EE8">
        <w:t xml:space="preserve">behaald </w:t>
      </w:r>
      <w:r w:rsidRPr="00B65B22" w:rsidR="004D4EE8">
        <w:rPr>
          <w:color w:val="211D1F"/>
          <w:szCs w:val="20"/>
        </w:rPr>
        <w:t xml:space="preserve">door </w:t>
      </w:r>
      <w:r w:rsidRPr="00B65B22">
        <w:rPr>
          <w:color w:val="211D1F"/>
          <w:szCs w:val="20"/>
        </w:rPr>
        <w:t xml:space="preserve">niet-natuurlijke personen </w:t>
      </w:r>
      <w:r w:rsidRPr="00B65B22">
        <w:t xml:space="preserve">met de verkoop van onroerende zaken gelegen in Cyprus dan </w:t>
      </w:r>
      <w:r w:rsidRPr="00B65B22">
        <w:rPr>
          <w:szCs w:val="20"/>
        </w:rPr>
        <w:t xml:space="preserve">wel </w:t>
      </w:r>
      <w:r w:rsidRPr="00B65B22" w:rsidR="00BE05B0">
        <w:rPr>
          <w:szCs w:val="20"/>
        </w:rPr>
        <w:t xml:space="preserve">met </w:t>
      </w:r>
      <w:r w:rsidRPr="00B65B22">
        <w:rPr>
          <w:szCs w:val="20"/>
        </w:rPr>
        <w:t xml:space="preserve">de verkoop van </w:t>
      </w:r>
      <w:r w:rsidRPr="00B65B22">
        <w:rPr>
          <w:color w:val="211D1F"/>
          <w:szCs w:val="20"/>
        </w:rPr>
        <w:t>aandelen in lichamen die beschikken over in Cyprus gelegen onroerende zaken</w:t>
      </w:r>
      <w:r w:rsidRPr="00B65B22">
        <w:t xml:space="preserve"> </w:t>
      </w:r>
      <w:r w:rsidRPr="00B65B22" w:rsidR="00BE7A1C">
        <w:t xml:space="preserve">(zogenoemde </w:t>
      </w:r>
      <w:r w:rsidRPr="00B65B22" w:rsidR="00BE7A1C">
        <w:rPr>
          <w:color w:val="211D1F"/>
          <w:szCs w:val="20"/>
        </w:rPr>
        <w:t xml:space="preserve">onroerendezaaklichamen) </w:t>
      </w:r>
      <w:r w:rsidRPr="00B65B22">
        <w:t>worden</w:t>
      </w:r>
      <w:r w:rsidRPr="00B65B22">
        <w:rPr>
          <w:color w:val="211D1F"/>
          <w:szCs w:val="20"/>
        </w:rPr>
        <w:t xml:space="preserve"> belast tegen hetzelfde tarief als </w:t>
      </w:r>
      <w:r w:rsidRPr="00B65B22" w:rsidR="006246EA">
        <w:rPr>
          <w:color w:val="211D1F"/>
          <w:szCs w:val="20"/>
        </w:rPr>
        <w:t xml:space="preserve">geldt voor </w:t>
      </w:r>
      <w:r w:rsidRPr="00B65B22">
        <w:rPr>
          <w:color w:val="211D1F"/>
          <w:szCs w:val="20"/>
        </w:rPr>
        <w:t xml:space="preserve">de vermogenswinstbelasting </w:t>
      </w:r>
      <w:r w:rsidRPr="00B65B22" w:rsidR="006246EA">
        <w:rPr>
          <w:color w:val="211D1F"/>
          <w:szCs w:val="20"/>
        </w:rPr>
        <w:t xml:space="preserve">geheven van </w:t>
      </w:r>
      <w:r w:rsidRPr="00B65B22" w:rsidR="004051A3">
        <w:rPr>
          <w:szCs w:val="20"/>
        </w:rPr>
        <w:t>natuurlijke personen</w:t>
      </w:r>
      <w:r w:rsidRPr="00B65B22">
        <w:rPr>
          <w:color w:val="211D1F"/>
          <w:szCs w:val="20"/>
        </w:rPr>
        <w:t>.</w:t>
      </w:r>
    </w:p>
    <w:p w:rsidRPr="00B65B22" w:rsidR="00521456" w:rsidP="00521456" w:rsidRDefault="00521456" w14:paraId="1D311CE9" w14:textId="77777777">
      <w:pPr>
        <w:ind w:firstLine="720"/>
        <w:rPr>
          <w:rFonts w:cs="Arial"/>
          <w:i/>
          <w:szCs w:val="20"/>
        </w:rPr>
      </w:pPr>
      <w:r w:rsidRPr="00B65B22">
        <w:rPr>
          <w:color w:val="211D1F"/>
          <w:szCs w:val="20"/>
        </w:rPr>
        <w:t xml:space="preserve"> </w:t>
      </w:r>
      <w:r w:rsidRPr="00B65B22">
        <w:t>Lichamen die zijn gevestigd in Cyprus zijn onderworpen aan de vennootschapsbelasting voor hun wereldinkomen</w:t>
      </w:r>
      <w:r w:rsidRPr="00B65B22" w:rsidR="00D22679">
        <w:t>.</w:t>
      </w:r>
      <w:r w:rsidRPr="00B65B22">
        <w:t xml:space="preserve"> </w:t>
      </w:r>
      <w:r w:rsidRPr="00B65B22">
        <w:rPr>
          <w:rFonts w:cs="Arial"/>
          <w:szCs w:val="20"/>
        </w:rPr>
        <w:t xml:space="preserve">Ter vermijding van dubbele belasting hanteert Cyprus een verrekeningsstelsel waarbij de verrekening voor de buitenlandse belasting niet hoger kan uitvallen dan de Cypriotische belasting die is toe te rekenen aan de desbetreffende buitenlandse inkomsten. </w:t>
      </w:r>
    </w:p>
    <w:p w:rsidRPr="00B65B22" w:rsidR="00521456" w:rsidP="00521456" w:rsidRDefault="00521456" w14:paraId="002ED810" w14:textId="77777777">
      <w:pPr>
        <w:ind w:firstLine="708"/>
        <w:rPr>
          <w:highlight w:val="yellow"/>
        </w:rPr>
      </w:pPr>
      <w:r w:rsidRPr="00B65B22">
        <w:t xml:space="preserve">Cyprus kent verder een vrijstelling van de vennootschapsbelasting voor dividendinkomsten. Daarnaast kan de Cypriotische zeescheepvaartsector gebruikmaken van het tonnageregime. </w:t>
      </w:r>
      <w:r w:rsidRPr="00B65B22" w:rsidR="00C53337">
        <w:t xml:space="preserve">Aan </w:t>
      </w:r>
      <w:r w:rsidRPr="00B65B22">
        <w:t xml:space="preserve">ondernemingen in de filmindustrie </w:t>
      </w:r>
      <w:r w:rsidRPr="00B65B22">
        <w:rPr>
          <w:rFonts w:cs="Arial"/>
          <w:szCs w:val="20"/>
        </w:rPr>
        <w:t>kan een gedeeltelijke vrijstelling van de vennootschapsbelasting worden verleend.</w:t>
      </w:r>
    </w:p>
    <w:p w:rsidRPr="00B65B22" w:rsidR="00521456" w:rsidP="00521456" w:rsidRDefault="00521456" w14:paraId="202380E2" w14:textId="77777777">
      <w:pPr>
        <w:ind w:firstLine="720"/>
        <w:rPr>
          <w:rFonts w:cs="Arial"/>
          <w:szCs w:val="20"/>
        </w:rPr>
      </w:pPr>
      <w:r w:rsidRPr="00B65B22">
        <w:rPr>
          <w:rFonts w:cs="Arial"/>
          <w:szCs w:val="20"/>
        </w:rPr>
        <w:t>De belangrijkste bronbelastingen die Cyprus kent</w:t>
      </w:r>
      <w:r w:rsidRPr="00B65B22" w:rsidR="006A768C">
        <w:rPr>
          <w:rFonts w:cs="Arial"/>
          <w:szCs w:val="20"/>
        </w:rPr>
        <w:t>,</w:t>
      </w:r>
      <w:r w:rsidRPr="00B65B22">
        <w:rPr>
          <w:rFonts w:cs="Arial"/>
          <w:szCs w:val="20"/>
        </w:rPr>
        <w:t xml:space="preserve"> zijn de bronbelastingen op royalty’s (5% ter zake van filmroyalty’s en 10% ter zake van overige royalty’s) en vergoeding</w:t>
      </w:r>
      <w:r w:rsidRPr="00B65B22" w:rsidR="00FC4D78">
        <w:rPr>
          <w:rFonts w:cs="Arial"/>
          <w:szCs w:val="20"/>
        </w:rPr>
        <w:t>en</w:t>
      </w:r>
      <w:r w:rsidRPr="00B65B22">
        <w:rPr>
          <w:rFonts w:cs="Arial"/>
          <w:szCs w:val="20"/>
        </w:rPr>
        <w:t xml:space="preserve"> </w:t>
      </w:r>
      <w:r w:rsidRPr="00B65B22" w:rsidR="00FC4D78">
        <w:rPr>
          <w:rFonts w:cs="Arial"/>
          <w:szCs w:val="20"/>
        </w:rPr>
        <w:t xml:space="preserve">voor </w:t>
      </w:r>
      <w:r w:rsidRPr="00B65B22">
        <w:rPr>
          <w:rFonts w:cs="Arial"/>
          <w:szCs w:val="20"/>
        </w:rPr>
        <w:t xml:space="preserve">technische diensten </w:t>
      </w:r>
      <w:r w:rsidRPr="00B65B22" w:rsidR="00FC4D78">
        <w:rPr>
          <w:rFonts w:cs="Arial"/>
          <w:szCs w:val="20"/>
        </w:rPr>
        <w:t xml:space="preserve">(10%) </w:t>
      </w:r>
      <w:r w:rsidRPr="00B65B22">
        <w:rPr>
          <w:rFonts w:cs="Arial"/>
          <w:szCs w:val="20"/>
        </w:rPr>
        <w:t>en inkomsten van sporters en artiesten (10%).</w:t>
      </w:r>
    </w:p>
    <w:p w:rsidRPr="00B65B22" w:rsidR="00521456" w:rsidP="00521456" w:rsidRDefault="00521456" w14:paraId="0D1411E2" w14:textId="77777777">
      <w:pPr>
        <w:ind w:firstLine="720"/>
      </w:pPr>
      <w:r w:rsidRPr="00B65B22">
        <w:t>Ten slotte wordt in Cyprus geen bronbelasting geheven op dividend- en rentebetalingen aan niet-inwoners.</w:t>
      </w:r>
    </w:p>
    <w:p w:rsidRPr="00CF0A8D" w:rsidR="00E70624" w:rsidP="00E70624" w:rsidRDefault="00521456" w14:paraId="55FEBA4E" w14:textId="03D3DEF7">
      <w:pPr>
        <w:ind w:firstLine="720"/>
        <w:rPr>
          <w:rFonts w:cs="Arial"/>
          <w:szCs w:val="20"/>
        </w:rPr>
      </w:pPr>
      <w:r w:rsidRPr="00B65B22">
        <w:rPr>
          <w:rFonts w:cs="Arial"/>
          <w:szCs w:val="20"/>
        </w:rPr>
        <w:t xml:space="preserve">Aangezien Cyprus lid is van de </w:t>
      </w:r>
      <w:r w:rsidRPr="00B65B22" w:rsidR="009B3D3A">
        <w:rPr>
          <w:rFonts w:cs="Arial"/>
          <w:szCs w:val="20"/>
        </w:rPr>
        <w:t>EU</w:t>
      </w:r>
      <w:r w:rsidRPr="00B65B22">
        <w:rPr>
          <w:rFonts w:cs="Arial"/>
          <w:szCs w:val="20"/>
        </w:rPr>
        <w:t>, neemt Cyprus de heffingsbeperkingen en de antimisbruikmaatregelen in acht die kunnen voortvloeien uit de moeder-dochterrichtlijn</w:t>
      </w:r>
      <w:r w:rsidRPr="00CF0A8D">
        <w:rPr>
          <w:rStyle w:val="Voetnootmarkering"/>
          <w:rFonts w:cs="Arial"/>
          <w:szCs w:val="20"/>
        </w:rPr>
        <w:footnoteReference w:id="9"/>
      </w:r>
      <w:r w:rsidRPr="00B65B22" w:rsidR="00A96016">
        <w:rPr>
          <w:rFonts w:cs="Arial"/>
          <w:szCs w:val="20"/>
        </w:rPr>
        <w:t xml:space="preserve"> en</w:t>
      </w:r>
      <w:r w:rsidRPr="00B65B22">
        <w:rPr>
          <w:rFonts w:cs="Arial"/>
          <w:szCs w:val="20"/>
        </w:rPr>
        <w:t xml:space="preserve"> de rente- en royaltyrichtlijn</w:t>
      </w:r>
      <w:r w:rsidRPr="00CF0A8D">
        <w:rPr>
          <w:rStyle w:val="Voetnootmarkering"/>
          <w:rFonts w:cs="Arial"/>
          <w:szCs w:val="20"/>
        </w:rPr>
        <w:footnoteReference w:id="10"/>
      </w:r>
      <w:r w:rsidRPr="00B65B22" w:rsidR="00D22679">
        <w:rPr>
          <w:rFonts w:cs="Arial"/>
          <w:szCs w:val="20"/>
        </w:rPr>
        <w:t>.</w:t>
      </w:r>
      <w:r w:rsidRPr="00B65B22" w:rsidR="00125FCE">
        <w:rPr>
          <w:rFonts w:cs="Arial"/>
          <w:szCs w:val="20"/>
        </w:rPr>
        <w:t xml:space="preserve"> </w:t>
      </w:r>
      <w:r w:rsidRPr="00B65B22" w:rsidR="00952F43">
        <w:rPr>
          <w:rFonts w:cs="Arial"/>
          <w:szCs w:val="20"/>
        </w:rPr>
        <w:t xml:space="preserve">In het Verdrag is geen bepaling inzake bijstand bij invordering van belastingen opgenomen; </w:t>
      </w:r>
      <w:r w:rsidRPr="00B65B22" w:rsidR="00304292">
        <w:rPr>
          <w:rFonts w:cs="Arial"/>
          <w:szCs w:val="20"/>
        </w:rPr>
        <w:t>Europese</w:t>
      </w:r>
      <w:r w:rsidRPr="00B65B22" w:rsidR="003E091E">
        <w:rPr>
          <w:rFonts w:cs="Arial"/>
          <w:szCs w:val="20"/>
        </w:rPr>
        <w:t xml:space="preserve"> regelgeving</w:t>
      </w:r>
      <w:r w:rsidRPr="00B65B22" w:rsidR="003E091E">
        <w:rPr>
          <w:rStyle w:val="Voetnootmarkering"/>
          <w:rFonts w:cs="Arial"/>
          <w:szCs w:val="20"/>
        </w:rPr>
        <w:footnoteReference w:id="11"/>
      </w:r>
      <w:r w:rsidRPr="00B65B22" w:rsidR="006A768C">
        <w:rPr>
          <w:rFonts w:cs="Arial"/>
          <w:szCs w:val="20"/>
        </w:rPr>
        <w:t xml:space="preserve"> </w:t>
      </w:r>
      <w:r w:rsidRPr="00B65B22" w:rsidR="00952F43">
        <w:rPr>
          <w:rFonts w:cs="Arial"/>
          <w:szCs w:val="20"/>
        </w:rPr>
        <w:t xml:space="preserve">biedt </w:t>
      </w:r>
      <w:r w:rsidRPr="00B65B22" w:rsidR="00FF7217">
        <w:rPr>
          <w:rFonts w:cs="Arial"/>
          <w:szCs w:val="20"/>
        </w:rPr>
        <w:t xml:space="preserve">een basis voor wederzijdse bijstand bij </w:t>
      </w:r>
      <w:r w:rsidRPr="00B65B22" w:rsidR="00AE6FDD">
        <w:rPr>
          <w:rFonts w:cs="Arial"/>
          <w:szCs w:val="20"/>
        </w:rPr>
        <w:t xml:space="preserve">de </w:t>
      </w:r>
      <w:r w:rsidRPr="00B65B22" w:rsidR="00FF7217">
        <w:rPr>
          <w:rFonts w:cs="Arial"/>
          <w:szCs w:val="20"/>
        </w:rPr>
        <w:t xml:space="preserve">invordering van </w:t>
      </w:r>
      <w:r w:rsidRPr="00B65B22" w:rsidR="00AE6FDD">
        <w:rPr>
          <w:rFonts w:cs="Arial"/>
          <w:szCs w:val="20"/>
        </w:rPr>
        <w:t>belasting</w:t>
      </w:r>
      <w:r w:rsidRPr="00B65B22" w:rsidR="007F7C41">
        <w:rPr>
          <w:rFonts w:cs="Arial"/>
          <w:szCs w:val="20"/>
        </w:rPr>
        <w:t>-</w:t>
      </w:r>
      <w:r w:rsidRPr="00B65B22" w:rsidR="00FF7217">
        <w:rPr>
          <w:rFonts w:cs="Arial"/>
          <w:szCs w:val="20"/>
        </w:rPr>
        <w:t xml:space="preserve"> en </w:t>
      </w:r>
      <w:r w:rsidRPr="00B65B22" w:rsidR="00F07376">
        <w:rPr>
          <w:rFonts w:cs="Arial"/>
          <w:szCs w:val="20"/>
        </w:rPr>
        <w:t xml:space="preserve">bepaalde </w:t>
      </w:r>
      <w:r w:rsidRPr="00B65B22" w:rsidR="00AE6FDD">
        <w:rPr>
          <w:rFonts w:cs="Arial"/>
          <w:szCs w:val="20"/>
        </w:rPr>
        <w:t>toeslagvorderingen</w:t>
      </w:r>
      <w:r w:rsidRPr="002A5A61" w:rsidR="00FF7217">
        <w:rPr>
          <w:rFonts w:cs="Arial"/>
          <w:szCs w:val="20"/>
        </w:rPr>
        <w:t xml:space="preserve"> in relatie tot Cyprus</w:t>
      </w:r>
      <w:r w:rsidRPr="002A5A61" w:rsidR="00F5785D">
        <w:rPr>
          <w:rFonts w:cs="Arial"/>
          <w:szCs w:val="20"/>
        </w:rPr>
        <w:t>.</w:t>
      </w:r>
    </w:p>
    <w:p w:rsidRPr="00875B2B" w:rsidR="00E70624" w:rsidP="00E70624" w:rsidRDefault="00E70624" w14:paraId="283E2CD0" w14:textId="77777777">
      <w:pPr>
        <w:keepNext/>
        <w:numPr>
          <w:ilvl w:val="2"/>
          <w:numId w:val="0"/>
        </w:numPr>
        <w:spacing w:before="240" w:after="60"/>
        <w:outlineLvl w:val="2"/>
        <w:rPr>
          <w:bCs/>
          <w:i/>
          <w:szCs w:val="20"/>
        </w:rPr>
      </w:pPr>
      <w:r w:rsidRPr="00CF0A8D">
        <w:rPr>
          <w:i/>
        </w:rPr>
        <w:t>I.4</w:t>
      </w:r>
      <w:r w:rsidRPr="00CF0A8D">
        <w:rPr>
          <w:bCs/>
          <w:i/>
          <w:szCs w:val="20"/>
        </w:rPr>
        <w:tab/>
      </w:r>
      <w:r w:rsidRPr="00875B2B">
        <w:rPr>
          <w:bCs/>
          <w:i/>
          <w:iCs/>
          <w:szCs w:val="28"/>
        </w:rPr>
        <w:t>Budgettaire aspecten</w:t>
      </w:r>
    </w:p>
    <w:p w:rsidRPr="009C6DBA" w:rsidR="00521456" w:rsidP="00521456" w:rsidRDefault="00521456" w14:paraId="7449DF4E" w14:textId="77777777">
      <w:r w:rsidRPr="009C6DBA">
        <w:t xml:space="preserve">De budgettaire gevolgen van het Verdrag zullen naar verwachting per saldo neutraal zijn. </w:t>
      </w:r>
    </w:p>
    <w:p w:rsidRPr="00363E1C" w:rsidR="00521456" w:rsidP="00416CFB" w:rsidRDefault="00521456" w14:paraId="5108B8EF" w14:textId="77777777">
      <w:pPr>
        <w:keepNext/>
        <w:spacing w:before="240" w:after="60"/>
        <w:ind w:firstLine="0"/>
        <w:outlineLvl w:val="1"/>
        <w:rPr>
          <w:bCs/>
          <w:i/>
          <w:iCs/>
          <w:szCs w:val="28"/>
        </w:rPr>
      </w:pPr>
      <w:r w:rsidRPr="00363E1C">
        <w:rPr>
          <w:bCs/>
          <w:i/>
          <w:iCs/>
          <w:szCs w:val="28"/>
        </w:rPr>
        <w:t>I.5</w:t>
      </w:r>
      <w:r w:rsidRPr="00363E1C">
        <w:rPr>
          <w:bCs/>
          <w:i/>
          <w:iCs/>
          <w:szCs w:val="28"/>
        </w:rPr>
        <w:tab/>
        <w:t>Inbreng van derden</w:t>
      </w:r>
    </w:p>
    <w:p w:rsidRPr="00363E1C" w:rsidR="00521456" w:rsidP="00521456" w:rsidRDefault="00521456" w14:paraId="56AB7D91" w14:textId="77777777">
      <w:pPr>
        <w:ind w:firstLine="720"/>
      </w:pPr>
      <w:r w:rsidRPr="00363E1C">
        <w:rPr>
          <w:rFonts w:cs="Arial"/>
          <w:szCs w:val="20"/>
        </w:rPr>
        <w:t xml:space="preserve">Het Ministerie van Financiën heeft via de gebruikelijke nieuwsberichten de onderhandelingen met Cyprus onder de aandacht gebracht en belanghebbenden verzocht de voor hen van belang zijnde aangelegenheden kenbaar te maken. Daarop zijn echter geen reacties ontvangen. </w:t>
      </w:r>
    </w:p>
    <w:p w:rsidRPr="00363E1C" w:rsidR="00521456" w:rsidP="00416CFB" w:rsidRDefault="00521456" w14:paraId="0BFD0E3A" w14:textId="77777777">
      <w:pPr>
        <w:keepNext/>
        <w:spacing w:before="240" w:after="60"/>
        <w:ind w:firstLine="0"/>
        <w:outlineLvl w:val="1"/>
        <w:rPr>
          <w:bCs/>
          <w:i/>
          <w:iCs/>
          <w:szCs w:val="28"/>
        </w:rPr>
      </w:pPr>
      <w:r w:rsidRPr="00363E1C">
        <w:rPr>
          <w:bCs/>
          <w:i/>
          <w:iCs/>
          <w:szCs w:val="28"/>
        </w:rPr>
        <w:t>I.6</w:t>
      </w:r>
      <w:r w:rsidRPr="00363E1C">
        <w:rPr>
          <w:bCs/>
          <w:i/>
          <w:iCs/>
          <w:szCs w:val="28"/>
        </w:rPr>
        <w:tab/>
        <w:t>Koninkrijkspositie</w:t>
      </w:r>
    </w:p>
    <w:p w:rsidRPr="00B65B22" w:rsidR="00521456" w:rsidP="00521456" w:rsidRDefault="00521456" w14:paraId="061785CA" w14:textId="77777777">
      <w:pPr>
        <w:ind w:firstLine="720"/>
      </w:pPr>
      <w:r w:rsidRPr="00B65B22">
        <w:rPr>
          <w:rFonts w:cs="Arial"/>
          <w:szCs w:val="20"/>
        </w:rPr>
        <w:t xml:space="preserve">Het Verdrag zal voor </w:t>
      </w:r>
      <w:r w:rsidRPr="00B65B22" w:rsidR="00C56BF0">
        <w:rPr>
          <w:rFonts w:cs="Arial"/>
          <w:szCs w:val="20"/>
        </w:rPr>
        <w:t xml:space="preserve">wat </w:t>
      </w:r>
      <w:r w:rsidRPr="00B65B22">
        <w:rPr>
          <w:rFonts w:cs="Arial"/>
          <w:szCs w:val="20"/>
        </w:rPr>
        <w:t xml:space="preserve">het Koninkrijk der Nederlanden </w:t>
      </w:r>
      <w:r w:rsidRPr="00B65B22" w:rsidR="00C56BF0">
        <w:rPr>
          <w:rFonts w:cs="Arial"/>
          <w:szCs w:val="20"/>
        </w:rPr>
        <w:t xml:space="preserve">betreft </w:t>
      </w:r>
      <w:r w:rsidRPr="00B65B22">
        <w:rPr>
          <w:rFonts w:cs="Arial"/>
          <w:szCs w:val="20"/>
        </w:rPr>
        <w:t xml:space="preserve">gelden voor het Europese deel en voor het Caribische deel van Nederland. Wat betreft het Caribische deel van Nederland (de eilanden Bonaire, Sint Eustatius en Saba) is overeengekomen dat het Verdrag ook toepassing vindt op personen die inwoner daarvan zijn. De </w:t>
      </w:r>
      <w:r w:rsidRPr="00B65B22" w:rsidR="004B486E">
        <w:rPr>
          <w:rFonts w:cs="Arial"/>
          <w:szCs w:val="20"/>
        </w:rPr>
        <w:t xml:space="preserve">Caribische </w:t>
      </w:r>
      <w:r w:rsidRPr="00B65B22">
        <w:rPr>
          <w:rFonts w:cs="Arial"/>
          <w:szCs w:val="20"/>
        </w:rPr>
        <w:t xml:space="preserve">landen van het Koninkrijk (Aruba, Curaçao en Sint Maarten) zijn fiscaal autonoom en kunnen zelfstandig besluiten al dan niet in onderhandeling te treden met Cyprus over een belastingverdrag. Aruba, Curaçao en Sint Maarten kunnen ook de wens te kennen geven zich aan te sluiten bij het onderhavige verdrag. In verband hiermee bevat het Verdrag een bepaling op basis waarvan het verdrag kan worden uitgebreid tot de andere landen van het Koninkrijk (artikel 27). </w:t>
      </w:r>
    </w:p>
    <w:p w:rsidRPr="00B65B22" w:rsidR="00521456" w:rsidP="00521456" w:rsidRDefault="00521456" w14:paraId="4F744B22" w14:textId="77777777">
      <w:pPr>
        <w:ind w:firstLine="708"/>
        <w:rPr>
          <w:rFonts w:cs="Arial"/>
          <w:szCs w:val="20"/>
        </w:rPr>
      </w:pPr>
      <w:r w:rsidRPr="00B65B22">
        <w:rPr>
          <w:rFonts w:cs="Arial"/>
          <w:szCs w:val="20"/>
        </w:rPr>
        <w:t>Deze toelichtende nota is vooral geschreven vanuit het perspectief van het Europese deel van Nederland. Dit laat onverlet dat de toelichting evenzeer van belang is voor de relatie tussen Cyprus en het Caribische deel van Nederland. Daar waar nodig is ingegaan op de positie van het Caribische deel van Nederland.</w:t>
      </w:r>
    </w:p>
    <w:p w:rsidRPr="00B65B22" w:rsidR="00521456" w:rsidP="00521456" w:rsidRDefault="00521456" w14:paraId="3B732C65" w14:textId="77777777">
      <w:pPr>
        <w:pStyle w:val="Kop2"/>
        <w:numPr>
          <w:ilvl w:val="0"/>
          <w:numId w:val="0"/>
        </w:numPr>
        <w:rPr>
          <w:b w:val="0"/>
          <w:i/>
        </w:rPr>
      </w:pPr>
      <w:r w:rsidRPr="00B65B22">
        <w:rPr>
          <w:rFonts w:cs="Arial"/>
          <w:b w:val="0"/>
          <w:i/>
          <w:szCs w:val="20"/>
        </w:rPr>
        <w:t>I.7</w:t>
      </w:r>
      <w:r w:rsidRPr="00B65B22">
        <w:rPr>
          <w:rFonts w:cs="Arial"/>
          <w:b w:val="0"/>
          <w:i/>
          <w:szCs w:val="20"/>
        </w:rPr>
        <w:tab/>
        <w:t xml:space="preserve">Toetsschema Fiscaal Verdragsbeleid </w:t>
      </w:r>
    </w:p>
    <w:p w:rsidRPr="00B65B22" w:rsidR="00521456" w:rsidP="00521456" w:rsidRDefault="00521456" w14:paraId="4C7AFEC0" w14:textId="77777777">
      <w:pPr>
        <w:spacing w:after="240"/>
        <w:ind w:firstLine="720"/>
        <w:rPr>
          <w:rFonts w:cs="Arial"/>
          <w:szCs w:val="20"/>
        </w:rPr>
      </w:pPr>
      <w:r w:rsidRPr="00B65B22">
        <w:rPr>
          <w:rFonts w:cs="Arial"/>
          <w:szCs w:val="20"/>
        </w:rPr>
        <w:t>Het Toetsschema Fiscaal Verdragsbeleid 2011 is hierna opgenomen</w:t>
      </w:r>
      <w:r w:rsidRPr="00CF0A8D">
        <w:rPr>
          <w:rStyle w:val="Voetnootmarkering"/>
          <w:rFonts w:cs="Arial"/>
          <w:szCs w:val="20"/>
        </w:rPr>
        <w:footnoteReference w:id="12"/>
      </w:r>
      <w:r w:rsidRPr="00B65B22">
        <w:rPr>
          <w:rFonts w:cs="Arial"/>
          <w:szCs w:val="20"/>
        </w:rPr>
        <w:t xml:space="preserve">. In de rechterkolom van het toetsschema zijn de paragraafnummers uit deze toelichting opgenomen die corresponderen met de desbetreffende onderdelen van het schema. </w:t>
      </w:r>
    </w:p>
    <w:tbl>
      <w:tblPr>
        <w:tblpPr w:leftFromText="141" w:rightFromText="141" w:vertAnchor="text" w:tblpY="1"/>
        <w:tblOverlap w:val="never"/>
        <w:tblW w:w="9176" w:type="dxa"/>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shd w:val="clear" w:color="auto" w:fill="EBF7FF"/>
        <w:tblLayout w:type="fixed"/>
        <w:tblCellMar>
          <w:left w:w="70" w:type="dxa"/>
          <w:right w:w="70" w:type="dxa"/>
        </w:tblCellMar>
        <w:tblLook w:val="0000" w:firstRow="0" w:lastRow="0" w:firstColumn="0" w:lastColumn="0" w:noHBand="0" w:noVBand="0"/>
      </w:tblPr>
      <w:tblGrid>
        <w:gridCol w:w="693"/>
        <w:gridCol w:w="1350"/>
        <w:gridCol w:w="5002"/>
        <w:gridCol w:w="21"/>
        <w:gridCol w:w="16"/>
        <w:gridCol w:w="142"/>
        <w:gridCol w:w="125"/>
        <w:gridCol w:w="52"/>
        <w:gridCol w:w="23"/>
        <w:gridCol w:w="65"/>
        <w:gridCol w:w="267"/>
        <w:gridCol w:w="86"/>
        <w:gridCol w:w="342"/>
        <w:gridCol w:w="80"/>
        <w:gridCol w:w="353"/>
        <w:gridCol w:w="559"/>
      </w:tblGrid>
      <w:tr w:rsidRPr="00B65B22" w:rsidR="00521456" w:rsidTr="007E7EAD" w14:paraId="02FE8194" w14:textId="77777777">
        <w:trPr>
          <w:cantSplit/>
          <w:trHeight w:val="682"/>
          <w:tblHeader/>
        </w:trPr>
        <w:tc>
          <w:tcPr>
            <w:tcW w:w="693" w:type="dxa"/>
            <w:shd w:val="clear" w:color="auto" w:fill="BFBFBF"/>
            <w:textDirection w:val="btLr"/>
            <w:vAlign w:val="center"/>
          </w:tcPr>
          <w:p w:rsidRPr="00CF0A8D" w:rsidR="00521456" w:rsidP="00DE65D1" w:rsidRDefault="00521456" w14:paraId="258BE059" w14:textId="77777777">
            <w:pPr>
              <w:spacing w:line="276" w:lineRule="auto"/>
              <w:ind w:firstLine="0"/>
              <w:jc w:val="center"/>
              <w:rPr>
                <w:rFonts w:eastAsia="Calibri" w:cs="Arial"/>
                <w:sz w:val="16"/>
                <w:szCs w:val="16"/>
                <w:lang w:eastAsia="en-US"/>
              </w:rPr>
            </w:pPr>
            <w:r w:rsidRPr="00B65B22">
              <w:br w:type="page"/>
            </w:r>
            <w:r w:rsidRPr="00B65B22">
              <w:rPr>
                <w:sz w:val="26"/>
              </w:rPr>
              <w:t xml:space="preserve"> </w:t>
            </w:r>
            <w:r w:rsidRPr="00CF0A8D">
              <w:rPr>
                <w:rFonts w:eastAsia="Calibri" w:cs="Arial"/>
                <w:sz w:val="16"/>
                <w:szCs w:val="16"/>
                <w:lang w:eastAsia="en-US"/>
              </w:rPr>
              <w:t>NFV 2011</w:t>
            </w:r>
          </w:p>
        </w:tc>
        <w:tc>
          <w:tcPr>
            <w:tcW w:w="6352" w:type="dxa"/>
            <w:gridSpan w:val="2"/>
            <w:shd w:val="clear" w:color="auto" w:fill="BFBFBF"/>
            <w:vAlign w:val="center"/>
          </w:tcPr>
          <w:p w:rsidRPr="009C6DBA" w:rsidR="00521456" w:rsidP="00DE65D1" w:rsidRDefault="00521456" w14:paraId="022A6C96" w14:textId="77777777">
            <w:pPr>
              <w:spacing w:line="276" w:lineRule="auto"/>
              <w:ind w:firstLine="0"/>
              <w:jc w:val="center"/>
              <w:rPr>
                <w:rFonts w:eastAsia="Calibri" w:cs="Arial"/>
                <w:sz w:val="16"/>
                <w:szCs w:val="16"/>
                <w:lang w:eastAsia="en-US"/>
              </w:rPr>
            </w:pPr>
            <w:r w:rsidRPr="009C6DBA">
              <w:rPr>
                <w:rFonts w:eastAsia="Calibri" w:cs="Arial"/>
                <w:sz w:val="16"/>
                <w:szCs w:val="16"/>
                <w:lang w:eastAsia="en-US"/>
              </w:rPr>
              <w:t>Inzet</w:t>
            </w:r>
          </w:p>
        </w:tc>
        <w:tc>
          <w:tcPr>
            <w:tcW w:w="356" w:type="dxa"/>
            <w:gridSpan w:val="5"/>
            <w:shd w:val="clear" w:color="auto" w:fill="BFBFBF"/>
            <w:textDirection w:val="btLr"/>
            <w:vAlign w:val="bottom"/>
          </w:tcPr>
          <w:p w:rsidRPr="00363E1C" w:rsidR="00521456" w:rsidP="00DE65D1" w:rsidRDefault="00521456" w14:paraId="30945716" w14:textId="77777777">
            <w:pPr>
              <w:spacing w:line="276" w:lineRule="auto"/>
              <w:ind w:left="113" w:right="113" w:firstLine="0"/>
              <w:rPr>
                <w:rFonts w:eastAsia="Calibri" w:cs="Arial"/>
                <w:sz w:val="16"/>
                <w:szCs w:val="16"/>
                <w:lang w:eastAsia="en-US"/>
              </w:rPr>
            </w:pPr>
            <w:r w:rsidRPr="00363E1C">
              <w:rPr>
                <w:rFonts w:eastAsia="Calibri" w:cs="Arial"/>
                <w:sz w:val="16"/>
                <w:szCs w:val="16"/>
                <w:lang w:eastAsia="en-US"/>
              </w:rPr>
              <w:t>Ja</w:t>
            </w:r>
          </w:p>
        </w:tc>
        <w:tc>
          <w:tcPr>
            <w:tcW w:w="355" w:type="dxa"/>
            <w:gridSpan w:val="3"/>
            <w:shd w:val="clear" w:color="auto" w:fill="BFBFBF"/>
            <w:textDirection w:val="btLr"/>
            <w:vAlign w:val="bottom"/>
          </w:tcPr>
          <w:p w:rsidRPr="00363E1C" w:rsidR="00521456" w:rsidP="00DE65D1" w:rsidRDefault="00521456" w14:paraId="45DDC15C" w14:textId="77777777">
            <w:pPr>
              <w:spacing w:line="276" w:lineRule="auto"/>
              <w:ind w:left="113" w:right="113" w:firstLine="0"/>
              <w:rPr>
                <w:rFonts w:eastAsia="Calibri" w:cs="Arial"/>
                <w:sz w:val="16"/>
                <w:szCs w:val="16"/>
                <w:lang w:eastAsia="en-US"/>
              </w:rPr>
            </w:pPr>
            <w:r w:rsidRPr="00363E1C">
              <w:rPr>
                <w:rFonts w:eastAsia="Calibri" w:cs="Arial"/>
                <w:sz w:val="16"/>
                <w:szCs w:val="16"/>
                <w:lang w:eastAsia="en-US"/>
              </w:rPr>
              <w:t>Deels</w:t>
            </w:r>
          </w:p>
        </w:tc>
        <w:tc>
          <w:tcPr>
            <w:tcW w:w="428" w:type="dxa"/>
            <w:gridSpan w:val="2"/>
            <w:shd w:val="clear" w:color="auto" w:fill="BFBFBF"/>
            <w:textDirection w:val="btLr"/>
            <w:vAlign w:val="bottom"/>
          </w:tcPr>
          <w:p w:rsidRPr="00363E1C" w:rsidR="00521456" w:rsidP="00DE65D1" w:rsidRDefault="00521456" w14:paraId="674FB325" w14:textId="77777777">
            <w:pPr>
              <w:spacing w:line="276" w:lineRule="auto"/>
              <w:ind w:left="113" w:right="113" w:firstLine="0"/>
              <w:rPr>
                <w:rFonts w:eastAsia="Calibri" w:cs="Arial"/>
                <w:sz w:val="16"/>
                <w:szCs w:val="16"/>
                <w:lang w:eastAsia="en-US"/>
              </w:rPr>
            </w:pPr>
            <w:r w:rsidRPr="00363E1C">
              <w:rPr>
                <w:rFonts w:eastAsia="Calibri" w:cs="Arial"/>
                <w:sz w:val="16"/>
                <w:szCs w:val="16"/>
                <w:lang w:eastAsia="en-US"/>
              </w:rPr>
              <w:t>Nee</w:t>
            </w:r>
          </w:p>
        </w:tc>
        <w:tc>
          <w:tcPr>
            <w:tcW w:w="433" w:type="dxa"/>
            <w:gridSpan w:val="2"/>
            <w:shd w:val="clear" w:color="auto" w:fill="BFBFBF"/>
            <w:textDirection w:val="btLr"/>
            <w:vAlign w:val="bottom"/>
          </w:tcPr>
          <w:p w:rsidRPr="00363E1C" w:rsidR="00521456" w:rsidP="00DE65D1" w:rsidRDefault="00521456" w14:paraId="779892A4" w14:textId="77777777">
            <w:pPr>
              <w:spacing w:line="276" w:lineRule="auto"/>
              <w:ind w:left="113" w:right="113" w:firstLine="0"/>
              <w:rPr>
                <w:rFonts w:eastAsia="Calibri" w:cs="Arial"/>
                <w:sz w:val="16"/>
                <w:szCs w:val="16"/>
                <w:lang w:eastAsia="en-US"/>
              </w:rPr>
            </w:pPr>
            <w:r w:rsidRPr="00363E1C">
              <w:rPr>
                <w:rFonts w:eastAsia="Calibri" w:cs="Arial"/>
                <w:sz w:val="16"/>
                <w:szCs w:val="16"/>
                <w:lang w:eastAsia="en-US"/>
              </w:rPr>
              <w:t>N.v.t.</w:t>
            </w:r>
          </w:p>
        </w:tc>
        <w:tc>
          <w:tcPr>
            <w:tcW w:w="559" w:type="dxa"/>
            <w:shd w:val="clear" w:color="auto" w:fill="BFBFBF"/>
            <w:textDirection w:val="btLr"/>
            <w:vAlign w:val="center"/>
          </w:tcPr>
          <w:p w:rsidRPr="00B65B22" w:rsidR="00521456" w:rsidP="00DE65D1" w:rsidRDefault="00521456" w14:paraId="333E959D" w14:textId="77777777">
            <w:pPr>
              <w:spacing w:line="276" w:lineRule="auto"/>
              <w:ind w:left="113" w:right="113" w:firstLine="0"/>
              <w:rPr>
                <w:rFonts w:eastAsia="Calibri" w:cs="Arial"/>
                <w:sz w:val="16"/>
                <w:szCs w:val="16"/>
                <w:lang w:eastAsia="en-US"/>
              </w:rPr>
            </w:pPr>
            <w:r w:rsidRPr="00B65B22">
              <w:rPr>
                <w:rFonts w:eastAsia="Calibri" w:cs="Arial"/>
                <w:sz w:val="16"/>
                <w:szCs w:val="16"/>
                <w:lang w:eastAsia="en-US"/>
              </w:rPr>
              <w:t>Zie par.</w:t>
            </w:r>
          </w:p>
        </w:tc>
      </w:tr>
      <w:tr w:rsidRPr="00B65B22" w:rsidR="00521456" w:rsidTr="007E7EAD" w14:paraId="390B9B2B" w14:textId="77777777">
        <w:trPr>
          <w:gridAfter w:val="10"/>
          <w:wAfter w:w="1952" w:type="dxa"/>
          <w:cantSplit/>
          <w:trHeight w:val="403"/>
        </w:trPr>
        <w:tc>
          <w:tcPr>
            <w:tcW w:w="693" w:type="dxa"/>
            <w:shd w:val="clear" w:color="auto" w:fill="FFFFFF"/>
            <w:vAlign w:val="center"/>
          </w:tcPr>
          <w:p w:rsidRPr="00B65B22" w:rsidR="00521456" w:rsidP="00DE65D1" w:rsidRDefault="00521456" w14:paraId="78BDC090" w14:textId="77777777">
            <w:pPr>
              <w:spacing w:line="276" w:lineRule="auto"/>
              <w:ind w:firstLine="0"/>
              <w:jc w:val="right"/>
              <w:rPr>
                <w:rFonts w:eastAsia="Calibri" w:cs="Arial"/>
                <w:sz w:val="16"/>
                <w:szCs w:val="16"/>
                <w:lang w:eastAsia="en-US"/>
              </w:rPr>
            </w:pPr>
          </w:p>
        </w:tc>
        <w:tc>
          <w:tcPr>
            <w:tcW w:w="6531" w:type="dxa"/>
            <w:gridSpan w:val="5"/>
            <w:shd w:val="clear" w:color="auto" w:fill="FFFFFF"/>
            <w:vAlign w:val="center"/>
          </w:tcPr>
          <w:p w:rsidRPr="00B65B22" w:rsidR="00521456" w:rsidP="00DE65D1" w:rsidRDefault="00521456" w14:paraId="22913E31" w14:textId="77777777">
            <w:pPr>
              <w:spacing w:line="276" w:lineRule="auto"/>
              <w:ind w:firstLine="0"/>
              <w:rPr>
                <w:rFonts w:cs="Arial"/>
                <w:b/>
                <w:sz w:val="16"/>
                <w:szCs w:val="16"/>
              </w:rPr>
            </w:pPr>
            <w:r w:rsidRPr="00B65B22">
              <w:rPr>
                <w:rFonts w:eastAsia="Calibri" w:cs="Arial"/>
                <w:b/>
                <w:sz w:val="16"/>
                <w:szCs w:val="16"/>
                <w:lang w:eastAsia="en-US"/>
              </w:rPr>
              <w:t>Algemeen</w:t>
            </w:r>
          </w:p>
        </w:tc>
      </w:tr>
      <w:tr w:rsidRPr="00B65B22" w:rsidR="00521456" w:rsidTr="007E7EAD" w14:paraId="3B7A8764" w14:textId="77777777">
        <w:trPr>
          <w:trHeight w:val="255"/>
        </w:trPr>
        <w:tc>
          <w:tcPr>
            <w:tcW w:w="693" w:type="dxa"/>
            <w:shd w:val="clear" w:color="auto" w:fill="BFBFBF"/>
            <w:vAlign w:val="center"/>
          </w:tcPr>
          <w:p w:rsidRPr="00B65B22" w:rsidR="00521456" w:rsidP="00DE65D1" w:rsidRDefault="00521456" w14:paraId="0D4C9166" w14:textId="77777777">
            <w:pPr>
              <w:spacing w:line="276" w:lineRule="auto"/>
              <w:ind w:firstLine="0"/>
              <w:jc w:val="right"/>
              <w:rPr>
                <w:rFonts w:eastAsia="Calibri" w:cs="Arial"/>
                <w:sz w:val="16"/>
                <w:szCs w:val="16"/>
                <w:lang w:eastAsia="en-US"/>
              </w:rPr>
            </w:pPr>
            <w:r w:rsidRPr="00B65B22">
              <w:rPr>
                <w:rFonts w:eastAsia="Calibri" w:cs="Arial"/>
                <w:sz w:val="16"/>
                <w:szCs w:val="16"/>
                <w:lang w:eastAsia="en-US"/>
              </w:rPr>
              <w:t>IV</w:t>
            </w:r>
          </w:p>
        </w:tc>
        <w:tc>
          <w:tcPr>
            <w:tcW w:w="6352" w:type="dxa"/>
            <w:gridSpan w:val="2"/>
            <w:shd w:val="clear" w:color="auto" w:fill="007BC7"/>
            <w:vAlign w:val="center"/>
          </w:tcPr>
          <w:p w:rsidRPr="00B65B22" w:rsidR="00521456" w:rsidP="00DE65D1" w:rsidRDefault="00521456" w14:paraId="4D72A230" w14:textId="77777777">
            <w:pPr>
              <w:spacing w:line="276" w:lineRule="auto"/>
              <w:ind w:firstLine="0"/>
              <w:rPr>
                <w:rFonts w:eastAsia="Calibri" w:cs="Arial"/>
                <w:color w:val="FFFFFF"/>
                <w:sz w:val="16"/>
                <w:szCs w:val="16"/>
                <w:lang w:eastAsia="en-US"/>
              </w:rPr>
            </w:pPr>
            <w:r w:rsidRPr="00B65B22">
              <w:rPr>
                <w:rFonts w:eastAsia="Calibri" w:cs="Arial"/>
                <w:color w:val="FFFFFF"/>
                <w:sz w:val="16"/>
                <w:szCs w:val="16"/>
                <w:lang w:eastAsia="en-US"/>
              </w:rPr>
              <w:t>Globaal beslisschema voor het aangaan van verdragsrelaties gevolgd</w:t>
            </w:r>
          </w:p>
        </w:tc>
        <w:tc>
          <w:tcPr>
            <w:tcW w:w="356" w:type="dxa"/>
            <w:gridSpan w:val="5"/>
            <w:shd w:val="clear" w:color="auto" w:fill="BFBFBF"/>
            <w:vAlign w:val="center"/>
          </w:tcPr>
          <w:p w:rsidRPr="00CF0A8D" w:rsidR="00521456" w:rsidP="00DE65D1" w:rsidRDefault="00521456" w14:paraId="41C4E4C1" w14:textId="77777777">
            <w:pPr>
              <w:spacing w:line="276" w:lineRule="auto"/>
              <w:ind w:firstLine="0"/>
              <w:jc w:val="center"/>
              <w:rPr>
                <w:rFonts w:eastAsia="Calibri" w:cs="Arial"/>
                <w:b/>
                <w:color w:val="007BC7"/>
                <w:sz w:val="16"/>
                <w:szCs w:val="16"/>
                <w:lang w:eastAsia="en-US"/>
              </w:rPr>
            </w:pPr>
            <w:r w:rsidRPr="00CF0A8D">
              <w:rPr>
                <w:rFonts w:eastAsia="Calibri" w:cs="Arial"/>
                <w:b/>
                <w:color w:val="007BC7"/>
                <w:sz w:val="16"/>
                <w:szCs w:val="16"/>
                <w:lang w:eastAsia="en-US"/>
              </w:rPr>
              <w:t>X</w:t>
            </w:r>
          </w:p>
        </w:tc>
        <w:tc>
          <w:tcPr>
            <w:tcW w:w="355" w:type="dxa"/>
            <w:gridSpan w:val="3"/>
            <w:shd w:val="clear" w:color="auto" w:fill="BFBFBF"/>
          </w:tcPr>
          <w:p w:rsidRPr="009C6DBA" w:rsidR="00521456" w:rsidP="00DE65D1" w:rsidRDefault="00521456" w14:paraId="3988875F" w14:textId="77777777">
            <w:pPr>
              <w:jc w:val="center"/>
              <w:rPr>
                <w:rFonts w:eastAsia="Calibri" w:cs="Arial"/>
                <w:b/>
                <w:color w:val="007BC7"/>
                <w:sz w:val="16"/>
                <w:szCs w:val="16"/>
                <w:lang w:eastAsia="en-US"/>
              </w:rPr>
            </w:pPr>
          </w:p>
        </w:tc>
        <w:tc>
          <w:tcPr>
            <w:tcW w:w="428" w:type="dxa"/>
            <w:gridSpan w:val="2"/>
            <w:shd w:val="clear" w:color="auto" w:fill="BFBFBF"/>
          </w:tcPr>
          <w:p w:rsidRPr="00363E1C" w:rsidR="00521456" w:rsidP="00DE65D1" w:rsidRDefault="00521456" w14:paraId="45BE1763" w14:textId="77777777">
            <w:pPr>
              <w:jc w:val="center"/>
              <w:rPr>
                <w:rFonts w:eastAsia="Calibri" w:cs="Arial"/>
                <w:b/>
                <w:color w:val="007BC7"/>
                <w:sz w:val="16"/>
                <w:szCs w:val="16"/>
                <w:lang w:eastAsia="en-US"/>
              </w:rPr>
            </w:pPr>
          </w:p>
        </w:tc>
        <w:tc>
          <w:tcPr>
            <w:tcW w:w="433" w:type="dxa"/>
            <w:gridSpan w:val="2"/>
            <w:shd w:val="clear" w:color="auto" w:fill="BFBFBF"/>
          </w:tcPr>
          <w:p w:rsidRPr="00363E1C" w:rsidR="00521456" w:rsidP="00DE65D1" w:rsidRDefault="00521456" w14:paraId="2893FC92" w14:textId="77777777">
            <w:pPr>
              <w:spacing w:line="276" w:lineRule="auto"/>
              <w:ind w:firstLine="0"/>
              <w:jc w:val="center"/>
              <w:rPr>
                <w:rFonts w:eastAsia="Calibri" w:cs="Arial"/>
                <w:b/>
                <w:color w:val="007BC7"/>
                <w:sz w:val="16"/>
                <w:szCs w:val="16"/>
                <w:lang w:eastAsia="en-US"/>
              </w:rPr>
            </w:pPr>
          </w:p>
        </w:tc>
        <w:tc>
          <w:tcPr>
            <w:tcW w:w="559" w:type="dxa"/>
            <w:shd w:val="clear" w:color="auto" w:fill="BFBFBF"/>
            <w:vAlign w:val="center"/>
          </w:tcPr>
          <w:p w:rsidRPr="00363E1C" w:rsidR="00521456" w:rsidP="00DE65D1" w:rsidRDefault="00521456" w14:paraId="504D2B14" w14:textId="77777777">
            <w:pPr>
              <w:spacing w:line="276" w:lineRule="auto"/>
              <w:ind w:firstLine="0"/>
              <w:rPr>
                <w:rFonts w:eastAsia="Calibri" w:cs="Arial"/>
                <w:sz w:val="16"/>
                <w:szCs w:val="16"/>
                <w:lang w:eastAsia="en-US"/>
              </w:rPr>
            </w:pPr>
            <w:r w:rsidRPr="00363E1C">
              <w:rPr>
                <w:rFonts w:eastAsia="Calibri" w:cs="Arial"/>
                <w:sz w:val="16"/>
                <w:szCs w:val="16"/>
                <w:lang w:eastAsia="en-US"/>
              </w:rPr>
              <w:t>I.0</w:t>
            </w:r>
          </w:p>
        </w:tc>
      </w:tr>
      <w:tr w:rsidRPr="00B65B22" w:rsidR="00521456" w:rsidTr="007E7EAD" w14:paraId="1BD1342A" w14:textId="77777777">
        <w:trPr>
          <w:trHeight w:val="532"/>
        </w:trPr>
        <w:tc>
          <w:tcPr>
            <w:tcW w:w="693" w:type="dxa"/>
            <w:shd w:val="clear" w:color="auto" w:fill="BFBFBF"/>
            <w:vAlign w:val="center"/>
          </w:tcPr>
          <w:p w:rsidRPr="00B65B22" w:rsidR="00521456" w:rsidP="00DE65D1" w:rsidRDefault="00521456" w14:paraId="66A8DB19" w14:textId="77777777">
            <w:pPr>
              <w:spacing w:line="276" w:lineRule="auto"/>
              <w:ind w:firstLine="0"/>
              <w:jc w:val="right"/>
              <w:rPr>
                <w:rFonts w:eastAsia="Calibri" w:cs="Arial"/>
                <w:sz w:val="16"/>
                <w:szCs w:val="16"/>
                <w:lang w:eastAsia="en-US"/>
              </w:rPr>
            </w:pPr>
            <w:r w:rsidRPr="00B65B22">
              <w:rPr>
                <w:rFonts w:eastAsia="Calibri" w:cs="Arial"/>
                <w:sz w:val="16"/>
                <w:szCs w:val="16"/>
                <w:lang w:eastAsia="en-US"/>
              </w:rPr>
              <w:t>1.2.6</w:t>
            </w:r>
          </w:p>
        </w:tc>
        <w:tc>
          <w:tcPr>
            <w:tcW w:w="6352" w:type="dxa"/>
            <w:gridSpan w:val="2"/>
            <w:shd w:val="clear" w:color="auto" w:fill="007BC7"/>
            <w:vAlign w:val="center"/>
          </w:tcPr>
          <w:p w:rsidRPr="00B65B22" w:rsidR="00521456" w:rsidP="00DE65D1" w:rsidRDefault="00521456" w14:paraId="76EA2AC4" w14:textId="77777777">
            <w:pPr>
              <w:spacing w:line="276" w:lineRule="auto"/>
              <w:ind w:firstLine="0"/>
              <w:rPr>
                <w:rFonts w:eastAsia="Calibri" w:cs="Arial"/>
                <w:color w:val="FFFFFF"/>
                <w:sz w:val="16"/>
                <w:szCs w:val="16"/>
                <w:lang w:eastAsia="en-US"/>
              </w:rPr>
            </w:pPr>
            <w:r w:rsidRPr="00B65B22">
              <w:rPr>
                <w:rFonts w:eastAsia="Calibri" w:cs="Arial"/>
                <w:color w:val="FFFFFF"/>
                <w:sz w:val="16"/>
                <w:szCs w:val="16"/>
                <w:lang w:eastAsia="en-US"/>
              </w:rPr>
              <w:t>Bijzonder regime geheel of gedeeltelijk uitgezonderd van verdragsvoordelen in gevallen waarin het risico op verdragsmisbruik bestaat</w:t>
            </w:r>
          </w:p>
        </w:tc>
        <w:tc>
          <w:tcPr>
            <w:tcW w:w="356" w:type="dxa"/>
            <w:gridSpan w:val="5"/>
            <w:shd w:val="clear" w:color="auto" w:fill="BFBFBF"/>
            <w:vAlign w:val="center"/>
          </w:tcPr>
          <w:p w:rsidRPr="00CF0A8D" w:rsidR="00521456" w:rsidP="00DE65D1" w:rsidRDefault="00521456" w14:paraId="1077957F" w14:textId="77777777">
            <w:pPr>
              <w:spacing w:line="276" w:lineRule="auto"/>
              <w:ind w:firstLine="0"/>
              <w:jc w:val="center"/>
              <w:rPr>
                <w:rFonts w:eastAsia="Calibri" w:cs="Arial"/>
                <w:b/>
                <w:color w:val="007BC7"/>
                <w:sz w:val="16"/>
                <w:szCs w:val="16"/>
                <w:lang w:eastAsia="en-US"/>
              </w:rPr>
            </w:pPr>
            <w:r w:rsidRPr="00CF0A8D">
              <w:rPr>
                <w:rFonts w:eastAsia="Calibri" w:cs="Arial"/>
                <w:b/>
                <w:color w:val="007BC7"/>
                <w:sz w:val="16"/>
                <w:szCs w:val="16"/>
                <w:lang w:eastAsia="en-US"/>
              </w:rPr>
              <w:t>X</w:t>
            </w:r>
          </w:p>
        </w:tc>
        <w:tc>
          <w:tcPr>
            <w:tcW w:w="355" w:type="dxa"/>
            <w:gridSpan w:val="3"/>
            <w:shd w:val="clear" w:color="auto" w:fill="BFBFBF"/>
          </w:tcPr>
          <w:p w:rsidRPr="009C6DBA" w:rsidR="00521456" w:rsidP="00DE65D1" w:rsidRDefault="00521456" w14:paraId="56AED904" w14:textId="77777777">
            <w:pPr>
              <w:ind w:left="-548" w:right="-83" w:firstLine="533"/>
              <w:jc w:val="center"/>
              <w:rPr>
                <w:rFonts w:eastAsia="Calibri" w:cs="Arial"/>
                <w:b/>
                <w:color w:val="007BC7"/>
                <w:sz w:val="16"/>
                <w:szCs w:val="16"/>
                <w:lang w:eastAsia="en-US"/>
              </w:rPr>
            </w:pPr>
          </w:p>
        </w:tc>
        <w:tc>
          <w:tcPr>
            <w:tcW w:w="428" w:type="dxa"/>
            <w:gridSpan w:val="2"/>
            <w:shd w:val="clear" w:color="auto" w:fill="BFBFBF"/>
          </w:tcPr>
          <w:p w:rsidRPr="00363E1C" w:rsidR="00521456" w:rsidP="00DE65D1" w:rsidRDefault="00521456" w14:paraId="0CC84AEB" w14:textId="77777777">
            <w:pPr>
              <w:jc w:val="center"/>
              <w:rPr>
                <w:rFonts w:eastAsia="Calibri" w:cs="Arial"/>
                <w:b/>
                <w:color w:val="007BC7"/>
                <w:sz w:val="16"/>
                <w:szCs w:val="16"/>
                <w:lang w:eastAsia="en-US"/>
              </w:rPr>
            </w:pPr>
          </w:p>
        </w:tc>
        <w:tc>
          <w:tcPr>
            <w:tcW w:w="433" w:type="dxa"/>
            <w:gridSpan w:val="2"/>
            <w:shd w:val="clear" w:color="auto" w:fill="BFBFBF"/>
          </w:tcPr>
          <w:p w:rsidRPr="00363E1C" w:rsidR="00521456" w:rsidP="00DE65D1" w:rsidRDefault="00521456" w14:paraId="7AEED263" w14:textId="77777777">
            <w:pPr>
              <w:spacing w:line="276" w:lineRule="auto"/>
              <w:ind w:firstLine="0"/>
              <w:jc w:val="center"/>
              <w:rPr>
                <w:rFonts w:eastAsia="Calibri" w:cs="Arial"/>
                <w:b/>
                <w:color w:val="007BC7"/>
                <w:sz w:val="16"/>
                <w:szCs w:val="16"/>
                <w:lang w:eastAsia="en-US"/>
              </w:rPr>
            </w:pPr>
          </w:p>
        </w:tc>
        <w:tc>
          <w:tcPr>
            <w:tcW w:w="559" w:type="dxa"/>
            <w:shd w:val="clear" w:color="auto" w:fill="BFBFBF"/>
            <w:vAlign w:val="center"/>
          </w:tcPr>
          <w:p w:rsidRPr="00363E1C" w:rsidR="00521456" w:rsidP="00DE65D1" w:rsidRDefault="00521456" w14:paraId="370A28EF" w14:textId="77777777">
            <w:pPr>
              <w:spacing w:line="276" w:lineRule="auto"/>
              <w:ind w:firstLine="0"/>
              <w:rPr>
                <w:rFonts w:eastAsia="Calibri" w:cs="Arial"/>
                <w:sz w:val="16"/>
                <w:szCs w:val="16"/>
                <w:lang w:eastAsia="en-US"/>
              </w:rPr>
            </w:pPr>
            <w:r w:rsidRPr="00363E1C">
              <w:rPr>
                <w:rFonts w:eastAsia="Calibri" w:cs="Arial"/>
                <w:sz w:val="16"/>
                <w:szCs w:val="16"/>
                <w:lang w:eastAsia="en-US"/>
              </w:rPr>
              <w:t>II.10</w:t>
            </w:r>
          </w:p>
        </w:tc>
      </w:tr>
      <w:tr w:rsidRPr="00B65B22" w:rsidR="00521456" w:rsidTr="007E7EAD" w14:paraId="09B710C3" w14:textId="77777777">
        <w:trPr>
          <w:trHeight w:val="255"/>
        </w:trPr>
        <w:tc>
          <w:tcPr>
            <w:tcW w:w="693" w:type="dxa"/>
            <w:shd w:val="clear" w:color="auto" w:fill="BFBFBF"/>
            <w:vAlign w:val="center"/>
          </w:tcPr>
          <w:p w:rsidRPr="00B65B22" w:rsidR="00521456" w:rsidP="00DE65D1" w:rsidRDefault="00521456" w14:paraId="43CAF2D8" w14:textId="77777777">
            <w:pPr>
              <w:spacing w:line="276" w:lineRule="auto"/>
              <w:ind w:firstLine="0"/>
              <w:jc w:val="right"/>
              <w:rPr>
                <w:rFonts w:eastAsia="Calibri" w:cs="Arial"/>
                <w:sz w:val="16"/>
                <w:szCs w:val="16"/>
                <w:lang w:eastAsia="en-US"/>
              </w:rPr>
            </w:pPr>
            <w:r w:rsidRPr="00B65B22">
              <w:rPr>
                <w:rFonts w:eastAsia="Calibri" w:cs="Arial"/>
                <w:sz w:val="16"/>
                <w:szCs w:val="16"/>
                <w:lang w:eastAsia="en-US"/>
              </w:rPr>
              <w:t>1.3.5</w:t>
            </w:r>
          </w:p>
        </w:tc>
        <w:tc>
          <w:tcPr>
            <w:tcW w:w="6352" w:type="dxa"/>
            <w:gridSpan w:val="2"/>
            <w:shd w:val="clear" w:color="auto" w:fill="007BC7"/>
            <w:vAlign w:val="center"/>
          </w:tcPr>
          <w:p w:rsidRPr="00B65B22" w:rsidR="00521456" w:rsidP="00DE65D1" w:rsidRDefault="00521456" w14:paraId="5BD31C2A" w14:textId="77777777">
            <w:pPr>
              <w:spacing w:line="276" w:lineRule="auto"/>
              <w:ind w:firstLine="0"/>
              <w:rPr>
                <w:rFonts w:eastAsia="Calibri" w:cs="Arial"/>
                <w:color w:val="FFFFFF"/>
                <w:sz w:val="16"/>
                <w:szCs w:val="16"/>
                <w:lang w:eastAsia="en-US"/>
              </w:rPr>
            </w:pPr>
            <w:r w:rsidRPr="00B65B22">
              <w:rPr>
                <w:rFonts w:eastAsia="Calibri" w:cs="Arial"/>
                <w:color w:val="FFFFFF"/>
                <w:sz w:val="16"/>
                <w:szCs w:val="16"/>
                <w:lang w:eastAsia="en-US"/>
              </w:rPr>
              <w:t>Bronstaat verleent ook verdragsvoordelen aan in Nederland gelegen vaste inrichting die zich in dezelfde situatie bevindt als inwoners van Nederland</w:t>
            </w:r>
          </w:p>
        </w:tc>
        <w:tc>
          <w:tcPr>
            <w:tcW w:w="356" w:type="dxa"/>
            <w:gridSpan w:val="5"/>
            <w:shd w:val="clear" w:color="auto" w:fill="BFBFBF"/>
            <w:vAlign w:val="center"/>
          </w:tcPr>
          <w:p w:rsidRPr="00B65B22" w:rsidR="00521456" w:rsidP="00DE65D1" w:rsidRDefault="00521456" w14:paraId="4CEC4CFA" w14:textId="77777777">
            <w:pPr>
              <w:spacing w:line="276" w:lineRule="auto"/>
              <w:ind w:firstLine="0"/>
              <w:jc w:val="center"/>
              <w:rPr>
                <w:rFonts w:eastAsia="Calibri" w:cs="Arial"/>
                <w:b/>
                <w:color w:val="007BC7"/>
                <w:sz w:val="16"/>
                <w:szCs w:val="16"/>
                <w:lang w:eastAsia="en-US"/>
              </w:rPr>
            </w:pPr>
          </w:p>
        </w:tc>
        <w:tc>
          <w:tcPr>
            <w:tcW w:w="355" w:type="dxa"/>
            <w:gridSpan w:val="3"/>
            <w:shd w:val="clear" w:color="auto" w:fill="BFBFBF"/>
          </w:tcPr>
          <w:p w:rsidRPr="00B65B22" w:rsidR="00521456" w:rsidP="00DE65D1" w:rsidRDefault="00521456" w14:paraId="2051E4DE" w14:textId="77777777">
            <w:pPr>
              <w:spacing w:line="276" w:lineRule="auto"/>
              <w:ind w:firstLine="0"/>
              <w:rPr>
                <w:rFonts w:eastAsia="Calibri" w:cs="Arial"/>
                <w:b/>
                <w:color w:val="007BC7"/>
                <w:sz w:val="16"/>
                <w:szCs w:val="16"/>
                <w:lang w:eastAsia="en-US"/>
              </w:rPr>
            </w:pPr>
          </w:p>
        </w:tc>
        <w:tc>
          <w:tcPr>
            <w:tcW w:w="428" w:type="dxa"/>
            <w:gridSpan w:val="2"/>
            <w:shd w:val="clear" w:color="auto" w:fill="BFBFBF"/>
          </w:tcPr>
          <w:p w:rsidRPr="00CF0A8D" w:rsidR="00521456" w:rsidP="00DE65D1" w:rsidRDefault="007E7EAD" w14:paraId="00C5EE85" w14:textId="77777777">
            <w:pPr>
              <w:spacing w:line="276" w:lineRule="auto"/>
              <w:ind w:firstLine="0"/>
              <w:jc w:val="center"/>
              <w:rPr>
                <w:rFonts w:eastAsia="Calibri" w:cs="Arial"/>
                <w:b/>
                <w:color w:val="007BC7"/>
                <w:sz w:val="16"/>
                <w:szCs w:val="16"/>
                <w:lang w:eastAsia="en-US"/>
              </w:rPr>
            </w:pPr>
            <w:r w:rsidRPr="00CF0A8D">
              <w:rPr>
                <w:rFonts w:eastAsia="Calibri" w:cs="Arial"/>
                <w:b/>
                <w:color w:val="007BC7"/>
                <w:sz w:val="16"/>
                <w:szCs w:val="16"/>
                <w:lang w:eastAsia="en-US"/>
              </w:rPr>
              <w:t>X</w:t>
            </w:r>
          </w:p>
        </w:tc>
        <w:tc>
          <w:tcPr>
            <w:tcW w:w="433" w:type="dxa"/>
            <w:gridSpan w:val="2"/>
            <w:shd w:val="clear" w:color="auto" w:fill="BFBFBF"/>
          </w:tcPr>
          <w:p w:rsidRPr="009C6DBA" w:rsidR="00521456" w:rsidP="00DE65D1" w:rsidRDefault="00521456" w14:paraId="445C1DF0" w14:textId="77777777">
            <w:pPr>
              <w:spacing w:line="276" w:lineRule="auto"/>
              <w:ind w:firstLine="0"/>
              <w:rPr>
                <w:rFonts w:eastAsia="Calibri" w:cs="Arial"/>
                <w:b/>
                <w:color w:val="007BC7"/>
                <w:sz w:val="16"/>
                <w:szCs w:val="16"/>
                <w:lang w:eastAsia="en-US"/>
              </w:rPr>
            </w:pPr>
          </w:p>
        </w:tc>
        <w:tc>
          <w:tcPr>
            <w:tcW w:w="559" w:type="dxa"/>
            <w:shd w:val="clear" w:color="auto" w:fill="BFBFBF"/>
            <w:vAlign w:val="center"/>
          </w:tcPr>
          <w:p w:rsidRPr="00363E1C" w:rsidR="00521456" w:rsidP="00DE65D1" w:rsidRDefault="00521456" w14:paraId="1CF54DD1" w14:textId="77777777">
            <w:pPr>
              <w:spacing w:line="276" w:lineRule="auto"/>
              <w:ind w:firstLine="0"/>
              <w:rPr>
                <w:rFonts w:eastAsia="Calibri" w:cs="Arial"/>
                <w:sz w:val="16"/>
                <w:szCs w:val="16"/>
                <w:lang w:eastAsia="en-US"/>
              </w:rPr>
            </w:pPr>
          </w:p>
        </w:tc>
      </w:tr>
      <w:tr w:rsidRPr="00B65B22" w:rsidR="00521456" w:rsidTr="007E7EAD" w14:paraId="331F6F0A" w14:textId="77777777">
        <w:trPr>
          <w:trHeight w:val="255"/>
        </w:trPr>
        <w:tc>
          <w:tcPr>
            <w:tcW w:w="693" w:type="dxa"/>
            <w:shd w:val="clear" w:color="auto" w:fill="BFBFBF"/>
            <w:vAlign w:val="center"/>
          </w:tcPr>
          <w:p w:rsidRPr="00B65B22" w:rsidR="00521456" w:rsidP="00DE65D1" w:rsidRDefault="00521456" w14:paraId="4F0AC768" w14:textId="77777777">
            <w:pPr>
              <w:spacing w:line="276" w:lineRule="auto"/>
              <w:ind w:firstLine="0"/>
              <w:jc w:val="right"/>
              <w:rPr>
                <w:rFonts w:eastAsia="Calibri" w:cs="Arial"/>
                <w:sz w:val="16"/>
                <w:szCs w:val="16"/>
                <w:lang w:eastAsia="en-US"/>
              </w:rPr>
            </w:pPr>
            <w:r w:rsidRPr="00B65B22">
              <w:rPr>
                <w:rFonts w:eastAsia="Calibri" w:cs="Arial"/>
                <w:sz w:val="16"/>
                <w:szCs w:val="16"/>
                <w:lang w:eastAsia="en-US"/>
              </w:rPr>
              <w:t>III</w:t>
            </w:r>
          </w:p>
        </w:tc>
        <w:tc>
          <w:tcPr>
            <w:tcW w:w="6352" w:type="dxa"/>
            <w:gridSpan w:val="2"/>
            <w:shd w:val="clear" w:color="auto" w:fill="007BC7"/>
            <w:vAlign w:val="center"/>
          </w:tcPr>
          <w:p w:rsidRPr="00B65B22" w:rsidR="00521456" w:rsidP="00CA33B2" w:rsidRDefault="00521456" w14:paraId="6B90ADF4" w14:textId="77777777">
            <w:pPr>
              <w:spacing w:line="276" w:lineRule="auto"/>
              <w:ind w:firstLine="0"/>
              <w:rPr>
                <w:rFonts w:eastAsia="Calibri" w:cs="Arial"/>
                <w:color w:val="FFFFFF"/>
                <w:sz w:val="16"/>
                <w:szCs w:val="16"/>
                <w:lang w:eastAsia="en-US"/>
              </w:rPr>
            </w:pPr>
            <w:r w:rsidRPr="00B65B22">
              <w:rPr>
                <w:rFonts w:eastAsia="Calibri" w:cs="Arial"/>
                <w:color w:val="FFFFFF"/>
                <w:sz w:val="16"/>
                <w:szCs w:val="16"/>
                <w:lang w:eastAsia="en-US"/>
              </w:rPr>
              <w:t xml:space="preserve">Dubbele belastingheffing in relatie tot BES eilanden geadresseerd </w:t>
            </w:r>
          </w:p>
        </w:tc>
        <w:tc>
          <w:tcPr>
            <w:tcW w:w="356" w:type="dxa"/>
            <w:gridSpan w:val="5"/>
            <w:shd w:val="clear" w:color="auto" w:fill="BFBFBF"/>
            <w:vAlign w:val="center"/>
          </w:tcPr>
          <w:p w:rsidRPr="00CF0A8D" w:rsidR="00521456" w:rsidP="00DE65D1" w:rsidRDefault="00521456" w14:paraId="286E6D4B" w14:textId="77777777">
            <w:pPr>
              <w:spacing w:line="276" w:lineRule="auto"/>
              <w:ind w:firstLine="0"/>
              <w:jc w:val="center"/>
              <w:rPr>
                <w:rFonts w:eastAsia="Calibri" w:cs="Arial"/>
                <w:b/>
                <w:color w:val="007BC7"/>
                <w:sz w:val="16"/>
                <w:szCs w:val="16"/>
                <w:lang w:eastAsia="en-US"/>
              </w:rPr>
            </w:pPr>
            <w:r w:rsidRPr="00CF0A8D">
              <w:rPr>
                <w:rFonts w:eastAsia="Calibri" w:cs="Arial"/>
                <w:b/>
                <w:color w:val="007BC7"/>
                <w:sz w:val="16"/>
                <w:szCs w:val="16"/>
                <w:lang w:eastAsia="en-US"/>
              </w:rPr>
              <w:t>X</w:t>
            </w:r>
          </w:p>
        </w:tc>
        <w:tc>
          <w:tcPr>
            <w:tcW w:w="355" w:type="dxa"/>
            <w:gridSpan w:val="3"/>
            <w:shd w:val="clear" w:color="auto" w:fill="BFBFBF"/>
          </w:tcPr>
          <w:p w:rsidRPr="009C6DBA" w:rsidR="00521456" w:rsidP="00DE65D1" w:rsidRDefault="00521456" w14:paraId="2F638F45" w14:textId="77777777">
            <w:pPr>
              <w:spacing w:line="276" w:lineRule="auto"/>
              <w:ind w:firstLine="0"/>
              <w:rPr>
                <w:rFonts w:eastAsia="Calibri" w:cs="Arial"/>
                <w:b/>
                <w:color w:val="007BC7"/>
                <w:sz w:val="16"/>
                <w:szCs w:val="16"/>
                <w:lang w:eastAsia="en-US"/>
              </w:rPr>
            </w:pPr>
          </w:p>
        </w:tc>
        <w:tc>
          <w:tcPr>
            <w:tcW w:w="428" w:type="dxa"/>
            <w:gridSpan w:val="2"/>
            <w:shd w:val="clear" w:color="auto" w:fill="BFBFBF"/>
          </w:tcPr>
          <w:p w:rsidRPr="00363E1C" w:rsidR="00521456" w:rsidP="00DE65D1" w:rsidRDefault="00521456" w14:paraId="197C0650" w14:textId="77777777">
            <w:pPr>
              <w:spacing w:line="276" w:lineRule="auto"/>
              <w:ind w:firstLine="0"/>
              <w:jc w:val="center"/>
              <w:rPr>
                <w:rFonts w:eastAsia="Calibri" w:cs="Arial"/>
                <w:b/>
                <w:color w:val="007BC7"/>
                <w:sz w:val="16"/>
                <w:szCs w:val="16"/>
                <w:lang w:eastAsia="en-US"/>
              </w:rPr>
            </w:pPr>
          </w:p>
        </w:tc>
        <w:tc>
          <w:tcPr>
            <w:tcW w:w="433" w:type="dxa"/>
            <w:gridSpan w:val="2"/>
            <w:shd w:val="clear" w:color="auto" w:fill="BFBFBF"/>
          </w:tcPr>
          <w:p w:rsidRPr="00363E1C" w:rsidR="00521456" w:rsidP="00DE65D1" w:rsidRDefault="00521456" w14:paraId="460AE009" w14:textId="77777777">
            <w:pPr>
              <w:spacing w:line="276" w:lineRule="auto"/>
              <w:ind w:firstLine="0"/>
              <w:rPr>
                <w:rFonts w:eastAsia="Calibri" w:cs="Arial"/>
                <w:b/>
                <w:color w:val="007BC7"/>
                <w:sz w:val="16"/>
                <w:szCs w:val="16"/>
                <w:lang w:eastAsia="en-US"/>
              </w:rPr>
            </w:pPr>
          </w:p>
        </w:tc>
        <w:tc>
          <w:tcPr>
            <w:tcW w:w="559" w:type="dxa"/>
            <w:shd w:val="clear" w:color="auto" w:fill="BFBFBF"/>
            <w:vAlign w:val="center"/>
          </w:tcPr>
          <w:p w:rsidRPr="00363E1C" w:rsidR="00521456" w:rsidP="00DE65D1" w:rsidRDefault="00521456" w14:paraId="2A41A338" w14:textId="77777777">
            <w:pPr>
              <w:spacing w:line="276" w:lineRule="auto"/>
              <w:ind w:firstLine="0"/>
              <w:rPr>
                <w:rFonts w:eastAsia="Calibri" w:cs="Arial"/>
                <w:sz w:val="16"/>
                <w:szCs w:val="16"/>
                <w:lang w:eastAsia="en-US"/>
              </w:rPr>
            </w:pPr>
            <w:r w:rsidRPr="00363E1C">
              <w:rPr>
                <w:rFonts w:eastAsia="Calibri" w:cs="Arial"/>
                <w:sz w:val="16"/>
                <w:szCs w:val="16"/>
                <w:lang w:eastAsia="en-US"/>
              </w:rPr>
              <w:t>I.6</w:t>
            </w:r>
          </w:p>
        </w:tc>
      </w:tr>
      <w:tr w:rsidRPr="00B65B22" w:rsidR="00521456" w:rsidTr="007E7EAD" w14:paraId="24A28CE5" w14:textId="77777777">
        <w:trPr>
          <w:gridAfter w:val="10"/>
          <w:wAfter w:w="1952" w:type="dxa"/>
          <w:cantSplit/>
          <w:trHeight w:val="403"/>
        </w:trPr>
        <w:tc>
          <w:tcPr>
            <w:tcW w:w="693" w:type="dxa"/>
            <w:shd w:val="clear" w:color="auto" w:fill="FFFFFF"/>
            <w:vAlign w:val="center"/>
          </w:tcPr>
          <w:p w:rsidRPr="00B65B22" w:rsidR="00521456" w:rsidP="00DE65D1" w:rsidRDefault="00521456" w14:paraId="57F3A85A" w14:textId="77777777">
            <w:pPr>
              <w:spacing w:line="276" w:lineRule="auto"/>
              <w:ind w:firstLine="0"/>
              <w:jc w:val="right"/>
              <w:rPr>
                <w:rFonts w:eastAsia="Calibri" w:cs="Arial"/>
                <w:sz w:val="16"/>
                <w:szCs w:val="16"/>
                <w:lang w:eastAsia="en-US"/>
              </w:rPr>
            </w:pPr>
          </w:p>
        </w:tc>
        <w:tc>
          <w:tcPr>
            <w:tcW w:w="6531" w:type="dxa"/>
            <w:gridSpan w:val="5"/>
            <w:shd w:val="clear" w:color="auto" w:fill="FFFFFF"/>
            <w:vAlign w:val="center"/>
          </w:tcPr>
          <w:p w:rsidRPr="00B65B22" w:rsidR="00521456" w:rsidP="00DE65D1" w:rsidRDefault="00521456" w14:paraId="398E56BE" w14:textId="77777777">
            <w:pPr>
              <w:ind w:firstLine="0"/>
              <w:rPr>
                <w:rFonts w:cs="Arial"/>
                <w:b/>
                <w:sz w:val="16"/>
                <w:szCs w:val="16"/>
              </w:rPr>
            </w:pPr>
            <w:r w:rsidRPr="00B65B22">
              <w:rPr>
                <w:rFonts w:eastAsia="Calibri" w:cs="Arial"/>
                <w:b/>
                <w:sz w:val="16"/>
                <w:szCs w:val="16"/>
                <w:lang w:eastAsia="en-US"/>
              </w:rPr>
              <w:t>Specifieke elementen</w:t>
            </w:r>
            <w:r w:rsidRPr="00B65B22">
              <w:rPr>
                <w:rFonts w:cs="Arial"/>
                <w:b/>
                <w:sz w:val="16"/>
                <w:szCs w:val="16"/>
              </w:rPr>
              <w:br/>
            </w:r>
            <w:r w:rsidRPr="00B65B22">
              <w:rPr>
                <w:rFonts w:eastAsia="Calibri" w:cs="Arial"/>
                <w:i/>
                <w:sz w:val="16"/>
                <w:szCs w:val="16"/>
                <w:lang w:eastAsia="en-US"/>
              </w:rPr>
              <w:t>Verdragstoegang en –voordelen</w:t>
            </w:r>
          </w:p>
        </w:tc>
      </w:tr>
      <w:tr w:rsidRPr="00B65B22" w:rsidR="00521456" w:rsidTr="007E7EAD" w14:paraId="371BC421" w14:textId="77777777">
        <w:trPr>
          <w:trHeight w:val="255"/>
        </w:trPr>
        <w:tc>
          <w:tcPr>
            <w:tcW w:w="693" w:type="dxa"/>
            <w:shd w:val="clear" w:color="auto" w:fill="BFBFBF"/>
            <w:vAlign w:val="center"/>
          </w:tcPr>
          <w:p w:rsidRPr="00B65B22" w:rsidR="00521456" w:rsidP="00DE65D1" w:rsidRDefault="00521456" w14:paraId="0B03E6D1" w14:textId="77777777">
            <w:pPr>
              <w:spacing w:line="276" w:lineRule="auto"/>
              <w:ind w:firstLine="0"/>
              <w:jc w:val="right"/>
              <w:rPr>
                <w:rFonts w:eastAsia="Calibri" w:cs="Arial"/>
                <w:sz w:val="16"/>
                <w:szCs w:val="16"/>
                <w:lang w:eastAsia="en-US"/>
              </w:rPr>
            </w:pPr>
            <w:r w:rsidRPr="00B65B22">
              <w:rPr>
                <w:rFonts w:eastAsia="Calibri" w:cs="Arial"/>
                <w:sz w:val="16"/>
                <w:szCs w:val="16"/>
                <w:lang w:eastAsia="en-US"/>
              </w:rPr>
              <w:t>2.2.1</w:t>
            </w:r>
          </w:p>
        </w:tc>
        <w:tc>
          <w:tcPr>
            <w:tcW w:w="6352" w:type="dxa"/>
            <w:gridSpan w:val="2"/>
            <w:shd w:val="clear" w:color="auto" w:fill="007BC7"/>
            <w:vAlign w:val="center"/>
          </w:tcPr>
          <w:p w:rsidRPr="00B65B22" w:rsidR="00521456" w:rsidP="00DE65D1" w:rsidRDefault="00521456" w14:paraId="2FBA8731" w14:textId="77777777">
            <w:pPr>
              <w:spacing w:line="276" w:lineRule="auto"/>
              <w:ind w:firstLine="0"/>
              <w:rPr>
                <w:rFonts w:eastAsia="Calibri" w:cs="Arial"/>
                <w:color w:val="FFFFFF"/>
                <w:sz w:val="16"/>
                <w:szCs w:val="16"/>
                <w:lang w:eastAsia="en-US"/>
              </w:rPr>
            </w:pPr>
            <w:r w:rsidRPr="00B65B22">
              <w:rPr>
                <w:rFonts w:eastAsia="Calibri" w:cs="Arial"/>
                <w:color w:val="FFFFFF"/>
                <w:sz w:val="16"/>
                <w:szCs w:val="16"/>
                <w:lang w:eastAsia="en-US"/>
              </w:rPr>
              <w:t>Vastgelegd is dat een lichaam wordt geacht aan belasting in een verdragsluitende staat onderworpen te zijn, indien dat lichaam wordt beheerst door de wetten van die staat of zijn plaats van leiding in die staat heeft</w:t>
            </w:r>
          </w:p>
        </w:tc>
        <w:tc>
          <w:tcPr>
            <w:tcW w:w="356" w:type="dxa"/>
            <w:gridSpan w:val="5"/>
            <w:shd w:val="clear" w:color="auto" w:fill="BFBFBF"/>
            <w:vAlign w:val="center"/>
          </w:tcPr>
          <w:p w:rsidRPr="00B65B22" w:rsidR="00521456" w:rsidP="00DE65D1" w:rsidRDefault="00521456" w14:paraId="21E11D2C" w14:textId="77777777">
            <w:pPr>
              <w:spacing w:line="276" w:lineRule="auto"/>
              <w:ind w:firstLine="0"/>
              <w:jc w:val="center"/>
              <w:rPr>
                <w:rFonts w:eastAsia="Calibri" w:cs="Arial"/>
                <w:b/>
                <w:color w:val="007BC7"/>
                <w:sz w:val="16"/>
                <w:szCs w:val="16"/>
                <w:lang w:eastAsia="en-US"/>
              </w:rPr>
            </w:pPr>
          </w:p>
        </w:tc>
        <w:tc>
          <w:tcPr>
            <w:tcW w:w="355" w:type="dxa"/>
            <w:gridSpan w:val="3"/>
            <w:shd w:val="clear" w:color="auto" w:fill="BFBFBF"/>
            <w:vAlign w:val="center"/>
          </w:tcPr>
          <w:p w:rsidRPr="00B65B22" w:rsidR="00521456" w:rsidP="00DE65D1" w:rsidRDefault="00521456" w14:paraId="5428E791" w14:textId="77777777">
            <w:pPr>
              <w:spacing w:line="276" w:lineRule="auto"/>
              <w:ind w:firstLine="0"/>
              <w:jc w:val="center"/>
              <w:rPr>
                <w:rFonts w:eastAsia="Calibri" w:cs="Arial"/>
                <w:b/>
                <w:color w:val="007BC7"/>
                <w:sz w:val="16"/>
                <w:szCs w:val="16"/>
                <w:lang w:eastAsia="en-US"/>
              </w:rPr>
            </w:pPr>
          </w:p>
        </w:tc>
        <w:tc>
          <w:tcPr>
            <w:tcW w:w="428" w:type="dxa"/>
            <w:gridSpan w:val="2"/>
            <w:shd w:val="clear" w:color="auto" w:fill="BFBFBF"/>
            <w:vAlign w:val="center"/>
          </w:tcPr>
          <w:p w:rsidRPr="00CF0A8D" w:rsidR="00521456" w:rsidP="00DE65D1" w:rsidRDefault="00521456" w14:paraId="40488390" w14:textId="77777777">
            <w:pPr>
              <w:spacing w:line="276" w:lineRule="auto"/>
              <w:ind w:firstLine="0"/>
              <w:jc w:val="center"/>
              <w:rPr>
                <w:rFonts w:eastAsia="Calibri" w:cs="Arial"/>
                <w:b/>
                <w:color w:val="007BC7"/>
                <w:sz w:val="16"/>
                <w:szCs w:val="16"/>
                <w:lang w:eastAsia="en-US"/>
              </w:rPr>
            </w:pPr>
            <w:r w:rsidRPr="00CF0A8D">
              <w:rPr>
                <w:rFonts w:eastAsia="Calibri" w:cs="Arial"/>
                <w:b/>
                <w:color w:val="007BC7"/>
                <w:sz w:val="16"/>
                <w:szCs w:val="16"/>
                <w:lang w:eastAsia="en-US"/>
              </w:rPr>
              <w:t>X</w:t>
            </w:r>
          </w:p>
        </w:tc>
        <w:tc>
          <w:tcPr>
            <w:tcW w:w="433" w:type="dxa"/>
            <w:gridSpan w:val="2"/>
            <w:shd w:val="clear" w:color="auto" w:fill="BFBFBF"/>
            <w:vAlign w:val="center"/>
          </w:tcPr>
          <w:p w:rsidRPr="009C6DBA" w:rsidR="00521456" w:rsidP="00DE65D1" w:rsidRDefault="00521456" w14:paraId="38EBF5A4" w14:textId="77777777">
            <w:pPr>
              <w:spacing w:line="276" w:lineRule="auto"/>
              <w:ind w:firstLine="0"/>
              <w:jc w:val="center"/>
              <w:rPr>
                <w:rFonts w:eastAsia="Calibri" w:cs="Arial"/>
                <w:b/>
                <w:color w:val="007BC7"/>
                <w:sz w:val="16"/>
                <w:szCs w:val="16"/>
                <w:lang w:eastAsia="en-US"/>
              </w:rPr>
            </w:pPr>
          </w:p>
        </w:tc>
        <w:tc>
          <w:tcPr>
            <w:tcW w:w="559" w:type="dxa"/>
            <w:shd w:val="clear" w:color="auto" w:fill="BFBFBF"/>
            <w:vAlign w:val="center"/>
          </w:tcPr>
          <w:p w:rsidRPr="00363E1C" w:rsidR="00521456" w:rsidP="00DE65D1" w:rsidRDefault="00521456" w14:paraId="4F3B759C" w14:textId="77777777">
            <w:pPr>
              <w:spacing w:line="276" w:lineRule="auto"/>
              <w:ind w:firstLine="0"/>
              <w:rPr>
                <w:rFonts w:eastAsia="Calibri" w:cs="Arial"/>
                <w:sz w:val="16"/>
                <w:szCs w:val="16"/>
                <w:lang w:eastAsia="en-US"/>
              </w:rPr>
            </w:pPr>
            <w:r w:rsidRPr="00363E1C">
              <w:rPr>
                <w:rFonts w:eastAsia="Calibri" w:cs="Arial"/>
                <w:sz w:val="16"/>
                <w:szCs w:val="16"/>
                <w:lang w:eastAsia="en-US"/>
              </w:rPr>
              <w:t>II.4</w:t>
            </w:r>
          </w:p>
        </w:tc>
      </w:tr>
      <w:tr w:rsidRPr="00B65B22" w:rsidR="00521456" w:rsidTr="007E7EAD" w14:paraId="7BF8748F" w14:textId="77777777">
        <w:trPr>
          <w:trHeight w:val="255"/>
        </w:trPr>
        <w:tc>
          <w:tcPr>
            <w:tcW w:w="693" w:type="dxa"/>
            <w:shd w:val="clear" w:color="auto" w:fill="BFBFBF"/>
            <w:vAlign w:val="center"/>
          </w:tcPr>
          <w:p w:rsidRPr="00B65B22" w:rsidR="00521456" w:rsidP="00DE65D1" w:rsidRDefault="00521456" w14:paraId="3F3FF364" w14:textId="77777777">
            <w:pPr>
              <w:spacing w:line="276" w:lineRule="auto"/>
              <w:ind w:firstLine="0"/>
              <w:jc w:val="right"/>
              <w:rPr>
                <w:rFonts w:eastAsia="Calibri" w:cs="Arial"/>
                <w:sz w:val="16"/>
                <w:szCs w:val="16"/>
                <w:lang w:eastAsia="en-US"/>
              </w:rPr>
            </w:pPr>
            <w:r w:rsidRPr="00B65B22">
              <w:rPr>
                <w:rFonts w:eastAsia="Calibri" w:cs="Arial"/>
                <w:sz w:val="16"/>
                <w:szCs w:val="16"/>
                <w:lang w:eastAsia="en-US"/>
              </w:rPr>
              <w:t>2.2.1</w:t>
            </w:r>
          </w:p>
        </w:tc>
        <w:tc>
          <w:tcPr>
            <w:tcW w:w="6352" w:type="dxa"/>
            <w:gridSpan w:val="2"/>
            <w:shd w:val="clear" w:color="auto" w:fill="007BC7"/>
            <w:vAlign w:val="center"/>
          </w:tcPr>
          <w:p w:rsidRPr="00B65B22" w:rsidR="00521456" w:rsidP="00DE65D1" w:rsidRDefault="00521456" w14:paraId="13690F29" w14:textId="77777777">
            <w:pPr>
              <w:spacing w:line="276" w:lineRule="auto"/>
              <w:ind w:firstLine="0"/>
              <w:rPr>
                <w:rFonts w:eastAsia="Calibri" w:cs="Arial"/>
                <w:color w:val="FFFFFF"/>
                <w:sz w:val="16"/>
                <w:szCs w:val="16"/>
                <w:lang w:eastAsia="en-US"/>
              </w:rPr>
            </w:pPr>
            <w:r w:rsidRPr="00B65B22">
              <w:rPr>
                <w:rFonts w:eastAsia="Calibri" w:cs="Arial"/>
                <w:color w:val="FFFFFF"/>
                <w:sz w:val="16"/>
                <w:szCs w:val="16"/>
                <w:lang w:eastAsia="en-US"/>
              </w:rPr>
              <w:t>De vbi komt voor sommige verdragsvoordelen niet in aanmerking</w:t>
            </w:r>
            <w:r w:rsidRPr="00CF0A8D">
              <w:rPr>
                <w:rStyle w:val="Voetnootmarkering"/>
                <w:rFonts w:eastAsia="Calibri" w:cs="Arial"/>
                <w:color w:val="FFFFFF"/>
                <w:sz w:val="16"/>
                <w:szCs w:val="16"/>
                <w:lang w:eastAsia="en-US"/>
              </w:rPr>
              <w:footnoteReference w:id="13"/>
            </w:r>
          </w:p>
        </w:tc>
        <w:tc>
          <w:tcPr>
            <w:tcW w:w="356" w:type="dxa"/>
            <w:gridSpan w:val="5"/>
            <w:shd w:val="clear" w:color="auto" w:fill="BFBFBF"/>
            <w:vAlign w:val="center"/>
          </w:tcPr>
          <w:p w:rsidRPr="00CF0A8D" w:rsidR="00521456" w:rsidP="00DE65D1" w:rsidRDefault="00521456" w14:paraId="4077447A" w14:textId="77777777">
            <w:pPr>
              <w:spacing w:line="276" w:lineRule="auto"/>
              <w:ind w:firstLine="0"/>
              <w:jc w:val="center"/>
              <w:rPr>
                <w:rFonts w:eastAsia="Calibri" w:cs="Arial"/>
                <w:b/>
                <w:color w:val="007BC7"/>
                <w:sz w:val="16"/>
                <w:szCs w:val="16"/>
                <w:lang w:eastAsia="en-US"/>
              </w:rPr>
            </w:pPr>
            <w:r w:rsidRPr="00CF0A8D">
              <w:rPr>
                <w:rFonts w:eastAsia="Calibri" w:cs="Arial"/>
                <w:b/>
                <w:color w:val="007BC7"/>
                <w:sz w:val="16"/>
                <w:szCs w:val="16"/>
                <w:lang w:eastAsia="en-US"/>
              </w:rPr>
              <w:t>X</w:t>
            </w:r>
          </w:p>
        </w:tc>
        <w:tc>
          <w:tcPr>
            <w:tcW w:w="355" w:type="dxa"/>
            <w:gridSpan w:val="3"/>
            <w:shd w:val="clear" w:color="auto" w:fill="BFBFBF"/>
            <w:vAlign w:val="center"/>
          </w:tcPr>
          <w:p w:rsidRPr="009C6DBA" w:rsidR="00521456" w:rsidP="00DE65D1" w:rsidRDefault="00521456" w14:paraId="3A8AD915" w14:textId="77777777">
            <w:pPr>
              <w:spacing w:line="276" w:lineRule="auto"/>
              <w:ind w:firstLine="0"/>
              <w:jc w:val="center"/>
              <w:rPr>
                <w:rFonts w:eastAsia="Calibri" w:cs="Arial"/>
                <w:b/>
                <w:color w:val="007BC7"/>
                <w:sz w:val="16"/>
                <w:szCs w:val="16"/>
                <w:lang w:eastAsia="en-US"/>
              </w:rPr>
            </w:pPr>
          </w:p>
        </w:tc>
        <w:tc>
          <w:tcPr>
            <w:tcW w:w="428" w:type="dxa"/>
            <w:gridSpan w:val="2"/>
            <w:shd w:val="clear" w:color="auto" w:fill="BFBFBF"/>
            <w:vAlign w:val="center"/>
          </w:tcPr>
          <w:p w:rsidRPr="00363E1C" w:rsidR="00521456" w:rsidP="00DE65D1" w:rsidRDefault="00521456" w14:paraId="7BB6CF85" w14:textId="77777777">
            <w:pPr>
              <w:spacing w:line="276" w:lineRule="auto"/>
              <w:ind w:firstLine="0"/>
              <w:jc w:val="center"/>
              <w:rPr>
                <w:rFonts w:eastAsia="Calibri" w:cs="Arial"/>
                <w:b/>
                <w:color w:val="007BC7"/>
                <w:sz w:val="16"/>
                <w:szCs w:val="16"/>
                <w:lang w:eastAsia="en-US"/>
              </w:rPr>
            </w:pPr>
          </w:p>
        </w:tc>
        <w:tc>
          <w:tcPr>
            <w:tcW w:w="433" w:type="dxa"/>
            <w:gridSpan w:val="2"/>
            <w:shd w:val="clear" w:color="auto" w:fill="BFBFBF"/>
            <w:vAlign w:val="center"/>
          </w:tcPr>
          <w:p w:rsidRPr="00363E1C" w:rsidR="00521456" w:rsidP="00DE65D1" w:rsidRDefault="00521456" w14:paraId="2F4419CD" w14:textId="77777777">
            <w:pPr>
              <w:spacing w:line="276" w:lineRule="auto"/>
              <w:ind w:firstLine="0"/>
              <w:jc w:val="center"/>
              <w:rPr>
                <w:rFonts w:eastAsia="Calibri" w:cs="Arial"/>
                <w:b/>
                <w:color w:val="007BC7"/>
                <w:sz w:val="16"/>
                <w:szCs w:val="16"/>
                <w:lang w:eastAsia="en-US"/>
              </w:rPr>
            </w:pPr>
          </w:p>
        </w:tc>
        <w:tc>
          <w:tcPr>
            <w:tcW w:w="559" w:type="dxa"/>
            <w:shd w:val="clear" w:color="auto" w:fill="BFBFBF"/>
            <w:vAlign w:val="center"/>
          </w:tcPr>
          <w:p w:rsidRPr="00363E1C" w:rsidR="00521456" w:rsidP="00DE65D1" w:rsidRDefault="00521456" w14:paraId="629EAA4F" w14:textId="77777777">
            <w:pPr>
              <w:spacing w:line="276" w:lineRule="auto"/>
              <w:ind w:firstLine="0"/>
              <w:rPr>
                <w:rFonts w:eastAsia="Calibri" w:cs="Arial"/>
                <w:sz w:val="16"/>
                <w:szCs w:val="16"/>
                <w:lang w:eastAsia="en-US"/>
              </w:rPr>
            </w:pPr>
            <w:r w:rsidRPr="00363E1C">
              <w:rPr>
                <w:rFonts w:eastAsia="Calibri" w:cs="Arial"/>
                <w:sz w:val="16"/>
                <w:szCs w:val="16"/>
                <w:lang w:eastAsia="en-US"/>
              </w:rPr>
              <w:t>II.4 &amp; II.10</w:t>
            </w:r>
          </w:p>
        </w:tc>
      </w:tr>
      <w:tr w:rsidRPr="00B65B22" w:rsidR="00521456" w:rsidTr="007E7EAD" w14:paraId="77570DB0" w14:textId="77777777">
        <w:trPr>
          <w:trHeight w:val="255"/>
        </w:trPr>
        <w:tc>
          <w:tcPr>
            <w:tcW w:w="693" w:type="dxa"/>
            <w:shd w:val="clear" w:color="auto" w:fill="BFBFBF"/>
            <w:vAlign w:val="center"/>
          </w:tcPr>
          <w:p w:rsidRPr="00B65B22" w:rsidR="00521456" w:rsidP="00DE65D1" w:rsidRDefault="00521456" w14:paraId="059C8651" w14:textId="77777777">
            <w:pPr>
              <w:spacing w:line="276" w:lineRule="auto"/>
              <w:ind w:firstLine="0"/>
              <w:jc w:val="right"/>
              <w:rPr>
                <w:rFonts w:eastAsia="Calibri" w:cs="Arial"/>
                <w:sz w:val="16"/>
                <w:szCs w:val="16"/>
                <w:lang w:eastAsia="en-US"/>
              </w:rPr>
            </w:pPr>
            <w:r w:rsidRPr="00B65B22">
              <w:rPr>
                <w:rFonts w:eastAsia="Calibri" w:cs="Arial"/>
                <w:sz w:val="16"/>
                <w:szCs w:val="16"/>
                <w:lang w:eastAsia="en-US"/>
              </w:rPr>
              <w:t>2.2.1</w:t>
            </w:r>
            <w:r w:rsidRPr="00B65B22">
              <w:rPr>
                <w:rFonts w:eastAsia="Calibri" w:cs="Arial"/>
                <w:sz w:val="16"/>
                <w:szCs w:val="16"/>
                <w:lang w:eastAsia="en-US"/>
              </w:rPr>
              <w:br/>
              <w:t>/II.2</w:t>
            </w:r>
          </w:p>
        </w:tc>
        <w:tc>
          <w:tcPr>
            <w:tcW w:w="6352" w:type="dxa"/>
            <w:gridSpan w:val="2"/>
            <w:shd w:val="clear" w:color="auto" w:fill="007BC7"/>
            <w:vAlign w:val="center"/>
          </w:tcPr>
          <w:p w:rsidRPr="00B65B22" w:rsidR="00521456" w:rsidP="00DE65D1" w:rsidRDefault="00521456" w14:paraId="60D98859" w14:textId="77777777">
            <w:pPr>
              <w:spacing w:line="276" w:lineRule="auto"/>
              <w:ind w:firstLine="0"/>
              <w:rPr>
                <w:rFonts w:eastAsia="Calibri" w:cs="Arial"/>
                <w:color w:val="FFFFFF"/>
                <w:sz w:val="16"/>
                <w:szCs w:val="16"/>
                <w:lang w:eastAsia="en-US"/>
              </w:rPr>
            </w:pPr>
            <w:r w:rsidRPr="00B65B22">
              <w:rPr>
                <w:rFonts w:eastAsia="Calibri" w:cs="Arial"/>
                <w:color w:val="FFFFFF"/>
                <w:sz w:val="16"/>
                <w:szCs w:val="16"/>
                <w:lang w:eastAsia="en-US"/>
              </w:rPr>
              <w:t>Duidelijkheid is gegeven over de verdragstoegang van en aanspraak op verdragsvoordelen door pensioen- en overheidsfondsen</w:t>
            </w:r>
          </w:p>
        </w:tc>
        <w:tc>
          <w:tcPr>
            <w:tcW w:w="356" w:type="dxa"/>
            <w:gridSpan w:val="5"/>
            <w:shd w:val="clear" w:color="auto" w:fill="BFBFBF"/>
            <w:vAlign w:val="center"/>
          </w:tcPr>
          <w:p w:rsidRPr="00CF0A8D" w:rsidR="00521456" w:rsidP="00DE65D1" w:rsidRDefault="00521456" w14:paraId="14509DA5" w14:textId="77777777">
            <w:pPr>
              <w:spacing w:line="276" w:lineRule="auto"/>
              <w:ind w:firstLine="0"/>
              <w:jc w:val="center"/>
              <w:rPr>
                <w:rFonts w:eastAsia="Calibri" w:cs="Arial"/>
                <w:b/>
                <w:color w:val="007BC7"/>
                <w:sz w:val="16"/>
                <w:szCs w:val="16"/>
                <w:lang w:eastAsia="en-US"/>
              </w:rPr>
            </w:pPr>
            <w:r w:rsidRPr="00CF0A8D">
              <w:rPr>
                <w:rFonts w:eastAsia="Calibri" w:cs="Arial"/>
                <w:b/>
                <w:color w:val="007BC7"/>
                <w:sz w:val="16"/>
                <w:szCs w:val="16"/>
                <w:lang w:eastAsia="en-US"/>
              </w:rPr>
              <w:t>X</w:t>
            </w:r>
          </w:p>
        </w:tc>
        <w:tc>
          <w:tcPr>
            <w:tcW w:w="355" w:type="dxa"/>
            <w:gridSpan w:val="3"/>
            <w:shd w:val="clear" w:color="auto" w:fill="BFBFBF"/>
            <w:vAlign w:val="center"/>
          </w:tcPr>
          <w:p w:rsidRPr="009C6DBA" w:rsidR="00521456" w:rsidP="00DE65D1" w:rsidRDefault="00521456" w14:paraId="73BC7836" w14:textId="77777777">
            <w:pPr>
              <w:spacing w:line="276" w:lineRule="auto"/>
              <w:ind w:firstLine="0"/>
              <w:jc w:val="center"/>
              <w:rPr>
                <w:rFonts w:eastAsia="Calibri" w:cs="Arial"/>
                <w:b/>
                <w:color w:val="007BC7"/>
                <w:sz w:val="16"/>
                <w:szCs w:val="16"/>
                <w:lang w:eastAsia="en-US"/>
              </w:rPr>
            </w:pPr>
          </w:p>
        </w:tc>
        <w:tc>
          <w:tcPr>
            <w:tcW w:w="428" w:type="dxa"/>
            <w:gridSpan w:val="2"/>
            <w:shd w:val="clear" w:color="auto" w:fill="BFBFBF"/>
            <w:vAlign w:val="center"/>
          </w:tcPr>
          <w:p w:rsidRPr="00363E1C" w:rsidR="00521456" w:rsidP="00DE65D1" w:rsidRDefault="00521456" w14:paraId="205CB571" w14:textId="77777777">
            <w:pPr>
              <w:spacing w:line="276" w:lineRule="auto"/>
              <w:ind w:firstLine="0"/>
              <w:jc w:val="center"/>
              <w:rPr>
                <w:rFonts w:eastAsia="Calibri" w:cs="Arial"/>
                <w:b/>
                <w:color w:val="007BC7"/>
                <w:sz w:val="16"/>
                <w:szCs w:val="16"/>
                <w:lang w:eastAsia="en-US"/>
              </w:rPr>
            </w:pPr>
          </w:p>
        </w:tc>
        <w:tc>
          <w:tcPr>
            <w:tcW w:w="433" w:type="dxa"/>
            <w:gridSpan w:val="2"/>
            <w:shd w:val="clear" w:color="auto" w:fill="BFBFBF"/>
            <w:vAlign w:val="center"/>
          </w:tcPr>
          <w:p w:rsidRPr="00363E1C" w:rsidR="00521456" w:rsidP="00DE65D1" w:rsidRDefault="00521456" w14:paraId="1FA9736A" w14:textId="77777777">
            <w:pPr>
              <w:spacing w:line="276" w:lineRule="auto"/>
              <w:ind w:firstLine="0"/>
              <w:jc w:val="center"/>
              <w:rPr>
                <w:rFonts w:eastAsia="Calibri" w:cs="Arial"/>
                <w:b/>
                <w:color w:val="007BC7"/>
                <w:sz w:val="16"/>
                <w:szCs w:val="16"/>
                <w:lang w:eastAsia="en-US"/>
              </w:rPr>
            </w:pPr>
          </w:p>
        </w:tc>
        <w:tc>
          <w:tcPr>
            <w:tcW w:w="559" w:type="dxa"/>
            <w:shd w:val="clear" w:color="auto" w:fill="BFBFBF"/>
            <w:vAlign w:val="center"/>
          </w:tcPr>
          <w:p w:rsidRPr="00363E1C" w:rsidR="00521456" w:rsidP="00DE65D1" w:rsidRDefault="00521456" w14:paraId="42BD684C" w14:textId="77777777">
            <w:pPr>
              <w:spacing w:line="276" w:lineRule="auto"/>
              <w:ind w:firstLine="0"/>
              <w:rPr>
                <w:rFonts w:eastAsia="Calibri" w:cs="Arial"/>
                <w:sz w:val="16"/>
                <w:szCs w:val="16"/>
                <w:lang w:eastAsia="en-US"/>
              </w:rPr>
            </w:pPr>
            <w:r w:rsidRPr="00363E1C">
              <w:rPr>
                <w:rFonts w:eastAsia="Calibri" w:cs="Arial"/>
                <w:sz w:val="16"/>
                <w:szCs w:val="16"/>
                <w:lang w:eastAsia="en-US"/>
              </w:rPr>
              <w:t>II.4</w:t>
            </w:r>
          </w:p>
        </w:tc>
      </w:tr>
      <w:tr w:rsidRPr="00B65B22" w:rsidR="00521456" w:rsidTr="007E7EAD" w14:paraId="42D1F673" w14:textId="77777777">
        <w:trPr>
          <w:trHeight w:val="255"/>
        </w:trPr>
        <w:tc>
          <w:tcPr>
            <w:tcW w:w="693" w:type="dxa"/>
            <w:shd w:val="clear" w:color="auto" w:fill="BFBFBF"/>
            <w:vAlign w:val="center"/>
          </w:tcPr>
          <w:p w:rsidRPr="00B65B22" w:rsidR="00521456" w:rsidP="00DE65D1" w:rsidRDefault="00521456" w14:paraId="61B51039" w14:textId="77777777">
            <w:pPr>
              <w:spacing w:line="276" w:lineRule="auto"/>
              <w:ind w:firstLine="0"/>
              <w:jc w:val="right"/>
              <w:rPr>
                <w:rFonts w:eastAsia="Calibri" w:cs="Arial"/>
                <w:sz w:val="16"/>
                <w:szCs w:val="16"/>
                <w:lang w:eastAsia="en-US"/>
              </w:rPr>
            </w:pPr>
            <w:r w:rsidRPr="00B65B22">
              <w:rPr>
                <w:rFonts w:eastAsia="Calibri" w:cs="Arial"/>
                <w:sz w:val="16"/>
                <w:szCs w:val="16"/>
                <w:lang w:eastAsia="en-US"/>
              </w:rPr>
              <w:t>2.2.2</w:t>
            </w:r>
          </w:p>
        </w:tc>
        <w:tc>
          <w:tcPr>
            <w:tcW w:w="6352" w:type="dxa"/>
            <w:gridSpan w:val="2"/>
            <w:shd w:val="clear" w:color="auto" w:fill="007BC7"/>
            <w:vAlign w:val="center"/>
          </w:tcPr>
          <w:p w:rsidRPr="00B65B22" w:rsidR="00521456" w:rsidP="00DE65D1" w:rsidRDefault="00521456" w14:paraId="7A3C3B23" w14:textId="77777777">
            <w:pPr>
              <w:spacing w:line="276" w:lineRule="auto"/>
              <w:ind w:firstLine="0"/>
              <w:rPr>
                <w:rFonts w:eastAsia="Calibri" w:cs="Arial"/>
                <w:color w:val="FFFFFF"/>
                <w:sz w:val="16"/>
                <w:szCs w:val="16"/>
                <w:lang w:eastAsia="en-US"/>
              </w:rPr>
            </w:pPr>
            <w:r w:rsidRPr="00B65B22">
              <w:rPr>
                <w:rFonts w:eastAsia="Calibri" w:cs="Arial"/>
                <w:color w:val="FFFFFF"/>
                <w:sz w:val="16"/>
                <w:szCs w:val="16"/>
                <w:lang w:eastAsia="en-US"/>
              </w:rPr>
              <w:t>Corporate tiebreaker op basis van plaats van werkelijke leiding opgenomen</w:t>
            </w:r>
          </w:p>
        </w:tc>
        <w:tc>
          <w:tcPr>
            <w:tcW w:w="356" w:type="dxa"/>
            <w:gridSpan w:val="5"/>
            <w:shd w:val="clear" w:color="auto" w:fill="BFBFBF"/>
            <w:vAlign w:val="center"/>
          </w:tcPr>
          <w:p w:rsidRPr="00B65B22" w:rsidR="00521456" w:rsidP="00DE65D1" w:rsidRDefault="00521456" w14:paraId="73B5A526" w14:textId="77777777">
            <w:pPr>
              <w:spacing w:line="276" w:lineRule="auto"/>
              <w:ind w:firstLine="0"/>
              <w:jc w:val="center"/>
              <w:rPr>
                <w:rFonts w:eastAsia="Calibri" w:cs="Arial"/>
                <w:b/>
                <w:color w:val="007BC7"/>
                <w:sz w:val="16"/>
                <w:szCs w:val="16"/>
                <w:lang w:eastAsia="en-US"/>
              </w:rPr>
            </w:pPr>
          </w:p>
        </w:tc>
        <w:tc>
          <w:tcPr>
            <w:tcW w:w="355" w:type="dxa"/>
            <w:gridSpan w:val="3"/>
            <w:shd w:val="clear" w:color="auto" w:fill="BFBFBF"/>
            <w:vAlign w:val="center"/>
          </w:tcPr>
          <w:p w:rsidRPr="00B65B22" w:rsidR="00521456" w:rsidP="00DE65D1" w:rsidRDefault="00521456" w14:paraId="1A8D9154" w14:textId="77777777">
            <w:pPr>
              <w:spacing w:line="276" w:lineRule="auto"/>
              <w:ind w:firstLine="0"/>
              <w:jc w:val="center"/>
              <w:rPr>
                <w:rFonts w:eastAsia="Calibri" w:cs="Arial"/>
                <w:b/>
                <w:color w:val="007BC7"/>
                <w:sz w:val="16"/>
                <w:szCs w:val="16"/>
                <w:lang w:eastAsia="en-US"/>
              </w:rPr>
            </w:pPr>
          </w:p>
        </w:tc>
        <w:tc>
          <w:tcPr>
            <w:tcW w:w="428" w:type="dxa"/>
            <w:gridSpan w:val="2"/>
            <w:shd w:val="clear" w:color="auto" w:fill="BFBFBF"/>
            <w:vAlign w:val="center"/>
          </w:tcPr>
          <w:p w:rsidRPr="00CF0A8D" w:rsidR="00521456" w:rsidP="00DE65D1" w:rsidRDefault="00521456" w14:paraId="440CF3FF" w14:textId="77777777">
            <w:pPr>
              <w:spacing w:line="276" w:lineRule="auto"/>
              <w:ind w:firstLine="0"/>
              <w:jc w:val="center"/>
              <w:rPr>
                <w:rFonts w:eastAsia="Calibri" w:cs="Arial"/>
                <w:b/>
                <w:color w:val="007BC7"/>
                <w:sz w:val="16"/>
                <w:szCs w:val="16"/>
                <w:lang w:eastAsia="en-US"/>
              </w:rPr>
            </w:pPr>
            <w:r w:rsidRPr="00CF0A8D">
              <w:rPr>
                <w:rFonts w:eastAsia="Calibri" w:cs="Arial"/>
                <w:b/>
                <w:color w:val="007BC7"/>
                <w:sz w:val="16"/>
                <w:szCs w:val="16"/>
                <w:lang w:eastAsia="en-US"/>
              </w:rPr>
              <w:t>X</w:t>
            </w:r>
          </w:p>
        </w:tc>
        <w:tc>
          <w:tcPr>
            <w:tcW w:w="433" w:type="dxa"/>
            <w:gridSpan w:val="2"/>
            <w:shd w:val="clear" w:color="auto" w:fill="BFBFBF"/>
            <w:vAlign w:val="center"/>
          </w:tcPr>
          <w:p w:rsidRPr="009C6DBA" w:rsidR="00521456" w:rsidP="00DE65D1" w:rsidRDefault="00521456" w14:paraId="3FF9451E" w14:textId="77777777">
            <w:pPr>
              <w:spacing w:line="276" w:lineRule="auto"/>
              <w:ind w:firstLine="0"/>
              <w:jc w:val="center"/>
              <w:rPr>
                <w:rFonts w:eastAsia="Calibri" w:cs="Arial"/>
                <w:b/>
                <w:color w:val="007BC7"/>
                <w:sz w:val="16"/>
                <w:szCs w:val="16"/>
                <w:lang w:eastAsia="en-US"/>
              </w:rPr>
            </w:pPr>
          </w:p>
        </w:tc>
        <w:tc>
          <w:tcPr>
            <w:tcW w:w="559" w:type="dxa"/>
            <w:shd w:val="clear" w:color="auto" w:fill="BFBFBF"/>
            <w:vAlign w:val="center"/>
          </w:tcPr>
          <w:p w:rsidRPr="00363E1C" w:rsidR="00521456" w:rsidP="00DE65D1" w:rsidRDefault="00521456" w14:paraId="58DD74AD" w14:textId="77777777">
            <w:pPr>
              <w:spacing w:line="276" w:lineRule="auto"/>
              <w:ind w:firstLine="0"/>
              <w:rPr>
                <w:rFonts w:eastAsia="Calibri" w:cs="Arial"/>
                <w:sz w:val="16"/>
                <w:szCs w:val="16"/>
                <w:lang w:eastAsia="en-US"/>
              </w:rPr>
            </w:pPr>
            <w:r w:rsidRPr="00363E1C">
              <w:rPr>
                <w:rFonts w:eastAsia="Calibri" w:cs="Arial"/>
                <w:sz w:val="16"/>
                <w:szCs w:val="16"/>
                <w:lang w:eastAsia="en-US"/>
              </w:rPr>
              <w:t>II.4</w:t>
            </w:r>
          </w:p>
        </w:tc>
      </w:tr>
      <w:tr w:rsidRPr="00B65B22" w:rsidR="00521456" w:rsidTr="007E7EAD" w14:paraId="70E0829C" w14:textId="77777777">
        <w:trPr>
          <w:trHeight w:val="255"/>
        </w:trPr>
        <w:tc>
          <w:tcPr>
            <w:tcW w:w="693" w:type="dxa"/>
            <w:shd w:val="clear" w:color="auto" w:fill="BFBFBF"/>
            <w:vAlign w:val="center"/>
          </w:tcPr>
          <w:p w:rsidRPr="00B65B22" w:rsidR="00521456" w:rsidP="00DE65D1" w:rsidRDefault="00521456" w14:paraId="0BE87F4F" w14:textId="77777777">
            <w:pPr>
              <w:spacing w:line="276" w:lineRule="auto"/>
              <w:ind w:firstLine="0"/>
              <w:jc w:val="right"/>
              <w:rPr>
                <w:rFonts w:eastAsia="Calibri" w:cs="Arial"/>
                <w:sz w:val="16"/>
                <w:szCs w:val="16"/>
                <w:lang w:eastAsia="en-US"/>
              </w:rPr>
            </w:pPr>
            <w:r w:rsidRPr="00B65B22">
              <w:rPr>
                <w:rFonts w:eastAsia="Calibri" w:cs="Arial"/>
                <w:sz w:val="16"/>
                <w:szCs w:val="16"/>
                <w:lang w:eastAsia="en-US"/>
              </w:rPr>
              <w:t>2.3</w:t>
            </w:r>
          </w:p>
        </w:tc>
        <w:tc>
          <w:tcPr>
            <w:tcW w:w="6352" w:type="dxa"/>
            <w:gridSpan w:val="2"/>
            <w:shd w:val="clear" w:color="auto" w:fill="007BC7"/>
            <w:vAlign w:val="center"/>
          </w:tcPr>
          <w:p w:rsidRPr="00B65B22" w:rsidR="00521456" w:rsidP="00DE65D1" w:rsidRDefault="00521456" w14:paraId="7168B1E5" w14:textId="77777777">
            <w:pPr>
              <w:spacing w:line="276" w:lineRule="auto"/>
              <w:ind w:firstLine="0"/>
              <w:rPr>
                <w:rFonts w:eastAsia="Calibri" w:cs="Arial"/>
                <w:color w:val="FFFFFF"/>
                <w:sz w:val="16"/>
                <w:szCs w:val="16"/>
                <w:lang w:eastAsia="en-US"/>
              </w:rPr>
            </w:pPr>
            <w:r w:rsidRPr="00B65B22">
              <w:rPr>
                <w:rFonts w:eastAsia="Calibri" w:cs="Arial"/>
                <w:color w:val="FFFFFF"/>
                <w:sz w:val="16"/>
                <w:szCs w:val="16"/>
                <w:lang w:eastAsia="en-US"/>
              </w:rPr>
              <w:t xml:space="preserve">Regeling voor oplossing dubbele heffing en vrijstelling ten aanzien van hybride (rechts)vormen opgenomen </w:t>
            </w:r>
          </w:p>
        </w:tc>
        <w:tc>
          <w:tcPr>
            <w:tcW w:w="356" w:type="dxa"/>
            <w:gridSpan w:val="5"/>
            <w:shd w:val="clear" w:color="auto" w:fill="BFBFBF"/>
            <w:vAlign w:val="center"/>
          </w:tcPr>
          <w:p w:rsidRPr="00CF0A8D" w:rsidR="00521456" w:rsidP="00DE65D1" w:rsidRDefault="00521456" w14:paraId="587D80DF" w14:textId="77777777">
            <w:pPr>
              <w:spacing w:line="276" w:lineRule="auto"/>
              <w:ind w:firstLine="0"/>
              <w:jc w:val="center"/>
              <w:rPr>
                <w:rFonts w:eastAsia="Calibri" w:cs="Arial"/>
                <w:b/>
                <w:color w:val="007BC7"/>
                <w:sz w:val="16"/>
                <w:szCs w:val="16"/>
                <w:lang w:eastAsia="en-US"/>
              </w:rPr>
            </w:pPr>
            <w:r w:rsidRPr="00CF0A8D">
              <w:rPr>
                <w:rFonts w:eastAsia="Calibri" w:cs="Arial"/>
                <w:b/>
                <w:color w:val="007BC7"/>
                <w:sz w:val="16"/>
                <w:szCs w:val="16"/>
                <w:lang w:eastAsia="en-US"/>
              </w:rPr>
              <w:t>X</w:t>
            </w:r>
          </w:p>
        </w:tc>
        <w:tc>
          <w:tcPr>
            <w:tcW w:w="355" w:type="dxa"/>
            <w:gridSpan w:val="3"/>
            <w:shd w:val="clear" w:color="auto" w:fill="BFBFBF"/>
            <w:vAlign w:val="center"/>
          </w:tcPr>
          <w:p w:rsidRPr="009C6DBA" w:rsidR="00521456" w:rsidP="00DE65D1" w:rsidRDefault="00521456" w14:paraId="61C5CD64" w14:textId="77777777">
            <w:pPr>
              <w:spacing w:line="276" w:lineRule="auto"/>
              <w:ind w:firstLine="0"/>
              <w:jc w:val="center"/>
              <w:rPr>
                <w:rFonts w:eastAsia="Calibri" w:cs="Arial"/>
                <w:b/>
                <w:color w:val="007BC7"/>
                <w:sz w:val="16"/>
                <w:szCs w:val="16"/>
                <w:lang w:eastAsia="en-US"/>
              </w:rPr>
            </w:pPr>
          </w:p>
        </w:tc>
        <w:tc>
          <w:tcPr>
            <w:tcW w:w="428" w:type="dxa"/>
            <w:gridSpan w:val="2"/>
            <w:shd w:val="clear" w:color="auto" w:fill="BFBFBF"/>
            <w:vAlign w:val="center"/>
          </w:tcPr>
          <w:p w:rsidRPr="00363E1C" w:rsidR="00521456" w:rsidP="00DE65D1" w:rsidRDefault="00521456" w14:paraId="7C65621F" w14:textId="77777777">
            <w:pPr>
              <w:spacing w:line="276" w:lineRule="auto"/>
              <w:ind w:firstLine="0"/>
              <w:jc w:val="center"/>
              <w:rPr>
                <w:rFonts w:eastAsia="Calibri" w:cs="Arial"/>
                <w:b/>
                <w:color w:val="007BC7"/>
                <w:sz w:val="16"/>
                <w:szCs w:val="16"/>
                <w:lang w:eastAsia="en-US"/>
              </w:rPr>
            </w:pPr>
          </w:p>
        </w:tc>
        <w:tc>
          <w:tcPr>
            <w:tcW w:w="433" w:type="dxa"/>
            <w:gridSpan w:val="2"/>
            <w:shd w:val="clear" w:color="auto" w:fill="BFBFBF"/>
            <w:vAlign w:val="center"/>
          </w:tcPr>
          <w:p w:rsidRPr="00363E1C" w:rsidR="00521456" w:rsidP="00DE65D1" w:rsidRDefault="00521456" w14:paraId="58723593" w14:textId="77777777">
            <w:pPr>
              <w:spacing w:line="276" w:lineRule="auto"/>
              <w:ind w:firstLine="0"/>
              <w:jc w:val="center"/>
              <w:rPr>
                <w:rFonts w:eastAsia="Calibri" w:cs="Arial"/>
                <w:b/>
                <w:color w:val="007BC7"/>
                <w:sz w:val="16"/>
                <w:szCs w:val="16"/>
                <w:lang w:eastAsia="en-US"/>
              </w:rPr>
            </w:pPr>
          </w:p>
        </w:tc>
        <w:tc>
          <w:tcPr>
            <w:tcW w:w="559" w:type="dxa"/>
            <w:shd w:val="clear" w:color="auto" w:fill="BFBFBF"/>
            <w:vAlign w:val="center"/>
          </w:tcPr>
          <w:p w:rsidRPr="00363E1C" w:rsidR="00521456" w:rsidP="00DE65D1" w:rsidRDefault="00521456" w14:paraId="307E1B0D" w14:textId="77777777">
            <w:pPr>
              <w:spacing w:line="276" w:lineRule="auto"/>
              <w:ind w:firstLine="0"/>
              <w:rPr>
                <w:rFonts w:eastAsia="Calibri" w:cs="Arial"/>
                <w:sz w:val="16"/>
                <w:szCs w:val="16"/>
                <w:lang w:eastAsia="en-US"/>
              </w:rPr>
            </w:pPr>
            <w:r w:rsidRPr="00363E1C">
              <w:rPr>
                <w:rFonts w:eastAsia="Calibri" w:cs="Arial"/>
                <w:sz w:val="16"/>
                <w:szCs w:val="16"/>
                <w:lang w:eastAsia="en-US"/>
              </w:rPr>
              <w:t>II.1</w:t>
            </w:r>
          </w:p>
        </w:tc>
      </w:tr>
      <w:tr w:rsidRPr="00B65B22" w:rsidR="00521456" w:rsidTr="007E7EAD" w14:paraId="06423260" w14:textId="77777777">
        <w:trPr>
          <w:trHeight w:val="255"/>
        </w:trPr>
        <w:tc>
          <w:tcPr>
            <w:tcW w:w="693" w:type="dxa"/>
            <w:shd w:val="clear" w:color="auto" w:fill="BFBFBF"/>
            <w:vAlign w:val="center"/>
          </w:tcPr>
          <w:p w:rsidRPr="00B65B22" w:rsidR="00521456" w:rsidP="00DE65D1" w:rsidRDefault="00521456" w14:paraId="6FFF800C" w14:textId="77777777">
            <w:pPr>
              <w:spacing w:line="276" w:lineRule="auto"/>
              <w:ind w:firstLine="0"/>
              <w:jc w:val="right"/>
              <w:rPr>
                <w:rFonts w:eastAsia="Calibri" w:cs="Arial"/>
                <w:sz w:val="16"/>
                <w:szCs w:val="16"/>
                <w:lang w:eastAsia="en-US"/>
              </w:rPr>
            </w:pPr>
            <w:r w:rsidRPr="00B65B22">
              <w:rPr>
                <w:rFonts w:eastAsia="Calibri" w:cs="Arial"/>
                <w:sz w:val="16"/>
                <w:szCs w:val="16"/>
                <w:lang w:eastAsia="en-US"/>
              </w:rPr>
              <w:t>2.4</w:t>
            </w:r>
          </w:p>
        </w:tc>
        <w:tc>
          <w:tcPr>
            <w:tcW w:w="6352" w:type="dxa"/>
            <w:gridSpan w:val="2"/>
            <w:shd w:val="clear" w:color="auto" w:fill="007BC7"/>
            <w:vAlign w:val="center"/>
          </w:tcPr>
          <w:p w:rsidRPr="00B65B22" w:rsidR="00521456" w:rsidP="00DE65D1" w:rsidRDefault="00521456" w14:paraId="37E0436C" w14:textId="77777777">
            <w:pPr>
              <w:spacing w:line="276" w:lineRule="auto"/>
              <w:ind w:firstLine="0"/>
              <w:rPr>
                <w:rFonts w:eastAsia="Calibri" w:cs="Arial"/>
                <w:color w:val="FFFFFF"/>
                <w:sz w:val="16"/>
                <w:szCs w:val="16"/>
                <w:lang w:eastAsia="en-US"/>
              </w:rPr>
            </w:pPr>
            <w:r w:rsidRPr="00B65B22">
              <w:rPr>
                <w:rFonts w:eastAsia="Calibri" w:cs="Arial"/>
                <w:color w:val="FFFFFF"/>
                <w:sz w:val="16"/>
                <w:szCs w:val="16"/>
                <w:lang w:eastAsia="en-US"/>
              </w:rPr>
              <w:t>Overeenstemming over fiscale behandeling besloten FGR’s als asset poolinginstrument</w:t>
            </w:r>
          </w:p>
        </w:tc>
        <w:tc>
          <w:tcPr>
            <w:tcW w:w="356" w:type="dxa"/>
            <w:gridSpan w:val="5"/>
            <w:shd w:val="clear" w:color="auto" w:fill="BFBFBF"/>
            <w:vAlign w:val="center"/>
          </w:tcPr>
          <w:p w:rsidRPr="00B65B22" w:rsidR="00521456" w:rsidP="00DE65D1" w:rsidRDefault="00521456" w14:paraId="318751D7" w14:textId="77777777">
            <w:pPr>
              <w:spacing w:line="276" w:lineRule="auto"/>
              <w:ind w:firstLine="0"/>
              <w:jc w:val="center"/>
              <w:rPr>
                <w:rFonts w:eastAsia="Calibri" w:cs="Arial"/>
                <w:b/>
                <w:color w:val="007BC7"/>
                <w:sz w:val="16"/>
                <w:szCs w:val="16"/>
                <w:lang w:eastAsia="en-US"/>
              </w:rPr>
            </w:pPr>
          </w:p>
        </w:tc>
        <w:tc>
          <w:tcPr>
            <w:tcW w:w="355" w:type="dxa"/>
            <w:gridSpan w:val="3"/>
            <w:shd w:val="clear" w:color="auto" w:fill="BFBFBF"/>
            <w:vAlign w:val="center"/>
          </w:tcPr>
          <w:p w:rsidRPr="00B65B22" w:rsidR="00521456" w:rsidP="00DE65D1" w:rsidRDefault="00521456" w14:paraId="2F5B6326" w14:textId="77777777">
            <w:pPr>
              <w:spacing w:line="276" w:lineRule="auto"/>
              <w:ind w:firstLine="0"/>
              <w:jc w:val="center"/>
              <w:rPr>
                <w:rFonts w:eastAsia="Calibri" w:cs="Arial"/>
                <w:b/>
                <w:color w:val="007BC7"/>
                <w:sz w:val="16"/>
                <w:szCs w:val="16"/>
                <w:lang w:eastAsia="en-US"/>
              </w:rPr>
            </w:pPr>
          </w:p>
        </w:tc>
        <w:tc>
          <w:tcPr>
            <w:tcW w:w="428" w:type="dxa"/>
            <w:gridSpan w:val="2"/>
            <w:shd w:val="clear" w:color="auto" w:fill="BFBFBF"/>
            <w:vAlign w:val="center"/>
          </w:tcPr>
          <w:p w:rsidRPr="00CF0A8D" w:rsidR="00521456" w:rsidP="00DE65D1" w:rsidRDefault="00521456" w14:paraId="5FF76B90" w14:textId="77777777">
            <w:pPr>
              <w:spacing w:line="276" w:lineRule="auto"/>
              <w:ind w:firstLine="0"/>
              <w:jc w:val="center"/>
              <w:rPr>
                <w:rFonts w:eastAsia="Calibri" w:cs="Arial"/>
                <w:b/>
                <w:color w:val="007BC7"/>
                <w:sz w:val="16"/>
                <w:szCs w:val="16"/>
                <w:lang w:eastAsia="en-US"/>
              </w:rPr>
            </w:pPr>
            <w:r w:rsidRPr="00CF0A8D">
              <w:rPr>
                <w:rFonts w:eastAsia="Calibri" w:cs="Arial"/>
                <w:b/>
                <w:color w:val="007BC7"/>
                <w:sz w:val="16"/>
                <w:szCs w:val="16"/>
                <w:lang w:eastAsia="en-US"/>
              </w:rPr>
              <w:t>X</w:t>
            </w:r>
          </w:p>
        </w:tc>
        <w:tc>
          <w:tcPr>
            <w:tcW w:w="433" w:type="dxa"/>
            <w:gridSpan w:val="2"/>
            <w:shd w:val="clear" w:color="auto" w:fill="BFBFBF"/>
            <w:vAlign w:val="center"/>
          </w:tcPr>
          <w:p w:rsidRPr="009C6DBA" w:rsidR="00521456" w:rsidP="00DE65D1" w:rsidRDefault="00521456" w14:paraId="31E66D72" w14:textId="77777777">
            <w:pPr>
              <w:spacing w:line="276" w:lineRule="auto"/>
              <w:ind w:firstLine="0"/>
              <w:jc w:val="center"/>
              <w:rPr>
                <w:rFonts w:eastAsia="Calibri" w:cs="Arial"/>
                <w:b/>
                <w:color w:val="007BC7"/>
                <w:sz w:val="16"/>
                <w:szCs w:val="16"/>
                <w:lang w:eastAsia="en-US"/>
              </w:rPr>
            </w:pPr>
          </w:p>
        </w:tc>
        <w:tc>
          <w:tcPr>
            <w:tcW w:w="559" w:type="dxa"/>
            <w:shd w:val="clear" w:color="auto" w:fill="BFBFBF"/>
            <w:vAlign w:val="center"/>
          </w:tcPr>
          <w:p w:rsidRPr="00363E1C" w:rsidR="00521456" w:rsidP="00DE65D1" w:rsidRDefault="00521456" w14:paraId="70018B19" w14:textId="77777777">
            <w:pPr>
              <w:spacing w:line="276" w:lineRule="auto"/>
              <w:ind w:firstLine="0"/>
              <w:rPr>
                <w:rFonts w:eastAsia="Calibri" w:cs="Arial"/>
                <w:sz w:val="16"/>
                <w:szCs w:val="16"/>
                <w:lang w:eastAsia="en-US"/>
              </w:rPr>
            </w:pPr>
          </w:p>
        </w:tc>
      </w:tr>
      <w:tr w:rsidRPr="00B65B22" w:rsidR="00521456" w:rsidTr="007E7EAD" w14:paraId="1EEFCE7B" w14:textId="77777777">
        <w:trPr>
          <w:trHeight w:val="255"/>
        </w:trPr>
        <w:tc>
          <w:tcPr>
            <w:tcW w:w="693" w:type="dxa"/>
            <w:shd w:val="clear" w:color="auto" w:fill="BFBFBF"/>
            <w:vAlign w:val="center"/>
          </w:tcPr>
          <w:p w:rsidRPr="00B65B22" w:rsidR="00521456" w:rsidP="00DE65D1" w:rsidRDefault="00521456" w14:paraId="34933CC1" w14:textId="77777777">
            <w:pPr>
              <w:spacing w:line="276" w:lineRule="auto"/>
              <w:ind w:firstLine="0"/>
              <w:jc w:val="right"/>
              <w:rPr>
                <w:rFonts w:eastAsia="Calibri" w:cs="Arial"/>
                <w:sz w:val="16"/>
                <w:szCs w:val="16"/>
                <w:lang w:eastAsia="en-US"/>
              </w:rPr>
            </w:pPr>
            <w:r w:rsidRPr="00B65B22">
              <w:rPr>
                <w:rFonts w:eastAsia="Calibri" w:cs="Arial"/>
                <w:sz w:val="16"/>
                <w:szCs w:val="16"/>
                <w:lang w:eastAsia="en-US"/>
              </w:rPr>
              <w:t>2.5</w:t>
            </w:r>
          </w:p>
        </w:tc>
        <w:tc>
          <w:tcPr>
            <w:tcW w:w="6352" w:type="dxa"/>
            <w:gridSpan w:val="2"/>
            <w:shd w:val="clear" w:color="auto" w:fill="007BC7"/>
            <w:vAlign w:val="center"/>
          </w:tcPr>
          <w:p w:rsidRPr="00B65B22" w:rsidR="00521456" w:rsidP="00CA33B2" w:rsidRDefault="00521456" w14:paraId="0F8E9494" w14:textId="77777777">
            <w:pPr>
              <w:spacing w:line="276" w:lineRule="auto"/>
              <w:ind w:firstLine="0"/>
              <w:rPr>
                <w:rFonts w:eastAsia="Calibri" w:cs="Arial"/>
                <w:color w:val="FFFFFF"/>
                <w:sz w:val="16"/>
                <w:szCs w:val="16"/>
                <w:lang w:eastAsia="en-US"/>
              </w:rPr>
            </w:pPr>
            <w:r w:rsidRPr="00B65B22">
              <w:rPr>
                <w:rFonts w:eastAsia="Calibri" w:cs="Arial"/>
                <w:color w:val="FFFFFF"/>
                <w:sz w:val="16"/>
                <w:szCs w:val="16"/>
                <w:lang w:eastAsia="en-US"/>
              </w:rPr>
              <w:t xml:space="preserve">Afgezonderde Particuliere Vermogens tijdens onderhandelingen besproken en zo nodig </w:t>
            </w:r>
            <w:r w:rsidRPr="00B65B22" w:rsidR="00CA33B2">
              <w:rPr>
                <w:rFonts w:eastAsia="Calibri" w:cs="Arial"/>
                <w:color w:val="FFFFFF"/>
                <w:sz w:val="16"/>
                <w:szCs w:val="16"/>
                <w:lang w:eastAsia="en-US"/>
              </w:rPr>
              <w:t xml:space="preserve">geregeld </w:t>
            </w:r>
            <w:r w:rsidRPr="00B65B22">
              <w:rPr>
                <w:rFonts w:eastAsia="Calibri" w:cs="Arial"/>
                <w:color w:val="FFFFFF"/>
                <w:sz w:val="16"/>
                <w:szCs w:val="16"/>
                <w:lang w:eastAsia="en-US"/>
              </w:rPr>
              <w:t>in het verdrag</w:t>
            </w:r>
          </w:p>
        </w:tc>
        <w:tc>
          <w:tcPr>
            <w:tcW w:w="356" w:type="dxa"/>
            <w:gridSpan w:val="5"/>
            <w:shd w:val="clear" w:color="auto" w:fill="BFBFBF"/>
            <w:vAlign w:val="center"/>
          </w:tcPr>
          <w:p w:rsidRPr="00B65B22" w:rsidR="00521456" w:rsidP="00DE65D1" w:rsidRDefault="00521456" w14:paraId="6BE6AAC9" w14:textId="77777777">
            <w:pPr>
              <w:spacing w:line="276" w:lineRule="auto"/>
              <w:ind w:firstLine="0"/>
              <w:rPr>
                <w:rFonts w:eastAsia="Calibri" w:cs="Arial"/>
                <w:b/>
                <w:color w:val="007BC7"/>
                <w:sz w:val="16"/>
                <w:szCs w:val="16"/>
                <w:lang w:eastAsia="en-US"/>
              </w:rPr>
            </w:pPr>
          </w:p>
        </w:tc>
        <w:tc>
          <w:tcPr>
            <w:tcW w:w="355" w:type="dxa"/>
            <w:gridSpan w:val="3"/>
            <w:shd w:val="clear" w:color="auto" w:fill="BFBFBF"/>
            <w:vAlign w:val="center"/>
          </w:tcPr>
          <w:p w:rsidRPr="00B65B22" w:rsidR="00521456" w:rsidP="00DE65D1" w:rsidRDefault="00521456" w14:paraId="0B32C3A1" w14:textId="77777777">
            <w:pPr>
              <w:spacing w:line="276" w:lineRule="auto"/>
              <w:ind w:firstLine="0"/>
              <w:jc w:val="center"/>
              <w:rPr>
                <w:rFonts w:eastAsia="Calibri" w:cs="Arial"/>
                <w:b/>
                <w:color w:val="007BC7"/>
                <w:sz w:val="16"/>
                <w:szCs w:val="16"/>
                <w:lang w:eastAsia="en-US"/>
              </w:rPr>
            </w:pPr>
          </w:p>
        </w:tc>
        <w:tc>
          <w:tcPr>
            <w:tcW w:w="428" w:type="dxa"/>
            <w:gridSpan w:val="2"/>
            <w:shd w:val="clear" w:color="auto" w:fill="BFBFBF"/>
            <w:vAlign w:val="center"/>
          </w:tcPr>
          <w:p w:rsidRPr="00CF0A8D" w:rsidR="00521456" w:rsidP="00DE65D1" w:rsidRDefault="00521456" w14:paraId="3587AC77" w14:textId="77777777">
            <w:pPr>
              <w:spacing w:line="276" w:lineRule="auto"/>
              <w:ind w:firstLine="0"/>
              <w:jc w:val="center"/>
              <w:rPr>
                <w:rFonts w:eastAsia="Calibri" w:cs="Arial"/>
                <w:b/>
                <w:color w:val="007BC7"/>
                <w:sz w:val="16"/>
                <w:szCs w:val="16"/>
                <w:lang w:eastAsia="en-US"/>
              </w:rPr>
            </w:pPr>
            <w:r w:rsidRPr="00CF0A8D">
              <w:rPr>
                <w:rFonts w:eastAsia="Calibri" w:cs="Arial"/>
                <w:b/>
                <w:color w:val="007BC7"/>
                <w:sz w:val="16"/>
                <w:szCs w:val="16"/>
                <w:lang w:eastAsia="en-US"/>
              </w:rPr>
              <w:t>X</w:t>
            </w:r>
          </w:p>
        </w:tc>
        <w:tc>
          <w:tcPr>
            <w:tcW w:w="433" w:type="dxa"/>
            <w:gridSpan w:val="2"/>
            <w:shd w:val="clear" w:color="auto" w:fill="BFBFBF"/>
            <w:vAlign w:val="center"/>
          </w:tcPr>
          <w:p w:rsidRPr="009C6DBA" w:rsidR="00521456" w:rsidP="00DE65D1" w:rsidRDefault="00521456" w14:paraId="30F014D1" w14:textId="77777777">
            <w:pPr>
              <w:spacing w:line="276" w:lineRule="auto"/>
              <w:ind w:firstLine="0"/>
              <w:jc w:val="center"/>
              <w:rPr>
                <w:rFonts w:eastAsia="Calibri" w:cs="Arial"/>
                <w:b/>
                <w:color w:val="007BC7"/>
                <w:sz w:val="16"/>
                <w:szCs w:val="16"/>
                <w:lang w:eastAsia="en-US"/>
              </w:rPr>
            </w:pPr>
          </w:p>
        </w:tc>
        <w:tc>
          <w:tcPr>
            <w:tcW w:w="559" w:type="dxa"/>
            <w:shd w:val="clear" w:color="auto" w:fill="BFBFBF"/>
            <w:vAlign w:val="center"/>
          </w:tcPr>
          <w:p w:rsidRPr="00363E1C" w:rsidR="00521456" w:rsidP="00DE65D1" w:rsidRDefault="00521456" w14:paraId="055B69A0" w14:textId="77777777">
            <w:pPr>
              <w:spacing w:line="276" w:lineRule="auto"/>
              <w:ind w:firstLine="0"/>
              <w:rPr>
                <w:rFonts w:eastAsia="Calibri" w:cs="Arial"/>
                <w:sz w:val="16"/>
                <w:szCs w:val="16"/>
                <w:lang w:eastAsia="en-US"/>
              </w:rPr>
            </w:pPr>
          </w:p>
        </w:tc>
      </w:tr>
      <w:tr w:rsidRPr="00B65B22" w:rsidR="00521456" w:rsidTr="007E7EAD" w14:paraId="64ED6D9B" w14:textId="77777777">
        <w:trPr>
          <w:gridAfter w:val="10"/>
          <w:wAfter w:w="1952" w:type="dxa"/>
          <w:cantSplit/>
          <w:trHeight w:val="403"/>
        </w:trPr>
        <w:tc>
          <w:tcPr>
            <w:tcW w:w="693" w:type="dxa"/>
            <w:shd w:val="clear" w:color="auto" w:fill="FFFFFF"/>
            <w:vAlign w:val="center"/>
          </w:tcPr>
          <w:p w:rsidRPr="00B65B22" w:rsidR="00521456" w:rsidP="00DE65D1" w:rsidRDefault="00521456" w14:paraId="70D116BA" w14:textId="77777777">
            <w:pPr>
              <w:spacing w:line="276" w:lineRule="auto"/>
              <w:ind w:firstLine="0"/>
              <w:jc w:val="right"/>
              <w:rPr>
                <w:rFonts w:eastAsia="Calibri" w:cs="Arial"/>
                <w:i/>
                <w:sz w:val="16"/>
                <w:szCs w:val="16"/>
                <w:lang w:eastAsia="en-US"/>
              </w:rPr>
            </w:pPr>
          </w:p>
        </w:tc>
        <w:tc>
          <w:tcPr>
            <w:tcW w:w="6531" w:type="dxa"/>
            <w:gridSpan w:val="5"/>
            <w:shd w:val="clear" w:color="auto" w:fill="FFFFFF"/>
            <w:vAlign w:val="center"/>
          </w:tcPr>
          <w:p w:rsidRPr="00B65B22" w:rsidR="00521456" w:rsidP="00DE65D1" w:rsidRDefault="00521456" w14:paraId="2061D9CE" w14:textId="77777777">
            <w:pPr>
              <w:ind w:firstLine="0"/>
              <w:rPr>
                <w:rFonts w:eastAsia="Calibri" w:cs="Arial"/>
                <w:i/>
                <w:sz w:val="16"/>
                <w:szCs w:val="16"/>
                <w:lang w:eastAsia="en-US"/>
              </w:rPr>
            </w:pPr>
            <w:r w:rsidRPr="00B65B22">
              <w:rPr>
                <w:rFonts w:eastAsia="Calibri" w:cs="Arial"/>
                <w:i/>
                <w:sz w:val="16"/>
                <w:szCs w:val="16"/>
                <w:lang w:eastAsia="en-US"/>
              </w:rPr>
              <w:t>Ondernemingswinsten</w:t>
            </w:r>
          </w:p>
        </w:tc>
      </w:tr>
      <w:tr w:rsidRPr="00B65B22" w:rsidR="00521456" w:rsidTr="007E7EAD" w14:paraId="4FD284A0" w14:textId="77777777">
        <w:trPr>
          <w:trHeight w:val="255"/>
        </w:trPr>
        <w:tc>
          <w:tcPr>
            <w:tcW w:w="693" w:type="dxa"/>
            <w:shd w:val="clear" w:color="auto" w:fill="BFBFBF"/>
            <w:vAlign w:val="center"/>
          </w:tcPr>
          <w:p w:rsidRPr="00B65B22" w:rsidR="00521456" w:rsidP="00DE65D1" w:rsidRDefault="00521456" w14:paraId="0392AEE0" w14:textId="77777777">
            <w:pPr>
              <w:spacing w:line="276" w:lineRule="auto"/>
              <w:ind w:firstLine="0"/>
              <w:jc w:val="right"/>
              <w:rPr>
                <w:rFonts w:eastAsia="Calibri" w:cs="Arial"/>
                <w:sz w:val="16"/>
                <w:szCs w:val="16"/>
                <w:lang w:eastAsia="en-US"/>
              </w:rPr>
            </w:pPr>
            <w:r w:rsidRPr="00B65B22">
              <w:rPr>
                <w:rFonts w:eastAsia="Calibri" w:cs="Arial"/>
                <w:sz w:val="16"/>
                <w:szCs w:val="16"/>
                <w:lang w:eastAsia="en-US"/>
              </w:rPr>
              <w:t>2.6.2</w:t>
            </w:r>
          </w:p>
        </w:tc>
        <w:tc>
          <w:tcPr>
            <w:tcW w:w="6352" w:type="dxa"/>
            <w:gridSpan w:val="2"/>
            <w:shd w:val="clear" w:color="auto" w:fill="007BC7"/>
            <w:vAlign w:val="center"/>
          </w:tcPr>
          <w:p w:rsidRPr="00B65B22" w:rsidR="00521456" w:rsidP="00DE65D1" w:rsidRDefault="00521456" w14:paraId="2D4B7981" w14:textId="77777777">
            <w:pPr>
              <w:spacing w:line="276" w:lineRule="auto"/>
              <w:ind w:firstLine="0"/>
              <w:rPr>
                <w:rFonts w:eastAsia="Calibri" w:cs="Arial"/>
                <w:color w:val="FFFFFF"/>
                <w:sz w:val="16"/>
                <w:szCs w:val="16"/>
                <w:lang w:eastAsia="en-US"/>
              </w:rPr>
            </w:pPr>
            <w:r w:rsidRPr="00B65B22">
              <w:rPr>
                <w:rFonts w:eastAsia="Calibri" w:cs="Arial"/>
                <w:color w:val="FFFFFF"/>
                <w:sz w:val="16"/>
                <w:szCs w:val="16"/>
                <w:lang w:eastAsia="en-US"/>
              </w:rPr>
              <w:t>Definitie ‘vaste inrichting’ in overeenstemming met OESO-beginselen</w:t>
            </w:r>
          </w:p>
        </w:tc>
        <w:tc>
          <w:tcPr>
            <w:tcW w:w="356" w:type="dxa"/>
            <w:gridSpan w:val="5"/>
            <w:shd w:val="clear" w:color="auto" w:fill="BFBFBF"/>
            <w:vAlign w:val="center"/>
          </w:tcPr>
          <w:p w:rsidRPr="00CF0A8D" w:rsidR="00521456" w:rsidP="00DE65D1" w:rsidRDefault="00521456" w14:paraId="43811132" w14:textId="77777777">
            <w:pPr>
              <w:spacing w:line="276" w:lineRule="auto"/>
              <w:ind w:firstLine="0"/>
              <w:jc w:val="center"/>
              <w:rPr>
                <w:rFonts w:eastAsia="Calibri" w:cs="Arial"/>
                <w:b/>
                <w:color w:val="007BC7"/>
                <w:sz w:val="16"/>
                <w:szCs w:val="16"/>
                <w:lang w:eastAsia="en-US"/>
              </w:rPr>
            </w:pPr>
            <w:r w:rsidRPr="00CF0A8D">
              <w:rPr>
                <w:rFonts w:eastAsia="Calibri" w:cs="Arial"/>
                <w:b/>
                <w:color w:val="007BC7"/>
                <w:sz w:val="16"/>
                <w:szCs w:val="16"/>
                <w:lang w:eastAsia="en-US"/>
              </w:rPr>
              <w:t>X</w:t>
            </w:r>
          </w:p>
        </w:tc>
        <w:tc>
          <w:tcPr>
            <w:tcW w:w="355" w:type="dxa"/>
            <w:gridSpan w:val="3"/>
            <w:shd w:val="clear" w:color="auto" w:fill="BFBFBF"/>
            <w:vAlign w:val="center"/>
          </w:tcPr>
          <w:p w:rsidRPr="009C6DBA" w:rsidR="00521456" w:rsidP="00DE65D1" w:rsidRDefault="00521456" w14:paraId="497D8201" w14:textId="77777777">
            <w:pPr>
              <w:spacing w:line="276" w:lineRule="auto"/>
              <w:ind w:firstLine="0"/>
              <w:jc w:val="center"/>
              <w:rPr>
                <w:rFonts w:eastAsia="Calibri" w:cs="Arial"/>
                <w:b/>
                <w:color w:val="007BC7"/>
                <w:sz w:val="16"/>
                <w:szCs w:val="16"/>
                <w:lang w:eastAsia="en-US"/>
              </w:rPr>
            </w:pPr>
          </w:p>
        </w:tc>
        <w:tc>
          <w:tcPr>
            <w:tcW w:w="428" w:type="dxa"/>
            <w:gridSpan w:val="2"/>
            <w:shd w:val="clear" w:color="auto" w:fill="BFBFBF"/>
            <w:vAlign w:val="center"/>
          </w:tcPr>
          <w:p w:rsidRPr="00363E1C" w:rsidR="00521456" w:rsidP="00DE65D1" w:rsidRDefault="00521456" w14:paraId="6EF14E35" w14:textId="77777777">
            <w:pPr>
              <w:spacing w:line="276" w:lineRule="auto"/>
              <w:ind w:firstLine="0"/>
              <w:jc w:val="center"/>
              <w:rPr>
                <w:rFonts w:eastAsia="Calibri" w:cs="Arial"/>
                <w:b/>
                <w:color w:val="007BC7"/>
                <w:sz w:val="16"/>
                <w:szCs w:val="16"/>
                <w:lang w:eastAsia="en-US"/>
              </w:rPr>
            </w:pPr>
          </w:p>
        </w:tc>
        <w:tc>
          <w:tcPr>
            <w:tcW w:w="433" w:type="dxa"/>
            <w:gridSpan w:val="2"/>
            <w:shd w:val="clear" w:color="auto" w:fill="BFBFBF"/>
            <w:vAlign w:val="center"/>
          </w:tcPr>
          <w:p w:rsidRPr="00363E1C" w:rsidR="00521456" w:rsidP="00DE65D1" w:rsidRDefault="00521456" w14:paraId="3A522C08" w14:textId="77777777">
            <w:pPr>
              <w:spacing w:line="276" w:lineRule="auto"/>
              <w:ind w:firstLine="0"/>
              <w:jc w:val="center"/>
              <w:rPr>
                <w:rFonts w:eastAsia="Calibri" w:cs="Arial"/>
                <w:b/>
                <w:color w:val="007BC7"/>
                <w:sz w:val="16"/>
                <w:szCs w:val="16"/>
                <w:lang w:eastAsia="en-US"/>
              </w:rPr>
            </w:pPr>
          </w:p>
        </w:tc>
        <w:tc>
          <w:tcPr>
            <w:tcW w:w="559" w:type="dxa"/>
            <w:shd w:val="clear" w:color="auto" w:fill="BFBFBF"/>
            <w:vAlign w:val="center"/>
          </w:tcPr>
          <w:p w:rsidRPr="00363E1C" w:rsidR="00521456" w:rsidP="00DE65D1" w:rsidRDefault="00521456" w14:paraId="7D701495" w14:textId="77777777">
            <w:pPr>
              <w:spacing w:line="276" w:lineRule="auto"/>
              <w:ind w:firstLine="0"/>
              <w:rPr>
                <w:rFonts w:eastAsia="Calibri" w:cs="Arial"/>
                <w:sz w:val="16"/>
                <w:szCs w:val="16"/>
                <w:lang w:eastAsia="en-US"/>
              </w:rPr>
            </w:pPr>
            <w:r w:rsidRPr="00363E1C">
              <w:rPr>
                <w:rFonts w:eastAsia="Calibri" w:cs="Arial"/>
                <w:sz w:val="16"/>
                <w:szCs w:val="16"/>
                <w:lang w:eastAsia="en-US"/>
              </w:rPr>
              <w:t>II.5</w:t>
            </w:r>
          </w:p>
        </w:tc>
      </w:tr>
      <w:tr w:rsidRPr="00B65B22" w:rsidR="00521456" w:rsidTr="007E7EAD" w14:paraId="7FA5634C" w14:textId="77777777">
        <w:trPr>
          <w:trHeight w:val="255"/>
        </w:trPr>
        <w:tc>
          <w:tcPr>
            <w:tcW w:w="693" w:type="dxa"/>
            <w:shd w:val="clear" w:color="auto" w:fill="BFBFBF"/>
            <w:vAlign w:val="center"/>
          </w:tcPr>
          <w:p w:rsidRPr="00B65B22" w:rsidR="00521456" w:rsidP="00DE65D1" w:rsidRDefault="00521456" w14:paraId="5A36C890" w14:textId="77777777">
            <w:pPr>
              <w:spacing w:line="276" w:lineRule="auto"/>
              <w:ind w:firstLine="0"/>
              <w:jc w:val="right"/>
              <w:rPr>
                <w:rFonts w:eastAsia="Calibri" w:cs="Arial"/>
                <w:sz w:val="16"/>
                <w:szCs w:val="16"/>
                <w:lang w:eastAsia="en-US"/>
              </w:rPr>
            </w:pPr>
            <w:r w:rsidRPr="00B65B22">
              <w:rPr>
                <w:rFonts w:eastAsia="Calibri" w:cs="Arial"/>
                <w:sz w:val="16"/>
                <w:szCs w:val="16"/>
                <w:lang w:eastAsia="en-US"/>
              </w:rPr>
              <w:t>2.6.3</w:t>
            </w:r>
          </w:p>
        </w:tc>
        <w:tc>
          <w:tcPr>
            <w:tcW w:w="6352" w:type="dxa"/>
            <w:gridSpan w:val="2"/>
            <w:shd w:val="clear" w:color="auto" w:fill="007BC7"/>
            <w:vAlign w:val="center"/>
          </w:tcPr>
          <w:p w:rsidRPr="00B65B22" w:rsidR="00521456" w:rsidP="00DE65D1" w:rsidRDefault="00521456" w14:paraId="02B91F5F" w14:textId="77777777">
            <w:pPr>
              <w:spacing w:line="276" w:lineRule="auto"/>
              <w:ind w:firstLine="0"/>
              <w:rPr>
                <w:rFonts w:eastAsia="Calibri" w:cs="Arial"/>
                <w:color w:val="FFFFFF"/>
                <w:sz w:val="16"/>
                <w:szCs w:val="16"/>
                <w:lang w:eastAsia="en-US"/>
              </w:rPr>
            </w:pPr>
            <w:r w:rsidRPr="00B65B22">
              <w:rPr>
                <w:rFonts w:eastAsia="Calibri" w:cs="Arial"/>
                <w:color w:val="FFFFFF"/>
                <w:sz w:val="16"/>
                <w:szCs w:val="16"/>
                <w:lang w:eastAsia="en-US"/>
              </w:rPr>
              <w:t>Specifieke bepaling in artikel inzake ‘vaste inrichting’ ter behoud van heffingsrecht over winsten behaald met werkzaamheden buitengaats opgenomen</w:t>
            </w:r>
          </w:p>
        </w:tc>
        <w:tc>
          <w:tcPr>
            <w:tcW w:w="356" w:type="dxa"/>
            <w:gridSpan w:val="5"/>
            <w:shd w:val="clear" w:color="auto" w:fill="BFBFBF"/>
            <w:vAlign w:val="center"/>
          </w:tcPr>
          <w:p w:rsidRPr="00CF0A8D" w:rsidR="00521456" w:rsidP="00DE65D1" w:rsidRDefault="00521456" w14:paraId="12F537F0" w14:textId="77777777">
            <w:pPr>
              <w:spacing w:line="276" w:lineRule="auto"/>
              <w:ind w:firstLine="0"/>
              <w:jc w:val="center"/>
              <w:rPr>
                <w:rFonts w:eastAsia="Calibri" w:cs="Arial"/>
                <w:b/>
                <w:color w:val="007BC7"/>
                <w:sz w:val="16"/>
                <w:szCs w:val="16"/>
                <w:lang w:eastAsia="en-US"/>
              </w:rPr>
            </w:pPr>
            <w:r w:rsidRPr="00CF0A8D">
              <w:rPr>
                <w:rFonts w:eastAsia="Calibri" w:cs="Arial"/>
                <w:b/>
                <w:color w:val="007BC7"/>
                <w:sz w:val="16"/>
                <w:szCs w:val="16"/>
                <w:lang w:eastAsia="en-US"/>
              </w:rPr>
              <w:t>X</w:t>
            </w:r>
          </w:p>
        </w:tc>
        <w:tc>
          <w:tcPr>
            <w:tcW w:w="355" w:type="dxa"/>
            <w:gridSpan w:val="3"/>
            <w:shd w:val="clear" w:color="auto" w:fill="BFBFBF"/>
            <w:vAlign w:val="center"/>
          </w:tcPr>
          <w:p w:rsidRPr="009C6DBA" w:rsidR="00521456" w:rsidP="00DE65D1" w:rsidRDefault="00521456" w14:paraId="646F9D0C" w14:textId="77777777">
            <w:pPr>
              <w:spacing w:line="276" w:lineRule="auto"/>
              <w:ind w:firstLine="0"/>
              <w:jc w:val="center"/>
              <w:rPr>
                <w:rFonts w:eastAsia="Calibri" w:cs="Arial"/>
                <w:b/>
                <w:color w:val="007BC7"/>
                <w:sz w:val="16"/>
                <w:szCs w:val="16"/>
                <w:lang w:eastAsia="en-US"/>
              </w:rPr>
            </w:pPr>
          </w:p>
        </w:tc>
        <w:tc>
          <w:tcPr>
            <w:tcW w:w="428" w:type="dxa"/>
            <w:gridSpan w:val="2"/>
            <w:shd w:val="clear" w:color="auto" w:fill="BFBFBF"/>
            <w:vAlign w:val="center"/>
          </w:tcPr>
          <w:p w:rsidRPr="00363E1C" w:rsidR="00521456" w:rsidP="00DE65D1" w:rsidRDefault="00521456" w14:paraId="28E8C24F" w14:textId="77777777">
            <w:pPr>
              <w:spacing w:line="276" w:lineRule="auto"/>
              <w:ind w:firstLine="0"/>
              <w:jc w:val="center"/>
              <w:rPr>
                <w:rFonts w:eastAsia="Calibri" w:cs="Arial"/>
                <w:b/>
                <w:color w:val="007BC7"/>
                <w:sz w:val="16"/>
                <w:szCs w:val="16"/>
                <w:lang w:eastAsia="en-US"/>
              </w:rPr>
            </w:pPr>
          </w:p>
        </w:tc>
        <w:tc>
          <w:tcPr>
            <w:tcW w:w="433" w:type="dxa"/>
            <w:gridSpan w:val="2"/>
            <w:shd w:val="clear" w:color="auto" w:fill="BFBFBF"/>
            <w:vAlign w:val="center"/>
          </w:tcPr>
          <w:p w:rsidRPr="00363E1C" w:rsidR="00521456" w:rsidP="00DE65D1" w:rsidRDefault="00521456" w14:paraId="0473083A" w14:textId="77777777">
            <w:pPr>
              <w:spacing w:line="276" w:lineRule="auto"/>
              <w:ind w:firstLine="0"/>
              <w:jc w:val="center"/>
              <w:rPr>
                <w:rFonts w:eastAsia="Calibri" w:cs="Arial"/>
                <w:b/>
                <w:color w:val="007BC7"/>
                <w:sz w:val="16"/>
                <w:szCs w:val="16"/>
                <w:lang w:eastAsia="en-US"/>
              </w:rPr>
            </w:pPr>
          </w:p>
        </w:tc>
        <w:tc>
          <w:tcPr>
            <w:tcW w:w="559" w:type="dxa"/>
            <w:shd w:val="clear" w:color="auto" w:fill="BFBFBF"/>
            <w:vAlign w:val="center"/>
          </w:tcPr>
          <w:p w:rsidRPr="00363E1C" w:rsidR="00521456" w:rsidP="00DE65D1" w:rsidRDefault="00521456" w14:paraId="4C0F3D09" w14:textId="77777777">
            <w:pPr>
              <w:spacing w:line="276" w:lineRule="auto"/>
              <w:ind w:firstLine="0"/>
              <w:rPr>
                <w:rFonts w:eastAsia="Calibri" w:cs="Arial"/>
                <w:sz w:val="16"/>
                <w:szCs w:val="16"/>
                <w:lang w:eastAsia="en-US"/>
              </w:rPr>
            </w:pPr>
            <w:r w:rsidRPr="00363E1C">
              <w:rPr>
                <w:rFonts w:eastAsia="Calibri" w:cs="Arial"/>
                <w:sz w:val="16"/>
                <w:szCs w:val="16"/>
                <w:lang w:eastAsia="en-US"/>
              </w:rPr>
              <w:t>II.19</w:t>
            </w:r>
          </w:p>
        </w:tc>
      </w:tr>
      <w:tr w:rsidRPr="00B65B22" w:rsidR="00521456" w:rsidTr="007E7EAD" w14:paraId="40C94F23" w14:textId="77777777">
        <w:trPr>
          <w:trHeight w:val="255"/>
        </w:trPr>
        <w:tc>
          <w:tcPr>
            <w:tcW w:w="693" w:type="dxa"/>
            <w:shd w:val="clear" w:color="auto" w:fill="BFBFBF"/>
            <w:vAlign w:val="center"/>
          </w:tcPr>
          <w:p w:rsidRPr="00B65B22" w:rsidR="00521456" w:rsidP="00DE65D1" w:rsidRDefault="00521456" w14:paraId="06DF636F" w14:textId="77777777">
            <w:pPr>
              <w:spacing w:line="276" w:lineRule="auto"/>
              <w:ind w:firstLine="0"/>
              <w:jc w:val="right"/>
              <w:rPr>
                <w:rFonts w:eastAsia="Calibri" w:cs="Arial"/>
                <w:sz w:val="16"/>
                <w:szCs w:val="16"/>
                <w:lang w:eastAsia="en-US"/>
              </w:rPr>
            </w:pPr>
            <w:r w:rsidRPr="00B65B22">
              <w:rPr>
                <w:rFonts w:eastAsia="Calibri" w:cs="Arial"/>
                <w:sz w:val="16"/>
                <w:szCs w:val="16"/>
                <w:lang w:eastAsia="en-US"/>
              </w:rPr>
              <w:t>2.6.4</w:t>
            </w:r>
          </w:p>
        </w:tc>
        <w:tc>
          <w:tcPr>
            <w:tcW w:w="6352" w:type="dxa"/>
            <w:gridSpan w:val="2"/>
            <w:shd w:val="clear" w:color="auto" w:fill="007BC7"/>
            <w:vAlign w:val="center"/>
          </w:tcPr>
          <w:p w:rsidRPr="00B65B22" w:rsidR="00521456" w:rsidP="00DE65D1" w:rsidRDefault="00521456" w14:paraId="42F64083" w14:textId="77777777">
            <w:pPr>
              <w:spacing w:line="276" w:lineRule="auto"/>
              <w:ind w:firstLine="0"/>
              <w:rPr>
                <w:rFonts w:eastAsia="Calibri" w:cs="Arial"/>
                <w:color w:val="FFFFFF"/>
                <w:sz w:val="16"/>
                <w:szCs w:val="16"/>
                <w:lang w:eastAsia="en-US"/>
              </w:rPr>
            </w:pPr>
            <w:r w:rsidRPr="00B65B22">
              <w:rPr>
                <w:rFonts w:eastAsia="Calibri" w:cs="Arial"/>
                <w:color w:val="FFFFFF"/>
                <w:sz w:val="16"/>
                <w:szCs w:val="16"/>
                <w:lang w:eastAsia="en-US"/>
              </w:rPr>
              <w:t>Winsttoerekening vaste inrichtingen conform artikel 7 OESO-modelverdrag</w:t>
            </w:r>
          </w:p>
        </w:tc>
        <w:tc>
          <w:tcPr>
            <w:tcW w:w="356" w:type="dxa"/>
            <w:gridSpan w:val="5"/>
            <w:shd w:val="clear" w:color="auto" w:fill="BFBFBF"/>
            <w:vAlign w:val="center"/>
          </w:tcPr>
          <w:p w:rsidRPr="00CF0A8D" w:rsidR="00521456" w:rsidP="00DE65D1" w:rsidRDefault="00521456" w14:paraId="7C15BB5A" w14:textId="77777777">
            <w:pPr>
              <w:spacing w:line="276" w:lineRule="auto"/>
              <w:ind w:firstLine="0"/>
              <w:jc w:val="center"/>
              <w:rPr>
                <w:rFonts w:eastAsia="Calibri" w:cs="Arial"/>
                <w:b/>
                <w:color w:val="007BC7"/>
                <w:sz w:val="16"/>
                <w:szCs w:val="16"/>
                <w:lang w:eastAsia="en-US"/>
              </w:rPr>
            </w:pPr>
            <w:r w:rsidRPr="00CF0A8D">
              <w:rPr>
                <w:rFonts w:eastAsia="Calibri" w:cs="Arial"/>
                <w:b/>
                <w:color w:val="007BC7"/>
                <w:sz w:val="16"/>
                <w:szCs w:val="16"/>
                <w:lang w:eastAsia="en-US"/>
              </w:rPr>
              <w:t>X</w:t>
            </w:r>
          </w:p>
        </w:tc>
        <w:tc>
          <w:tcPr>
            <w:tcW w:w="355" w:type="dxa"/>
            <w:gridSpan w:val="3"/>
            <w:shd w:val="clear" w:color="auto" w:fill="BFBFBF"/>
            <w:vAlign w:val="center"/>
          </w:tcPr>
          <w:p w:rsidRPr="009C6DBA" w:rsidR="00521456" w:rsidP="00DE65D1" w:rsidRDefault="00521456" w14:paraId="68C15CC3" w14:textId="77777777">
            <w:pPr>
              <w:spacing w:line="276" w:lineRule="auto"/>
              <w:ind w:firstLine="0"/>
              <w:jc w:val="center"/>
              <w:rPr>
                <w:rFonts w:eastAsia="Calibri" w:cs="Arial"/>
                <w:b/>
                <w:color w:val="007BC7"/>
                <w:sz w:val="16"/>
                <w:szCs w:val="16"/>
                <w:lang w:eastAsia="en-US"/>
              </w:rPr>
            </w:pPr>
          </w:p>
        </w:tc>
        <w:tc>
          <w:tcPr>
            <w:tcW w:w="428" w:type="dxa"/>
            <w:gridSpan w:val="2"/>
            <w:shd w:val="clear" w:color="auto" w:fill="BFBFBF"/>
            <w:vAlign w:val="center"/>
          </w:tcPr>
          <w:p w:rsidRPr="00363E1C" w:rsidR="00521456" w:rsidP="00DE65D1" w:rsidRDefault="00521456" w14:paraId="5D10826D" w14:textId="77777777">
            <w:pPr>
              <w:spacing w:line="276" w:lineRule="auto"/>
              <w:ind w:firstLine="0"/>
              <w:rPr>
                <w:rFonts w:eastAsia="Calibri" w:cs="Arial"/>
                <w:b/>
                <w:color w:val="007BC7"/>
                <w:sz w:val="16"/>
                <w:szCs w:val="16"/>
                <w:lang w:eastAsia="en-US"/>
              </w:rPr>
            </w:pPr>
          </w:p>
        </w:tc>
        <w:tc>
          <w:tcPr>
            <w:tcW w:w="433" w:type="dxa"/>
            <w:gridSpan w:val="2"/>
            <w:shd w:val="clear" w:color="auto" w:fill="BFBFBF"/>
            <w:vAlign w:val="center"/>
          </w:tcPr>
          <w:p w:rsidRPr="00363E1C" w:rsidR="00521456" w:rsidP="00DE65D1" w:rsidRDefault="00521456" w14:paraId="5D68646A" w14:textId="77777777">
            <w:pPr>
              <w:spacing w:line="276" w:lineRule="auto"/>
              <w:ind w:firstLine="0"/>
              <w:jc w:val="center"/>
              <w:rPr>
                <w:rFonts w:eastAsia="Calibri" w:cs="Arial"/>
                <w:b/>
                <w:color w:val="007BC7"/>
                <w:sz w:val="16"/>
                <w:szCs w:val="16"/>
                <w:lang w:eastAsia="en-US"/>
              </w:rPr>
            </w:pPr>
          </w:p>
        </w:tc>
        <w:tc>
          <w:tcPr>
            <w:tcW w:w="559" w:type="dxa"/>
            <w:shd w:val="clear" w:color="auto" w:fill="BFBFBF"/>
            <w:vAlign w:val="center"/>
          </w:tcPr>
          <w:p w:rsidRPr="00363E1C" w:rsidR="00521456" w:rsidP="00DE65D1" w:rsidRDefault="00521456" w14:paraId="08E12807" w14:textId="77777777">
            <w:pPr>
              <w:spacing w:line="276" w:lineRule="auto"/>
              <w:ind w:firstLine="0"/>
              <w:rPr>
                <w:rFonts w:eastAsia="Calibri" w:cs="Arial"/>
                <w:sz w:val="16"/>
                <w:szCs w:val="16"/>
                <w:lang w:eastAsia="en-US"/>
              </w:rPr>
            </w:pPr>
            <w:r w:rsidRPr="00363E1C">
              <w:rPr>
                <w:rFonts w:eastAsia="Calibri" w:cs="Arial"/>
                <w:sz w:val="16"/>
                <w:szCs w:val="16"/>
                <w:lang w:eastAsia="en-US"/>
              </w:rPr>
              <w:t>II.7</w:t>
            </w:r>
          </w:p>
        </w:tc>
      </w:tr>
      <w:tr w:rsidRPr="00B65B22" w:rsidR="00521456" w:rsidTr="007E7EAD" w14:paraId="1EE1F841" w14:textId="77777777">
        <w:trPr>
          <w:trHeight w:val="255"/>
        </w:trPr>
        <w:tc>
          <w:tcPr>
            <w:tcW w:w="693" w:type="dxa"/>
            <w:shd w:val="clear" w:color="auto" w:fill="BFBFBF"/>
            <w:vAlign w:val="center"/>
          </w:tcPr>
          <w:p w:rsidRPr="00B65B22" w:rsidR="00521456" w:rsidP="00DE65D1" w:rsidRDefault="00521456" w14:paraId="05EDCD35" w14:textId="77777777">
            <w:pPr>
              <w:spacing w:line="276" w:lineRule="auto"/>
              <w:ind w:firstLine="0"/>
              <w:jc w:val="right"/>
              <w:rPr>
                <w:rFonts w:eastAsia="Calibri" w:cs="Arial"/>
                <w:sz w:val="16"/>
                <w:szCs w:val="16"/>
                <w:lang w:eastAsia="en-US"/>
              </w:rPr>
            </w:pPr>
            <w:r w:rsidRPr="00B65B22">
              <w:rPr>
                <w:rFonts w:eastAsia="Calibri" w:cs="Arial"/>
                <w:sz w:val="16"/>
                <w:szCs w:val="16"/>
                <w:lang w:eastAsia="en-US"/>
              </w:rPr>
              <w:t>2.6.4</w:t>
            </w:r>
          </w:p>
        </w:tc>
        <w:tc>
          <w:tcPr>
            <w:tcW w:w="6352" w:type="dxa"/>
            <w:gridSpan w:val="2"/>
            <w:shd w:val="clear" w:color="auto" w:fill="007BC7"/>
            <w:vAlign w:val="center"/>
          </w:tcPr>
          <w:p w:rsidRPr="00B65B22" w:rsidR="00521456" w:rsidP="00DE65D1" w:rsidRDefault="00521456" w14:paraId="0EE6156A" w14:textId="77777777">
            <w:pPr>
              <w:spacing w:line="276" w:lineRule="auto"/>
              <w:ind w:firstLine="0"/>
              <w:rPr>
                <w:rFonts w:eastAsia="Calibri" w:cs="Arial"/>
                <w:color w:val="FFFFFF"/>
                <w:sz w:val="16"/>
                <w:szCs w:val="16"/>
                <w:lang w:eastAsia="en-US"/>
              </w:rPr>
            </w:pPr>
            <w:r w:rsidRPr="00B65B22">
              <w:rPr>
                <w:rFonts w:eastAsia="Calibri" w:cs="Arial"/>
                <w:color w:val="FFFFFF"/>
                <w:sz w:val="16"/>
                <w:szCs w:val="16"/>
                <w:lang w:eastAsia="en-US"/>
              </w:rPr>
              <w:t>Toegang tot onderlingoverlegprocedure en arbitrage in kwesties over winsttoerekening en verrekenprijzen</w:t>
            </w:r>
          </w:p>
        </w:tc>
        <w:tc>
          <w:tcPr>
            <w:tcW w:w="356" w:type="dxa"/>
            <w:gridSpan w:val="5"/>
            <w:shd w:val="clear" w:color="auto" w:fill="BFBFBF"/>
            <w:vAlign w:val="center"/>
          </w:tcPr>
          <w:p w:rsidRPr="00CF0A8D" w:rsidR="00521456" w:rsidP="00DE65D1" w:rsidRDefault="00521456" w14:paraId="2BD04EF6" w14:textId="77777777">
            <w:pPr>
              <w:spacing w:line="276" w:lineRule="auto"/>
              <w:ind w:firstLine="0"/>
              <w:jc w:val="center"/>
              <w:rPr>
                <w:rFonts w:eastAsia="Calibri" w:cs="Arial"/>
                <w:b/>
                <w:color w:val="007BC7"/>
                <w:sz w:val="16"/>
                <w:szCs w:val="16"/>
                <w:lang w:eastAsia="en-US"/>
              </w:rPr>
            </w:pPr>
            <w:r w:rsidRPr="00CF0A8D">
              <w:rPr>
                <w:rFonts w:eastAsia="Calibri" w:cs="Arial"/>
                <w:b/>
                <w:color w:val="007BC7"/>
                <w:sz w:val="16"/>
                <w:szCs w:val="16"/>
                <w:lang w:eastAsia="en-US"/>
              </w:rPr>
              <w:t>X</w:t>
            </w:r>
          </w:p>
        </w:tc>
        <w:tc>
          <w:tcPr>
            <w:tcW w:w="355" w:type="dxa"/>
            <w:gridSpan w:val="3"/>
            <w:shd w:val="clear" w:color="auto" w:fill="BFBFBF"/>
            <w:vAlign w:val="center"/>
          </w:tcPr>
          <w:p w:rsidRPr="009C6DBA" w:rsidR="00521456" w:rsidP="00DE65D1" w:rsidRDefault="00521456" w14:paraId="717209D5" w14:textId="77777777">
            <w:pPr>
              <w:spacing w:line="276" w:lineRule="auto"/>
              <w:ind w:firstLine="0"/>
              <w:jc w:val="center"/>
              <w:rPr>
                <w:rFonts w:eastAsia="Calibri" w:cs="Arial"/>
                <w:b/>
                <w:color w:val="007BC7"/>
                <w:sz w:val="16"/>
                <w:szCs w:val="16"/>
                <w:lang w:eastAsia="en-US"/>
              </w:rPr>
            </w:pPr>
          </w:p>
        </w:tc>
        <w:tc>
          <w:tcPr>
            <w:tcW w:w="428" w:type="dxa"/>
            <w:gridSpan w:val="2"/>
            <w:shd w:val="clear" w:color="auto" w:fill="BFBFBF"/>
            <w:vAlign w:val="center"/>
          </w:tcPr>
          <w:p w:rsidRPr="00363E1C" w:rsidR="00521456" w:rsidP="00DE65D1" w:rsidRDefault="00521456" w14:paraId="3EF021BF" w14:textId="77777777">
            <w:pPr>
              <w:spacing w:line="276" w:lineRule="auto"/>
              <w:ind w:firstLine="0"/>
              <w:jc w:val="center"/>
              <w:rPr>
                <w:rFonts w:eastAsia="Calibri" w:cs="Arial"/>
                <w:b/>
                <w:color w:val="007BC7"/>
                <w:sz w:val="16"/>
                <w:szCs w:val="16"/>
                <w:lang w:eastAsia="en-US"/>
              </w:rPr>
            </w:pPr>
          </w:p>
        </w:tc>
        <w:tc>
          <w:tcPr>
            <w:tcW w:w="433" w:type="dxa"/>
            <w:gridSpan w:val="2"/>
            <w:shd w:val="clear" w:color="auto" w:fill="BFBFBF"/>
            <w:vAlign w:val="center"/>
          </w:tcPr>
          <w:p w:rsidRPr="00363E1C" w:rsidR="00521456" w:rsidP="00DE65D1" w:rsidRDefault="00521456" w14:paraId="1D4B6F7C" w14:textId="77777777">
            <w:pPr>
              <w:spacing w:line="276" w:lineRule="auto"/>
              <w:ind w:firstLine="0"/>
              <w:jc w:val="center"/>
              <w:rPr>
                <w:rFonts w:eastAsia="Calibri" w:cs="Arial"/>
                <w:b/>
                <w:color w:val="007BC7"/>
                <w:sz w:val="16"/>
                <w:szCs w:val="16"/>
                <w:lang w:eastAsia="en-US"/>
              </w:rPr>
            </w:pPr>
          </w:p>
        </w:tc>
        <w:tc>
          <w:tcPr>
            <w:tcW w:w="559" w:type="dxa"/>
            <w:shd w:val="clear" w:color="auto" w:fill="BFBFBF"/>
            <w:vAlign w:val="center"/>
          </w:tcPr>
          <w:p w:rsidRPr="00363E1C" w:rsidR="00521456" w:rsidP="00DE65D1" w:rsidRDefault="00521456" w14:paraId="7200AC61" w14:textId="77777777">
            <w:pPr>
              <w:spacing w:line="276" w:lineRule="auto"/>
              <w:ind w:firstLine="0"/>
              <w:rPr>
                <w:rFonts w:eastAsia="Calibri" w:cs="Arial"/>
                <w:sz w:val="16"/>
                <w:szCs w:val="16"/>
                <w:lang w:eastAsia="en-US"/>
              </w:rPr>
            </w:pPr>
            <w:r w:rsidRPr="00363E1C">
              <w:rPr>
                <w:rFonts w:eastAsia="Calibri" w:cs="Arial"/>
                <w:sz w:val="16"/>
                <w:szCs w:val="16"/>
                <w:lang w:eastAsia="en-US"/>
              </w:rPr>
              <w:t>II.23</w:t>
            </w:r>
          </w:p>
        </w:tc>
      </w:tr>
      <w:tr w:rsidRPr="00B65B22" w:rsidR="00521456" w:rsidTr="007E7EAD" w14:paraId="2D4238FF" w14:textId="77777777">
        <w:trPr>
          <w:trHeight w:val="255"/>
        </w:trPr>
        <w:tc>
          <w:tcPr>
            <w:tcW w:w="693" w:type="dxa"/>
            <w:shd w:val="clear" w:color="auto" w:fill="BFBFBF"/>
            <w:vAlign w:val="center"/>
          </w:tcPr>
          <w:p w:rsidRPr="00B65B22" w:rsidR="00521456" w:rsidP="00DE65D1" w:rsidRDefault="00521456" w14:paraId="5DFDA88F" w14:textId="77777777">
            <w:pPr>
              <w:spacing w:line="276" w:lineRule="auto"/>
              <w:ind w:firstLine="0"/>
              <w:jc w:val="right"/>
              <w:rPr>
                <w:rFonts w:eastAsia="Calibri" w:cs="Arial"/>
                <w:sz w:val="16"/>
                <w:szCs w:val="16"/>
                <w:lang w:eastAsia="en-US"/>
              </w:rPr>
            </w:pPr>
            <w:r w:rsidRPr="00B65B22">
              <w:rPr>
                <w:rFonts w:eastAsia="Calibri" w:cs="Arial"/>
                <w:sz w:val="16"/>
                <w:szCs w:val="16"/>
                <w:lang w:eastAsia="en-US"/>
              </w:rPr>
              <w:t>2.6.5</w:t>
            </w:r>
          </w:p>
        </w:tc>
        <w:tc>
          <w:tcPr>
            <w:tcW w:w="6352" w:type="dxa"/>
            <w:gridSpan w:val="2"/>
            <w:shd w:val="clear" w:color="auto" w:fill="007BC7"/>
            <w:vAlign w:val="center"/>
          </w:tcPr>
          <w:p w:rsidRPr="00B65B22" w:rsidR="00521456" w:rsidP="00DE65D1" w:rsidRDefault="00521456" w14:paraId="673852B5" w14:textId="77777777">
            <w:pPr>
              <w:spacing w:line="276" w:lineRule="auto"/>
              <w:ind w:firstLine="0"/>
              <w:rPr>
                <w:rFonts w:eastAsia="Calibri" w:cs="Arial"/>
                <w:color w:val="FFFFFF"/>
                <w:sz w:val="16"/>
                <w:szCs w:val="16"/>
                <w:lang w:eastAsia="en-US"/>
              </w:rPr>
            </w:pPr>
            <w:r w:rsidRPr="00B65B22">
              <w:rPr>
                <w:rFonts w:eastAsia="Calibri" w:cs="Arial"/>
                <w:color w:val="FFFFFF"/>
                <w:sz w:val="16"/>
                <w:szCs w:val="16"/>
                <w:lang w:eastAsia="en-US"/>
              </w:rPr>
              <w:t xml:space="preserve">Toekenning heffingsrecht scheep- en luchtvaartwinsten behaald in het internationale verkeer aan de staat van de werkelijke leiding van de onderneming </w:t>
            </w:r>
          </w:p>
        </w:tc>
        <w:tc>
          <w:tcPr>
            <w:tcW w:w="356" w:type="dxa"/>
            <w:gridSpan w:val="5"/>
            <w:shd w:val="clear" w:color="auto" w:fill="BFBFBF"/>
            <w:vAlign w:val="center"/>
          </w:tcPr>
          <w:p w:rsidRPr="00CF0A8D" w:rsidR="00521456" w:rsidP="00DE65D1" w:rsidRDefault="00521456" w14:paraId="76C9E502" w14:textId="77777777">
            <w:pPr>
              <w:spacing w:line="276" w:lineRule="auto"/>
              <w:ind w:firstLine="0"/>
              <w:jc w:val="center"/>
              <w:rPr>
                <w:rFonts w:eastAsia="Calibri" w:cs="Arial"/>
                <w:b/>
                <w:color w:val="007BC7"/>
                <w:sz w:val="16"/>
                <w:szCs w:val="16"/>
                <w:lang w:eastAsia="en-US"/>
              </w:rPr>
            </w:pPr>
            <w:r w:rsidRPr="00CF0A8D">
              <w:rPr>
                <w:rFonts w:eastAsia="Calibri" w:cs="Arial"/>
                <w:b/>
                <w:color w:val="007BC7"/>
                <w:sz w:val="16"/>
                <w:szCs w:val="16"/>
                <w:lang w:eastAsia="en-US"/>
              </w:rPr>
              <w:t>X</w:t>
            </w:r>
          </w:p>
        </w:tc>
        <w:tc>
          <w:tcPr>
            <w:tcW w:w="355" w:type="dxa"/>
            <w:gridSpan w:val="3"/>
            <w:shd w:val="clear" w:color="auto" w:fill="BFBFBF"/>
            <w:vAlign w:val="center"/>
          </w:tcPr>
          <w:p w:rsidRPr="009C6DBA" w:rsidR="00521456" w:rsidP="00DE65D1" w:rsidRDefault="00521456" w14:paraId="3A637636" w14:textId="77777777">
            <w:pPr>
              <w:spacing w:line="276" w:lineRule="auto"/>
              <w:ind w:firstLine="0"/>
              <w:jc w:val="center"/>
              <w:rPr>
                <w:rFonts w:eastAsia="Calibri" w:cs="Arial"/>
                <w:b/>
                <w:color w:val="007BC7"/>
                <w:sz w:val="16"/>
                <w:szCs w:val="16"/>
                <w:lang w:eastAsia="en-US"/>
              </w:rPr>
            </w:pPr>
          </w:p>
        </w:tc>
        <w:tc>
          <w:tcPr>
            <w:tcW w:w="428" w:type="dxa"/>
            <w:gridSpan w:val="2"/>
            <w:shd w:val="clear" w:color="auto" w:fill="BFBFBF"/>
            <w:vAlign w:val="center"/>
          </w:tcPr>
          <w:p w:rsidRPr="00363E1C" w:rsidR="00521456" w:rsidP="00DE65D1" w:rsidRDefault="00521456" w14:paraId="14BAD275" w14:textId="77777777">
            <w:pPr>
              <w:spacing w:line="276" w:lineRule="auto"/>
              <w:ind w:firstLine="0"/>
              <w:jc w:val="center"/>
              <w:rPr>
                <w:rFonts w:eastAsia="Calibri" w:cs="Arial"/>
                <w:b/>
                <w:color w:val="007BC7"/>
                <w:sz w:val="16"/>
                <w:szCs w:val="16"/>
                <w:lang w:eastAsia="en-US"/>
              </w:rPr>
            </w:pPr>
          </w:p>
        </w:tc>
        <w:tc>
          <w:tcPr>
            <w:tcW w:w="433" w:type="dxa"/>
            <w:gridSpan w:val="2"/>
            <w:shd w:val="clear" w:color="auto" w:fill="BFBFBF"/>
            <w:vAlign w:val="center"/>
          </w:tcPr>
          <w:p w:rsidRPr="00363E1C" w:rsidR="00521456" w:rsidP="00DE65D1" w:rsidRDefault="00521456" w14:paraId="5E288800" w14:textId="77777777">
            <w:pPr>
              <w:spacing w:line="276" w:lineRule="auto"/>
              <w:ind w:firstLine="0"/>
              <w:jc w:val="center"/>
              <w:rPr>
                <w:rFonts w:eastAsia="Calibri" w:cs="Arial"/>
                <w:b/>
                <w:color w:val="007BC7"/>
                <w:sz w:val="16"/>
                <w:szCs w:val="16"/>
                <w:lang w:eastAsia="en-US"/>
              </w:rPr>
            </w:pPr>
          </w:p>
        </w:tc>
        <w:tc>
          <w:tcPr>
            <w:tcW w:w="559" w:type="dxa"/>
            <w:shd w:val="clear" w:color="auto" w:fill="BFBFBF"/>
            <w:vAlign w:val="center"/>
          </w:tcPr>
          <w:p w:rsidRPr="00363E1C" w:rsidR="00521456" w:rsidP="00DE65D1" w:rsidRDefault="00521456" w14:paraId="53F65C5D" w14:textId="77777777">
            <w:pPr>
              <w:spacing w:line="276" w:lineRule="auto"/>
              <w:ind w:firstLine="0"/>
              <w:rPr>
                <w:rFonts w:eastAsia="Calibri" w:cs="Arial"/>
                <w:sz w:val="16"/>
                <w:szCs w:val="16"/>
                <w:lang w:eastAsia="en-US"/>
              </w:rPr>
            </w:pPr>
            <w:r w:rsidRPr="00363E1C">
              <w:rPr>
                <w:rFonts w:eastAsia="Calibri" w:cs="Arial"/>
                <w:sz w:val="16"/>
                <w:szCs w:val="16"/>
                <w:lang w:eastAsia="en-US"/>
              </w:rPr>
              <w:t>II.8</w:t>
            </w:r>
          </w:p>
        </w:tc>
      </w:tr>
      <w:tr w:rsidRPr="00B65B22" w:rsidR="00521456" w:rsidTr="007E7EAD" w14:paraId="0ACC7533" w14:textId="77777777">
        <w:trPr>
          <w:trHeight w:val="255"/>
        </w:trPr>
        <w:tc>
          <w:tcPr>
            <w:tcW w:w="693" w:type="dxa"/>
            <w:shd w:val="clear" w:color="auto" w:fill="BFBFBF"/>
            <w:vAlign w:val="center"/>
          </w:tcPr>
          <w:p w:rsidRPr="00B65B22" w:rsidR="00521456" w:rsidP="00DE65D1" w:rsidRDefault="00521456" w14:paraId="609166FA" w14:textId="77777777">
            <w:pPr>
              <w:spacing w:line="276" w:lineRule="auto"/>
              <w:ind w:firstLine="0"/>
              <w:jc w:val="right"/>
              <w:rPr>
                <w:rFonts w:eastAsia="Calibri" w:cs="Arial"/>
                <w:sz w:val="16"/>
                <w:szCs w:val="16"/>
                <w:lang w:eastAsia="en-US"/>
              </w:rPr>
            </w:pPr>
            <w:r w:rsidRPr="00B65B22">
              <w:rPr>
                <w:rFonts w:eastAsia="Calibri" w:cs="Arial"/>
                <w:sz w:val="16"/>
                <w:szCs w:val="16"/>
                <w:lang w:eastAsia="en-US"/>
              </w:rPr>
              <w:t>2.6.5</w:t>
            </w:r>
          </w:p>
        </w:tc>
        <w:tc>
          <w:tcPr>
            <w:tcW w:w="1350" w:type="dxa"/>
            <w:shd w:val="clear" w:color="auto" w:fill="BFBFBF"/>
            <w:vAlign w:val="center"/>
          </w:tcPr>
          <w:p w:rsidRPr="00B65B22" w:rsidR="00521456" w:rsidP="00DE65D1" w:rsidRDefault="00521456" w14:paraId="45286494" w14:textId="77777777">
            <w:pPr>
              <w:spacing w:line="276" w:lineRule="auto"/>
              <w:ind w:firstLine="0"/>
              <w:rPr>
                <w:rFonts w:cs="Arial"/>
                <w:color w:val="000000"/>
                <w:sz w:val="16"/>
                <w:szCs w:val="16"/>
              </w:rPr>
            </w:pPr>
            <w:r w:rsidRPr="00B65B22">
              <w:rPr>
                <w:rFonts w:eastAsia="Calibri" w:cs="Arial"/>
                <w:color w:val="000000"/>
                <w:sz w:val="16"/>
                <w:szCs w:val="16"/>
                <w:lang w:eastAsia="en-US"/>
              </w:rPr>
              <w:t>Terugvaloptie:</w:t>
            </w:r>
          </w:p>
        </w:tc>
        <w:tc>
          <w:tcPr>
            <w:tcW w:w="5002" w:type="dxa"/>
            <w:shd w:val="clear" w:color="auto" w:fill="007BC7"/>
            <w:vAlign w:val="center"/>
          </w:tcPr>
          <w:p w:rsidRPr="00B65B22" w:rsidR="00521456" w:rsidP="00DE65D1" w:rsidRDefault="00521456" w14:paraId="39A760DA" w14:textId="77777777">
            <w:pPr>
              <w:spacing w:line="276" w:lineRule="auto"/>
              <w:ind w:firstLine="0"/>
              <w:rPr>
                <w:rFonts w:cs="Arial"/>
                <w:color w:val="FFFFFF"/>
                <w:sz w:val="16"/>
                <w:szCs w:val="16"/>
              </w:rPr>
            </w:pPr>
            <w:r w:rsidRPr="00B65B22">
              <w:rPr>
                <w:rFonts w:eastAsia="Calibri" w:cs="Arial"/>
                <w:color w:val="FFFFFF"/>
                <w:sz w:val="16"/>
                <w:szCs w:val="16"/>
                <w:lang w:eastAsia="en-US"/>
              </w:rPr>
              <w:t>Beperkte bronstaatsheffing scheep- en luchtvaartwinsten</w:t>
            </w:r>
          </w:p>
        </w:tc>
        <w:tc>
          <w:tcPr>
            <w:tcW w:w="356" w:type="dxa"/>
            <w:gridSpan w:val="5"/>
            <w:shd w:val="clear" w:color="auto" w:fill="BFBFBF"/>
            <w:vAlign w:val="center"/>
          </w:tcPr>
          <w:p w:rsidRPr="00B65B22" w:rsidR="00521456" w:rsidP="00DE65D1" w:rsidRDefault="00521456" w14:paraId="653B51ED" w14:textId="77777777">
            <w:pPr>
              <w:spacing w:line="276" w:lineRule="auto"/>
              <w:ind w:firstLine="0"/>
              <w:jc w:val="center"/>
              <w:rPr>
                <w:rFonts w:eastAsia="Calibri" w:cs="Arial"/>
                <w:b/>
                <w:color w:val="007BC7"/>
                <w:sz w:val="16"/>
                <w:szCs w:val="16"/>
                <w:lang w:eastAsia="en-US"/>
              </w:rPr>
            </w:pPr>
          </w:p>
        </w:tc>
        <w:tc>
          <w:tcPr>
            <w:tcW w:w="355" w:type="dxa"/>
            <w:gridSpan w:val="3"/>
            <w:shd w:val="clear" w:color="auto" w:fill="BFBFBF"/>
            <w:vAlign w:val="center"/>
          </w:tcPr>
          <w:p w:rsidRPr="00B65B22" w:rsidR="00521456" w:rsidP="00DE65D1" w:rsidRDefault="00521456" w14:paraId="2FC2DCEC" w14:textId="77777777">
            <w:pPr>
              <w:spacing w:line="276" w:lineRule="auto"/>
              <w:ind w:firstLine="0"/>
              <w:jc w:val="center"/>
              <w:rPr>
                <w:rFonts w:eastAsia="Calibri" w:cs="Arial"/>
                <w:b/>
                <w:color w:val="007BC7"/>
                <w:sz w:val="16"/>
                <w:szCs w:val="16"/>
                <w:lang w:eastAsia="en-US"/>
              </w:rPr>
            </w:pPr>
          </w:p>
        </w:tc>
        <w:tc>
          <w:tcPr>
            <w:tcW w:w="428" w:type="dxa"/>
            <w:gridSpan w:val="2"/>
            <w:shd w:val="clear" w:color="auto" w:fill="BFBFBF"/>
            <w:vAlign w:val="center"/>
          </w:tcPr>
          <w:p w:rsidRPr="00B65B22" w:rsidR="00521456" w:rsidP="00DE65D1" w:rsidRDefault="00521456" w14:paraId="61A20BD2" w14:textId="77777777">
            <w:pPr>
              <w:spacing w:line="276" w:lineRule="auto"/>
              <w:ind w:firstLine="0"/>
              <w:jc w:val="center"/>
              <w:rPr>
                <w:rFonts w:eastAsia="Calibri" w:cs="Arial"/>
                <w:b/>
                <w:color w:val="007BC7"/>
                <w:sz w:val="16"/>
                <w:szCs w:val="16"/>
                <w:lang w:eastAsia="en-US"/>
              </w:rPr>
            </w:pPr>
          </w:p>
        </w:tc>
        <w:tc>
          <w:tcPr>
            <w:tcW w:w="433" w:type="dxa"/>
            <w:gridSpan w:val="2"/>
            <w:shd w:val="clear" w:color="auto" w:fill="BFBFBF"/>
            <w:vAlign w:val="center"/>
          </w:tcPr>
          <w:p w:rsidRPr="00CF0A8D" w:rsidR="00521456" w:rsidP="00DE65D1" w:rsidRDefault="00521456" w14:paraId="20AC5913" w14:textId="77777777">
            <w:pPr>
              <w:spacing w:line="276" w:lineRule="auto"/>
              <w:ind w:firstLine="0"/>
              <w:jc w:val="center"/>
              <w:rPr>
                <w:rFonts w:eastAsia="Calibri" w:cs="Arial"/>
                <w:b/>
                <w:color w:val="007BC7"/>
                <w:sz w:val="16"/>
                <w:szCs w:val="16"/>
                <w:lang w:eastAsia="en-US"/>
              </w:rPr>
            </w:pPr>
            <w:r w:rsidRPr="00CF0A8D">
              <w:rPr>
                <w:rFonts w:eastAsia="Calibri" w:cs="Arial"/>
                <w:b/>
                <w:color w:val="007BC7"/>
                <w:sz w:val="16"/>
                <w:szCs w:val="16"/>
                <w:lang w:eastAsia="en-US"/>
              </w:rPr>
              <w:t>X</w:t>
            </w:r>
          </w:p>
        </w:tc>
        <w:tc>
          <w:tcPr>
            <w:tcW w:w="559" w:type="dxa"/>
            <w:shd w:val="clear" w:color="auto" w:fill="BFBFBF"/>
            <w:vAlign w:val="center"/>
          </w:tcPr>
          <w:p w:rsidRPr="009C6DBA" w:rsidR="00521456" w:rsidP="00DE65D1" w:rsidRDefault="00521456" w14:paraId="0EE1E2F4" w14:textId="77777777">
            <w:pPr>
              <w:spacing w:line="276" w:lineRule="auto"/>
              <w:ind w:firstLine="0"/>
              <w:rPr>
                <w:rFonts w:eastAsia="Calibri" w:cs="Arial"/>
                <w:sz w:val="16"/>
                <w:szCs w:val="16"/>
                <w:lang w:eastAsia="en-US"/>
              </w:rPr>
            </w:pPr>
          </w:p>
        </w:tc>
      </w:tr>
      <w:tr w:rsidRPr="00B65B22" w:rsidR="00521456" w:rsidTr="007E7EAD" w14:paraId="522DBF06" w14:textId="77777777">
        <w:trPr>
          <w:trHeight w:val="255"/>
        </w:trPr>
        <w:tc>
          <w:tcPr>
            <w:tcW w:w="693" w:type="dxa"/>
            <w:shd w:val="clear" w:color="auto" w:fill="BFBFBF"/>
            <w:vAlign w:val="center"/>
          </w:tcPr>
          <w:p w:rsidRPr="00B65B22" w:rsidR="00521456" w:rsidP="00DE65D1" w:rsidRDefault="00521456" w14:paraId="60B8CEBC" w14:textId="77777777">
            <w:pPr>
              <w:spacing w:line="276" w:lineRule="auto"/>
              <w:ind w:firstLine="0"/>
              <w:jc w:val="right"/>
              <w:rPr>
                <w:rFonts w:eastAsia="Calibri" w:cs="Arial"/>
                <w:sz w:val="16"/>
                <w:szCs w:val="16"/>
                <w:lang w:eastAsia="en-US"/>
              </w:rPr>
            </w:pPr>
            <w:r w:rsidRPr="00B65B22">
              <w:rPr>
                <w:rFonts w:eastAsia="Calibri" w:cs="Arial"/>
                <w:sz w:val="16"/>
                <w:szCs w:val="16"/>
                <w:lang w:eastAsia="en-US"/>
              </w:rPr>
              <w:t>2.6.5</w:t>
            </w:r>
          </w:p>
        </w:tc>
        <w:tc>
          <w:tcPr>
            <w:tcW w:w="6352" w:type="dxa"/>
            <w:gridSpan w:val="2"/>
            <w:shd w:val="clear" w:color="auto" w:fill="007BC7"/>
            <w:vAlign w:val="center"/>
          </w:tcPr>
          <w:p w:rsidRPr="00B65B22" w:rsidR="00521456" w:rsidP="00DE65D1" w:rsidRDefault="00521456" w14:paraId="2CDFFEC1" w14:textId="77777777">
            <w:pPr>
              <w:spacing w:line="276" w:lineRule="auto"/>
              <w:ind w:firstLine="0"/>
              <w:rPr>
                <w:rFonts w:cs="Arial"/>
                <w:color w:val="FFFFFF"/>
              </w:rPr>
            </w:pPr>
            <w:r w:rsidRPr="00B65B22">
              <w:rPr>
                <w:rFonts w:eastAsia="Calibri" w:cs="Arial"/>
                <w:color w:val="FFFFFF"/>
                <w:sz w:val="16"/>
                <w:szCs w:val="16"/>
                <w:lang w:eastAsia="en-US"/>
              </w:rPr>
              <w:t>Vrijwaring van heffingen over de omzet behaald met passagiers- en vrachtvervoer</w:t>
            </w:r>
          </w:p>
        </w:tc>
        <w:tc>
          <w:tcPr>
            <w:tcW w:w="356" w:type="dxa"/>
            <w:gridSpan w:val="5"/>
            <w:shd w:val="clear" w:color="auto" w:fill="BFBFBF"/>
            <w:vAlign w:val="center"/>
          </w:tcPr>
          <w:p w:rsidRPr="00B65B22" w:rsidR="00521456" w:rsidP="00DE65D1" w:rsidRDefault="00521456" w14:paraId="283D00A4" w14:textId="77777777">
            <w:pPr>
              <w:spacing w:line="276" w:lineRule="auto"/>
              <w:ind w:firstLine="0"/>
              <w:jc w:val="center"/>
              <w:rPr>
                <w:rFonts w:eastAsia="Calibri" w:cs="Arial"/>
                <w:b/>
                <w:color w:val="007BC7"/>
                <w:sz w:val="16"/>
                <w:szCs w:val="16"/>
                <w:lang w:eastAsia="en-US"/>
              </w:rPr>
            </w:pPr>
          </w:p>
        </w:tc>
        <w:tc>
          <w:tcPr>
            <w:tcW w:w="355" w:type="dxa"/>
            <w:gridSpan w:val="3"/>
            <w:shd w:val="clear" w:color="auto" w:fill="BFBFBF"/>
            <w:vAlign w:val="center"/>
          </w:tcPr>
          <w:p w:rsidRPr="00B65B22" w:rsidR="00521456" w:rsidP="00DE65D1" w:rsidRDefault="00521456" w14:paraId="474E54D7" w14:textId="77777777">
            <w:pPr>
              <w:spacing w:line="276" w:lineRule="auto"/>
              <w:ind w:firstLine="0"/>
              <w:jc w:val="center"/>
              <w:rPr>
                <w:rFonts w:eastAsia="Calibri" w:cs="Arial"/>
                <w:b/>
                <w:color w:val="007BC7"/>
                <w:sz w:val="16"/>
                <w:szCs w:val="16"/>
                <w:lang w:eastAsia="en-US"/>
              </w:rPr>
            </w:pPr>
          </w:p>
        </w:tc>
        <w:tc>
          <w:tcPr>
            <w:tcW w:w="428" w:type="dxa"/>
            <w:gridSpan w:val="2"/>
            <w:shd w:val="clear" w:color="auto" w:fill="BFBFBF"/>
            <w:vAlign w:val="center"/>
          </w:tcPr>
          <w:p w:rsidRPr="00CF0A8D" w:rsidR="00521456" w:rsidP="00DE65D1" w:rsidRDefault="00521456" w14:paraId="23199DF7" w14:textId="77777777">
            <w:pPr>
              <w:spacing w:line="276" w:lineRule="auto"/>
              <w:ind w:firstLine="0"/>
              <w:rPr>
                <w:rFonts w:eastAsia="Calibri" w:cs="Arial"/>
                <w:b/>
                <w:color w:val="007BC7"/>
                <w:sz w:val="16"/>
                <w:szCs w:val="16"/>
                <w:lang w:eastAsia="en-US"/>
              </w:rPr>
            </w:pPr>
            <w:r w:rsidRPr="00B65B22">
              <w:rPr>
                <w:rFonts w:eastAsia="Calibri" w:cs="Arial"/>
                <w:b/>
                <w:color w:val="007BC7"/>
                <w:sz w:val="16"/>
                <w:szCs w:val="16"/>
                <w:lang w:eastAsia="en-US"/>
              </w:rPr>
              <w:t xml:space="preserve"> </w:t>
            </w:r>
            <w:r w:rsidRPr="00CF0A8D">
              <w:rPr>
                <w:rFonts w:eastAsia="Calibri" w:cs="Arial"/>
                <w:b/>
                <w:color w:val="007BC7"/>
                <w:sz w:val="16"/>
                <w:szCs w:val="16"/>
                <w:lang w:eastAsia="en-US"/>
              </w:rPr>
              <w:t>X</w:t>
            </w:r>
          </w:p>
        </w:tc>
        <w:tc>
          <w:tcPr>
            <w:tcW w:w="433" w:type="dxa"/>
            <w:gridSpan w:val="2"/>
            <w:shd w:val="clear" w:color="auto" w:fill="BFBFBF"/>
            <w:vAlign w:val="center"/>
          </w:tcPr>
          <w:p w:rsidRPr="009C6DBA" w:rsidR="00521456" w:rsidP="00DE65D1" w:rsidRDefault="00521456" w14:paraId="28CDC8C0" w14:textId="77777777">
            <w:pPr>
              <w:spacing w:line="276" w:lineRule="auto"/>
              <w:ind w:firstLine="0"/>
              <w:jc w:val="center"/>
              <w:rPr>
                <w:rFonts w:eastAsia="Calibri" w:cs="Arial"/>
                <w:b/>
                <w:color w:val="007BC7"/>
                <w:sz w:val="16"/>
                <w:szCs w:val="16"/>
                <w:lang w:eastAsia="en-US"/>
              </w:rPr>
            </w:pPr>
          </w:p>
        </w:tc>
        <w:tc>
          <w:tcPr>
            <w:tcW w:w="559" w:type="dxa"/>
            <w:shd w:val="clear" w:color="auto" w:fill="BFBFBF"/>
            <w:vAlign w:val="center"/>
          </w:tcPr>
          <w:p w:rsidRPr="00363E1C" w:rsidR="00521456" w:rsidP="00DE65D1" w:rsidRDefault="00521456" w14:paraId="799B342E" w14:textId="77777777">
            <w:pPr>
              <w:spacing w:line="276" w:lineRule="auto"/>
              <w:ind w:firstLine="0"/>
              <w:rPr>
                <w:rFonts w:eastAsia="Calibri" w:cs="Arial"/>
                <w:sz w:val="16"/>
                <w:szCs w:val="16"/>
                <w:lang w:eastAsia="en-US"/>
              </w:rPr>
            </w:pPr>
          </w:p>
        </w:tc>
      </w:tr>
      <w:tr w:rsidRPr="00B65B22" w:rsidR="00521456" w:rsidTr="007E7EAD" w14:paraId="01D4074D" w14:textId="77777777">
        <w:trPr>
          <w:gridAfter w:val="10"/>
          <w:wAfter w:w="1952" w:type="dxa"/>
          <w:cantSplit/>
          <w:trHeight w:val="403"/>
        </w:trPr>
        <w:tc>
          <w:tcPr>
            <w:tcW w:w="693" w:type="dxa"/>
            <w:shd w:val="clear" w:color="auto" w:fill="FFFFFF"/>
            <w:vAlign w:val="center"/>
          </w:tcPr>
          <w:p w:rsidRPr="00B65B22" w:rsidR="00521456" w:rsidP="00DE65D1" w:rsidRDefault="00521456" w14:paraId="40061BD3" w14:textId="77777777">
            <w:pPr>
              <w:spacing w:line="276" w:lineRule="auto"/>
              <w:ind w:left="113" w:right="113" w:firstLine="0"/>
              <w:rPr>
                <w:rFonts w:eastAsia="Calibri" w:cs="Arial"/>
                <w:sz w:val="16"/>
                <w:szCs w:val="16"/>
                <w:lang w:eastAsia="en-US"/>
              </w:rPr>
            </w:pPr>
            <w:r w:rsidRPr="00B65B22">
              <w:rPr>
                <w:rFonts w:eastAsia="Calibri" w:cs="Arial"/>
                <w:sz w:val="16"/>
                <w:szCs w:val="16"/>
                <w:lang w:eastAsia="en-US"/>
              </w:rPr>
              <w:br w:type="page"/>
            </w:r>
          </w:p>
        </w:tc>
        <w:tc>
          <w:tcPr>
            <w:tcW w:w="6531" w:type="dxa"/>
            <w:gridSpan w:val="5"/>
            <w:shd w:val="clear" w:color="auto" w:fill="FFFFFF"/>
            <w:vAlign w:val="center"/>
          </w:tcPr>
          <w:p w:rsidRPr="00B65B22" w:rsidR="00521456" w:rsidP="00DE65D1" w:rsidRDefault="00521456" w14:paraId="456654E7" w14:textId="77777777">
            <w:pPr>
              <w:ind w:firstLine="0"/>
              <w:rPr>
                <w:rFonts w:cs="Arial"/>
                <w:i/>
                <w:sz w:val="16"/>
                <w:szCs w:val="16"/>
              </w:rPr>
            </w:pPr>
            <w:r w:rsidRPr="00B65B22">
              <w:rPr>
                <w:rFonts w:eastAsia="Calibri" w:cs="Arial"/>
                <w:i/>
                <w:sz w:val="16"/>
                <w:szCs w:val="16"/>
                <w:lang w:eastAsia="en-US"/>
              </w:rPr>
              <w:t xml:space="preserve">Vermogensinkomsten en </w:t>
            </w:r>
            <w:r w:rsidRPr="00B65B22" w:rsidR="00547229">
              <w:rPr>
                <w:rFonts w:eastAsia="Calibri" w:cs="Arial"/>
                <w:i/>
                <w:sz w:val="16"/>
                <w:szCs w:val="16"/>
                <w:lang w:eastAsia="en-US"/>
              </w:rPr>
              <w:t>–</w:t>
            </w:r>
            <w:r w:rsidRPr="00B65B22">
              <w:rPr>
                <w:rFonts w:eastAsia="Calibri" w:cs="Arial"/>
                <w:i/>
                <w:sz w:val="16"/>
                <w:szCs w:val="16"/>
                <w:lang w:eastAsia="en-US"/>
              </w:rPr>
              <w:t>winsten</w:t>
            </w:r>
          </w:p>
        </w:tc>
      </w:tr>
      <w:tr w:rsidRPr="00B65B22" w:rsidR="00521456" w:rsidTr="007E7EAD" w14:paraId="5E04AC9D" w14:textId="77777777">
        <w:trPr>
          <w:trHeight w:val="255"/>
        </w:trPr>
        <w:tc>
          <w:tcPr>
            <w:tcW w:w="693" w:type="dxa"/>
            <w:shd w:val="clear" w:color="auto" w:fill="BFBFBF"/>
            <w:vAlign w:val="center"/>
          </w:tcPr>
          <w:p w:rsidRPr="00B65B22" w:rsidR="00521456" w:rsidP="00DE65D1" w:rsidRDefault="00521456" w14:paraId="3E28BF3C" w14:textId="77777777">
            <w:pPr>
              <w:spacing w:line="276" w:lineRule="auto"/>
              <w:ind w:firstLine="0"/>
              <w:jc w:val="right"/>
              <w:rPr>
                <w:rFonts w:eastAsia="Calibri" w:cs="Arial"/>
                <w:sz w:val="16"/>
                <w:szCs w:val="16"/>
                <w:lang w:eastAsia="en-US"/>
              </w:rPr>
            </w:pPr>
            <w:r w:rsidRPr="00B65B22">
              <w:rPr>
                <w:rFonts w:eastAsia="Calibri" w:cs="Arial"/>
                <w:sz w:val="16"/>
                <w:szCs w:val="16"/>
                <w:lang w:eastAsia="en-US"/>
              </w:rPr>
              <w:t>2.7.1</w:t>
            </w:r>
          </w:p>
        </w:tc>
        <w:tc>
          <w:tcPr>
            <w:tcW w:w="6352" w:type="dxa"/>
            <w:gridSpan w:val="2"/>
            <w:shd w:val="clear" w:color="auto" w:fill="007BC7"/>
            <w:vAlign w:val="center"/>
          </w:tcPr>
          <w:p w:rsidRPr="00B65B22" w:rsidR="00521456" w:rsidP="00DE65D1" w:rsidRDefault="00521456" w14:paraId="3C3D255C" w14:textId="77777777">
            <w:pPr>
              <w:spacing w:line="276" w:lineRule="auto"/>
              <w:ind w:firstLine="0"/>
              <w:rPr>
                <w:rFonts w:eastAsia="Calibri" w:cs="Arial"/>
                <w:color w:val="FFFFFF"/>
                <w:sz w:val="16"/>
                <w:szCs w:val="16"/>
                <w:lang w:eastAsia="en-US"/>
              </w:rPr>
            </w:pPr>
            <w:r w:rsidRPr="00B65B22">
              <w:rPr>
                <w:rFonts w:eastAsia="Calibri" w:cs="Arial"/>
                <w:color w:val="FFFFFF"/>
                <w:sz w:val="16"/>
                <w:szCs w:val="16"/>
                <w:lang w:eastAsia="en-US"/>
              </w:rPr>
              <w:t>Uitsluitende woonstaatheffing voor deelnemingsdividenden</w:t>
            </w:r>
          </w:p>
        </w:tc>
        <w:tc>
          <w:tcPr>
            <w:tcW w:w="356" w:type="dxa"/>
            <w:gridSpan w:val="5"/>
            <w:shd w:val="clear" w:color="auto" w:fill="BFBFBF"/>
            <w:vAlign w:val="center"/>
          </w:tcPr>
          <w:p w:rsidRPr="00B65B22" w:rsidR="00521456" w:rsidP="00DE65D1" w:rsidRDefault="00521456" w14:paraId="10CF0C9F" w14:textId="77777777">
            <w:pPr>
              <w:spacing w:line="276" w:lineRule="auto"/>
              <w:ind w:firstLine="0"/>
              <w:jc w:val="center"/>
              <w:rPr>
                <w:rFonts w:eastAsia="Calibri" w:cs="Arial"/>
                <w:b/>
                <w:color w:val="007BC7"/>
                <w:sz w:val="16"/>
                <w:szCs w:val="16"/>
                <w:lang w:eastAsia="en-US"/>
              </w:rPr>
            </w:pPr>
            <w:r w:rsidRPr="00B65B22">
              <w:rPr>
                <w:rFonts w:eastAsia="Calibri" w:cs="Arial"/>
                <w:b/>
                <w:color w:val="007BC7"/>
                <w:sz w:val="16"/>
                <w:szCs w:val="16"/>
                <w:lang w:eastAsia="en-US"/>
              </w:rPr>
              <w:t>X</w:t>
            </w:r>
          </w:p>
        </w:tc>
        <w:tc>
          <w:tcPr>
            <w:tcW w:w="355" w:type="dxa"/>
            <w:gridSpan w:val="3"/>
            <w:shd w:val="clear" w:color="auto" w:fill="BFBFBF"/>
            <w:vAlign w:val="center"/>
          </w:tcPr>
          <w:p w:rsidRPr="00B65B22" w:rsidR="00521456" w:rsidP="00DE65D1" w:rsidRDefault="00521456" w14:paraId="7223ED33" w14:textId="77777777">
            <w:pPr>
              <w:spacing w:line="276" w:lineRule="auto"/>
              <w:ind w:firstLine="0"/>
              <w:jc w:val="center"/>
              <w:rPr>
                <w:rFonts w:eastAsia="Calibri" w:cs="Arial"/>
                <w:b/>
                <w:color w:val="007BC7"/>
                <w:sz w:val="16"/>
                <w:szCs w:val="16"/>
                <w:lang w:eastAsia="en-US"/>
              </w:rPr>
            </w:pPr>
          </w:p>
        </w:tc>
        <w:tc>
          <w:tcPr>
            <w:tcW w:w="428" w:type="dxa"/>
            <w:gridSpan w:val="2"/>
            <w:shd w:val="clear" w:color="auto" w:fill="BFBFBF"/>
            <w:vAlign w:val="center"/>
          </w:tcPr>
          <w:p w:rsidRPr="00B65B22" w:rsidR="00521456" w:rsidP="00DE65D1" w:rsidRDefault="00521456" w14:paraId="674FBBA1" w14:textId="77777777">
            <w:pPr>
              <w:spacing w:line="276" w:lineRule="auto"/>
              <w:ind w:firstLine="0"/>
              <w:jc w:val="center"/>
              <w:rPr>
                <w:rFonts w:eastAsia="Calibri" w:cs="Arial"/>
                <w:b/>
                <w:color w:val="007BC7"/>
                <w:sz w:val="16"/>
                <w:szCs w:val="16"/>
                <w:lang w:eastAsia="en-US"/>
              </w:rPr>
            </w:pPr>
          </w:p>
        </w:tc>
        <w:tc>
          <w:tcPr>
            <w:tcW w:w="433" w:type="dxa"/>
            <w:gridSpan w:val="2"/>
            <w:shd w:val="clear" w:color="auto" w:fill="BFBFBF"/>
            <w:vAlign w:val="center"/>
          </w:tcPr>
          <w:p w:rsidRPr="00B65B22" w:rsidR="00521456" w:rsidP="00DE65D1" w:rsidRDefault="00521456" w14:paraId="78DE044C" w14:textId="77777777">
            <w:pPr>
              <w:spacing w:line="276" w:lineRule="auto"/>
              <w:ind w:firstLine="0"/>
              <w:jc w:val="center"/>
              <w:rPr>
                <w:rFonts w:eastAsia="Calibri" w:cs="Arial"/>
                <w:b/>
                <w:color w:val="007BC7"/>
                <w:sz w:val="16"/>
                <w:szCs w:val="16"/>
                <w:lang w:eastAsia="en-US"/>
              </w:rPr>
            </w:pPr>
          </w:p>
        </w:tc>
        <w:tc>
          <w:tcPr>
            <w:tcW w:w="559" w:type="dxa"/>
            <w:shd w:val="clear" w:color="auto" w:fill="BFBFBF"/>
            <w:vAlign w:val="center"/>
          </w:tcPr>
          <w:p w:rsidRPr="00B65B22" w:rsidR="00521456" w:rsidP="00DE65D1" w:rsidRDefault="00521456" w14:paraId="7857DEA1" w14:textId="77777777">
            <w:pPr>
              <w:spacing w:line="276" w:lineRule="auto"/>
              <w:ind w:firstLine="0"/>
              <w:rPr>
                <w:rFonts w:eastAsia="Calibri" w:cs="Arial"/>
                <w:sz w:val="16"/>
                <w:szCs w:val="16"/>
                <w:lang w:eastAsia="en-US"/>
              </w:rPr>
            </w:pPr>
            <w:r w:rsidRPr="00B65B22">
              <w:rPr>
                <w:rFonts w:eastAsia="Calibri" w:cs="Arial"/>
                <w:sz w:val="16"/>
                <w:szCs w:val="16"/>
                <w:lang w:eastAsia="en-US"/>
              </w:rPr>
              <w:t>II.10</w:t>
            </w:r>
          </w:p>
        </w:tc>
      </w:tr>
      <w:tr w:rsidRPr="00B65B22" w:rsidR="00521456" w:rsidTr="007E7EAD" w14:paraId="5D6EBA33" w14:textId="77777777">
        <w:trPr>
          <w:trHeight w:val="255"/>
        </w:trPr>
        <w:tc>
          <w:tcPr>
            <w:tcW w:w="693" w:type="dxa"/>
            <w:shd w:val="clear" w:color="auto" w:fill="BFBFBF"/>
            <w:vAlign w:val="center"/>
          </w:tcPr>
          <w:p w:rsidRPr="00B65B22" w:rsidR="00521456" w:rsidP="00DE65D1" w:rsidRDefault="00521456" w14:paraId="745EF30D" w14:textId="77777777">
            <w:pPr>
              <w:spacing w:line="276" w:lineRule="auto"/>
              <w:ind w:firstLine="0"/>
              <w:jc w:val="right"/>
              <w:rPr>
                <w:rFonts w:eastAsia="Calibri" w:cs="Arial"/>
                <w:sz w:val="16"/>
                <w:szCs w:val="16"/>
                <w:lang w:eastAsia="en-US"/>
              </w:rPr>
            </w:pPr>
            <w:r w:rsidRPr="00B65B22">
              <w:rPr>
                <w:rFonts w:eastAsia="Calibri" w:cs="Arial"/>
                <w:sz w:val="16"/>
                <w:szCs w:val="16"/>
                <w:lang w:eastAsia="en-US"/>
              </w:rPr>
              <w:t>2.7.2</w:t>
            </w:r>
          </w:p>
        </w:tc>
        <w:tc>
          <w:tcPr>
            <w:tcW w:w="6352" w:type="dxa"/>
            <w:gridSpan w:val="2"/>
            <w:shd w:val="clear" w:color="auto" w:fill="007BC7"/>
            <w:vAlign w:val="center"/>
          </w:tcPr>
          <w:p w:rsidRPr="00B65B22" w:rsidR="00521456" w:rsidP="00DE65D1" w:rsidRDefault="00521456" w14:paraId="799F28C3" w14:textId="77777777">
            <w:pPr>
              <w:spacing w:line="276" w:lineRule="auto"/>
              <w:ind w:firstLine="0"/>
              <w:rPr>
                <w:rFonts w:eastAsia="Calibri" w:cs="Arial"/>
                <w:color w:val="FFFFFF"/>
                <w:sz w:val="16"/>
                <w:szCs w:val="16"/>
                <w:lang w:eastAsia="en-US"/>
              </w:rPr>
            </w:pPr>
            <w:r w:rsidRPr="00B65B22">
              <w:rPr>
                <w:rFonts w:eastAsia="Calibri" w:cs="Arial"/>
                <w:color w:val="FFFFFF"/>
                <w:sz w:val="16"/>
                <w:szCs w:val="16"/>
                <w:lang w:eastAsia="en-US"/>
              </w:rPr>
              <w:t>Tarief portfoliodividenden t.a.v. Nederland niet lager dan 15%</w:t>
            </w:r>
          </w:p>
        </w:tc>
        <w:tc>
          <w:tcPr>
            <w:tcW w:w="356" w:type="dxa"/>
            <w:gridSpan w:val="5"/>
            <w:shd w:val="clear" w:color="auto" w:fill="BFBFBF"/>
            <w:vAlign w:val="center"/>
          </w:tcPr>
          <w:p w:rsidRPr="00CF0A8D" w:rsidR="00521456" w:rsidP="00DE65D1" w:rsidRDefault="00521456" w14:paraId="69EBC888" w14:textId="77777777">
            <w:pPr>
              <w:spacing w:line="276" w:lineRule="auto"/>
              <w:ind w:firstLine="0"/>
              <w:jc w:val="center"/>
              <w:rPr>
                <w:rFonts w:eastAsia="Calibri" w:cs="Arial"/>
                <w:b/>
                <w:color w:val="007BC7"/>
                <w:sz w:val="16"/>
                <w:szCs w:val="16"/>
                <w:lang w:eastAsia="en-US"/>
              </w:rPr>
            </w:pPr>
            <w:r w:rsidRPr="00CF0A8D">
              <w:rPr>
                <w:rFonts w:eastAsia="Calibri" w:cs="Arial"/>
                <w:b/>
                <w:color w:val="007BC7"/>
                <w:sz w:val="16"/>
                <w:szCs w:val="16"/>
                <w:lang w:eastAsia="en-US"/>
              </w:rPr>
              <w:t>X</w:t>
            </w:r>
          </w:p>
        </w:tc>
        <w:tc>
          <w:tcPr>
            <w:tcW w:w="355" w:type="dxa"/>
            <w:gridSpan w:val="3"/>
            <w:shd w:val="clear" w:color="auto" w:fill="BFBFBF"/>
            <w:vAlign w:val="center"/>
          </w:tcPr>
          <w:p w:rsidRPr="009C6DBA" w:rsidR="00521456" w:rsidP="00DE65D1" w:rsidRDefault="00521456" w14:paraId="157907D0" w14:textId="77777777">
            <w:pPr>
              <w:spacing w:line="276" w:lineRule="auto"/>
              <w:ind w:firstLine="0"/>
              <w:jc w:val="center"/>
              <w:rPr>
                <w:rFonts w:eastAsia="Calibri" w:cs="Arial"/>
                <w:b/>
                <w:color w:val="007BC7"/>
                <w:sz w:val="16"/>
                <w:szCs w:val="16"/>
                <w:lang w:eastAsia="en-US"/>
              </w:rPr>
            </w:pPr>
          </w:p>
        </w:tc>
        <w:tc>
          <w:tcPr>
            <w:tcW w:w="428" w:type="dxa"/>
            <w:gridSpan w:val="2"/>
            <w:shd w:val="clear" w:color="auto" w:fill="BFBFBF"/>
            <w:vAlign w:val="center"/>
          </w:tcPr>
          <w:p w:rsidRPr="00363E1C" w:rsidR="00521456" w:rsidP="00DE65D1" w:rsidRDefault="00521456" w14:paraId="5F2D7A72" w14:textId="77777777">
            <w:pPr>
              <w:spacing w:line="276" w:lineRule="auto"/>
              <w:ind w:firstLine="0"/>
              <w:jc w:val="center"/>
              <w:rPr>
                <w:rFonts w:eastAsia="Calibri" w:cs="Arial"/>
                <w:b/>
                <w:color w:val="007BC7"/>
                <w:sz w:val="16"/>
                <w:szCs w:val="16"/>
                <w:lang w:eastAsia="en-US"/>
              </w:rPr>
            </w:pPr>
          </w:p>
        </w:tc>
        <w:tc>
          <w:tcPr>
            <w:tcW w:w="433" w:type="dxa"/>
            <w:gridSpan w:val="2"/>
            <w:shd w:val="clear" w:color="auto" w:fill="BFBFBF"/>
            <w:vAlign w:val="center"/>
          </w:tcPr>
          <w:p w:rsidRPr="00363E1C" w:rsidR="00521456" w:rsidP="00DE65D1" w:rsidRDefault="00521456" w14:paraId="6EBF56FB" w14:textId="77777777">
            <w:pPr>
              <w:spacing w:line="276" w:lineRule="auto"/>
              <w:ind w:firstLine="0"/>
              <w:jc w:val="center"/>
              <w:rPr>
                <w:rFonts w:eastAsia="Calibri" w:cs="Arial"/>
                <w:b/>
                <w:color w:val="007BC7"/>
                <w:sz w:val="16"/>
                <w:szCs w:val="16"/>
                <w:lang w:eastAsia="en-US"/>
              </w:rPr>
            </w:pPr>
          </w:p>
        </w:tc>
        <w:tc>
          <w:tcPr>
            <w:tcW w:w="559" w:type="dxa"/>
            <w:shd w:val="clear" w:color="auto" w:fill="BFBFBF"/>
            <w:vAlign w:val="center"/>
          </w:tcPr>
          <w:p w:rsidRPr="00363E1C" w:rsidR="00521456" w:rsidP="00DE65D1" w:rsidRDefault="00521456" w14:paraId="3D78C6C8" w14:textId="77777777">
            <w:pPr>
              <w:spacing w:line="276" w:lineRule="auto"/>
              <w:ind w:firstLine="0"/>
              <w:rPr>
                <w:rFonts w:eastAsia="Calibri" w:cs="Arial"/>
                <w:sz w:val="16"/>
                <w:szCs w:val="16"/>
                <w:lang w:eastAsia="en-US"/>
              </w:rPr>
            </w:pPr>
            <w:r w:rsidRPr="00363E1C">
              <w:rPr>
                <w:rFonts w:eastAsia="Calibri" w:cs="Arial"/>
                <w:sz w:val="16"/>
                <w:szCs w:val="16"/>
                <w:lang w:eastAsia="en-US"/>
              </w:rPr>
              <w:t>II.10</w:t>
            </w:r>
          </w:p>
        </w:tc>
      </w:tr>
      <w:tr w:rsidRPr="00B65B22" w:rsidR="00521456" w:rsidTr="007E7EAD" w14:paraId="5EDFC93B" w14:textId="77777777">
        <w:trPr>
          <w:trHeight w:val="255"/>
        </w:trPr>
        <w:tc>
          <w:tcPr>
            <w:tcW w:w="693" w:type="dxa"/>
            <w:shd w:val="clear" w:color="auto" w:fill="BFBFBF"/>
            <w:vAlign w:val="center"/>
          </w:tcPr>
          <w:p w:rsidRPr="00B65B22" w:rsidR="00521456" w:rsidP="00DE65D1" w:rsidRDefault="00521456" w14:paraId="7BEA24AB" w14:textId="77777777">
            <w:pPr>
              <w:spacing w:line="276" w:lineRule="auto"/>
              <w:ind w:firstLine="0"/>
              <w:jc w:val="right"/>
              <w:rPr>
                <w:rFonts w:eastAsia="Calibri" w:cs="Arial"/>
                <w:sz w:val="16"/>
                <w:szCs w:val="16"/>
                <w:lang w:eastAsia="en-US"/>
              </w:rPr>
            </w:pPr>
            <w:r w:rsidRPr="00B65B22">
              <w:rPr>
                <w:rFonts w:eastAsia="Calibri" w:cs="Arial"/>
                <w:sz w:val="16"/>
                <w:szCs w:val="16"/>
                <w:lang w:eastAsia="en-US"/>
              </w:rPr>
              <w:t>2.8.1</w:t>
            </w:r>
          </w:p>
        </w:tc>
        <w:tc>
          <w:tcPr>
            <w:tcW w:w="6352" w:type="dxa"/>
            <w:gridSpan w:val="2"/>
            <w:shd w:val="clear" w:color="auto" w:fill="007BC7"/>
            <w:vAlign w:val="center"/>
          </w:tcPr>
          <w:p w:rsidRPr="00B65B22" w:rsidR="00521456" w:rsidP="00DE65D1" w:rsidRDefault="00521456" w14:paraId="608DB4C5" w14:textId="77777777">
            <w:pPr>
              <w:spacing w:line="276" w:lineRule="auto"/>
              <w:ind w:firstLine="0"/>
              <w:rPr>
                <w:rFonts w:eastAsia="Calibri" w:cs="Arial"/>
                <w:color w:val="FFFFFF"/>
                <w:sz w:val="16"/>
                <w:szCs w:val="16"/>
                <w:lang w:eastAsia="en-US"/>
              </w:rPr>
            </w:pPr>
            <w:r w:rsidRPr="00B65B22">
              <w:rPr>
                <w:rFonts w:eastAsia="Calibri" w:cs="Arial"/>
                <w:color w:val="FFFFFF"/>
                <w:sz w:val="16"/>
                <w:szCs w:val="16"/>
                <w:lang w:eastAsia="en-US"/>
              </w:rPr>
              <w:t>Uitsluitende woonstaatheffing interest &amp; royalty’s</w:t>
            </w:r>
          </w:p>
        </w:tc>
        <w:tc>
          <w:tcPr>
            <w:tcW w:w="356" w:type="dxa"/>
            <w:gridSpan w:val="5"/>
            <w:shd w:val="clear" w:color="auto" w:fill="BFBFBF"/>
            <w:vAlign w:val="center"/>
          </w:tcPr>
          <w:p w:rsidRPr="00B65B22" w:rsidR="00521456" w:rsidP="00DE65D1" w:rsidRDefault="00521456" w14:paraId="375CE520" w14:textId="77777777">
            <w:pPr>
              <w:spacing w:line="276" w:lineRule="auto"/>
              <w:ind w:firstLine="0"/>
              <w:jc w:val="center"/>
              <w:rPr>
                <w:rFonts w:eastAsia="Calibri" w:cs="Arial"/>
                <w:b/>
                <w:color w:val="007BC7"/>
                <w:sz w:val="16"/>
                <w:szCs w:val="16"/>
                <w:lang w:eastAsia="en-US"/>
              </w:rPr>
            </w:pPr>
            <w:r w:rsidRPr="00B65B22">
              <w:rPr>
                <w:rFonts w:eastAsia="Calibri" w:cs="Arial"/>
                <w:b/>
                <w:color w:val="007BC7"/>
                <w:sz w:val="16"/>
                <w:szCs w:val="16"/>
                <w:lang w:eastAsia="en-US"/>
              </w:rPr>
              <w:t>X</w:t>
            </w:r>
          </w:p>
        </w:tc>
        <w:tc>
          <w:tcPr>
            <w:tcW w:w="355" w:type="dxa"/>
            <w:gridSpan w:val="3"/>
            <w:shd w:val="clear" w:color="auto" w:fill="BFBFBF"/>
            <w:vAlign w:val="center"/>
          </w:tcPr>
          <w:p w:rsidRPr="00B65B22" w:rsidR="00521456" w:rsidP="00DE65D1" w:rsidRDefault="00521456" w14:paraId="01CEC443" w14:textId="77777777">
            <w:pPr>
              <w:spacing w:line="276" w:lineRule="auto"/>
              <w:ind w:firstLine="0"/>
              <w:jc w:val="center"/>
              <w:rPr>
                <w:rFonts w:eastAsia="Calibri" w:cs="Arial"/>
                <w:b/>
                <w:color w:val="007BC7"/>
                <w:sz w:val="16"/>
                <w:szCs w:val="16"/>
                <w:lang w:eastAsia="en-US"/>
              </w:rPr>
            </w:pPr>
          </w:p>
        </w:tc>
        <w:tc>
          <w:tcPr>
            <w:tcW w:w="428" w:type="dxa"/>
            <w:gridSpan w:val="2"/>
            <w:shd w:val="clear" w:color="auto" w:fill="BFBFBF"/>
            <w:vAlign w:val="center"/>
          </w:tcPr>
          <w:p w:rsidRPr="00B65B22" w:rsidR="00521456" w:rsidP="00DE65D1" w:rsidRDefault="00521456" w14:paraId="744BE453" w14:textId="77777777">
            <w:pPr>
              <w:spacing w:line="276" w:lineRule="auto"/>
              <w:ind w:firstLine="0"/>
              <w:jc w:val="center"/>
              <w:rPr>
                <w:rFonts w:eastAsia="Calibri" w:cs="Arial"/>
                <w:b/>
                <w:color w:val="007BC7"/>
                <w:sz w:val="16"/>
                <w:szCs w:val="16"/>
                <w:lang w:eastAsia="en-US"/>
              </w:rPr>
            </w:pPr>
          </w:p>
        </w:tc>
        <w:tc>
          <w:tcPr>
            <w:tcW w:w="433" w:type="dxa"/>
            <w:gridSpan w:val="2"/>
            <w:shd w:val="clear" w:color="auto" w:fill="BFBFBF"/>
            <w:vAlign w:val="center"/>
          </w:tcPr>
          <w:p w:rsidRPr="00B65B22" w:rsidR="00521456" w:rsidP="00DE65D1" w:rsidRDefault="00521456" w14:paraId="1E8347E2" w14:textId="77777777">
            <w:pPr>
              <w:spacing w:line="276" w:lineRule="auto"/>
              <w:ind w:firstLine="0"/>
              <w:jc w:val="center"/>
              <w:rPr>
                <w:rFonts w:eastAsia="Calibri" w:cs="Arial"/>
                <w:b/>
                <w:color w:val="007BC7"/>
                <w:sz w:val="16"/>
                <w:szCs w:val="16"/>
                <w:lang w:eastAsia="en-US"/>
              </w:rPr>
            </w:pPr>
          </w:p>
        </w:tc>
        <w:tc>
          <w:tcPr>
            <w:tcW w:w="559" w:type="dxa"/>
            <w:shd w:val="clear" w:color="auto" w:fill="BFBFBF"/>
            <w:vAlign w:val="center"/>
          </w:tcPr>
          <w:p w:rsidRPr="00B65B22" w:rsidR="00521456" w:rsidP="00DE65D1" w:rsidRDefault="00521456" w14:paraId="2D6959BB" w14:textId="77777777">
            <w:pPr>
              <w:spacing w:line="276" w:lineRule="auto"/>
              <w:ind w:firstLine="0"/>
              <w:rPr>
                <w:rFonts w:eastAsia="Calibri" w:cs="Arial"/>
                <w:sz w:val="16"/>
                <w:szCs w:val="16"/>
                <w:lang w:eastAsia="en-US"/>
              </w:rPr>
            </w:pPr>
            <w:r w:rsidRPr="00B65B22">
              <w:rPr>
                <w:rFonts w:eastAsia="Calibri" w:cs="Arial"/>
                <w:sz w:val="16"/>
                <w:szCs w:val="16"/>
                <w:lang w:eastAsia="en-US"/>
              </w:rPr>
              <w:t>II.11</w:t>
            </w:r>
          </w:p>
          <w:p w:rsidRPr="00B65B22" w:rsidR="00521456" w:rsidP="00DE65D1" w:rsidRDefault="00521456" w14:paraId="3DA4305A" w14:textId="77777777">
            <w:pPr>
              <w:spacing w:line="276" w:lineRule="auto"/>
              <w:ind w:firstLine="0"/>
              <w:rPr>
                <w:rFonts w:eastAsia="Calibri" w:cs="Arial"/>
                <w:sz w:val="16"/>
                <w:szCs w:val="16"/>
                <w:lang w:eastAsia="en-US"/>
              </w:rPr>
            </w:pPr>
            <w:r w:rsidRPr="00B65B22">
              <w:rPr>
                <w:rFonts w:eastAsia="Calibri" w:cs="Arial"/>
                <w:sz w:val="16"/>
                <w:szCs w:val="16"/>
                <w:lang w:eastAsia="en-US"/>
              </w:rPr>
              <w:t>II.12</w:t>
            </w:r>
          </w:p>
        </w:tc>
      </w:tr>
      <w:tr w:rsidRPr="00B65B22" w:rsidR="00521456" w:rsidTr="007E7EAD" w14:paraId="140406EF" w14:textId="77777777">
        <w:trPr>
          <w:trHeight w:val="255"/>
        </w:trPr>
        <w:tc>
          <w:tcPr>
            <w:tcW w:w="693" w:type="dxa"/>
            <w:shd w:val="clear" w:color="auto" w:fill="BFBFBF"/>
            <w:vAlign w:val="center"/>
          </w:tcPr>
          <w:p w:rsidRPr="00B65B22" w:rsidR="00521456" w:rsidP="00DE65D1" w:rsidRDefault="00521456" w14:paraId="4A37C2C9" w14:textId="77777777">
            <w:pPr>
              <w:spacing w:line="276" w:lineRule="auto"/>
              <w:ind w:firstLine="0"/>
              <w:jc w:val="right"/>
              <w:rPr>
                <w:rFonts w:eastAsia="Calibri" w:cs="Arial"/>
                <w:sz w:val="16"/>
                <w:szCs w:val="16"/>
                <w:lang w:eastAsia="en-US"/>
              </w:rPr>
            </w:pPr>
            <w:r w:rsidRPr="00B65B22">
              <w:rPr>
                <w:rFonts w:eastAsia="Calibri" w:cs="Arial"/>
                <w:sz w:val="16"/>
                <w:szCs w:val="16"/>
                <w:lang w:eastAsia="en-US"/>
              </w:rPr>
              <w:t>2.8.1</w:t>
            </w:r>
          </w:p>
        </w:tc>
        <w:tc>
          <w:tcPr>
            <w:tcW w:w="1350" w:type="dxa"/>
            <w:shd w:val="clear" w:color="auto" w:fill="BFBFBF"/>
            <w:vAlign w:val="center"/>
          </w:tcPr>
          <w:p w:rsidRPr="00B65B22" w:rsidR="00521456" w:rsidP="00DE65D1" w:rsidRDefault="00521456" w14:paraId="58387781" w14:textId="77777777">
            <w:pPr>
              <w:spacing w:line="276" w:lineRule="auto"/>
              <w:ind w:firstLine="0"/>
              <w:rPr>
                <w:rFonts w:cs="Arial"/>
                <w:color w:val="000000"/>
                <w:sz w:val="16"/>
                <w:szCs w:val="16"/>
              </w:rPr>
            </w:pPr>
            <w:r w:rsidRPr="00B65B22">
              <w:rPr>
                <w:rFonts w:eastAsia="Calibri" w:cs="Arial"/>
                <w:color w:val="000000"/>
                <w:sz w:val="16"/>
                <w:szCs w:val="16"/>
                <w:lang w:eastAsia="en-US"/>
              </w:rPr>
              <w:t>Terugvaloptie:</w:t>
            </w:r>
          </w:p>
        </w:tc>
        <w:tc>
          <w:tcPr>
            <w:tcW w:w="5002" w:type="dxa"/>
            <w:shd w:val="clear" w:color="auto" w:fill="007BC7"/>
            <w:vAlign w:val="center"/>
          </w:tcPr>
          <w:p w:rsidRPr="00B65B22" w:rsidR="00521456" w:rsidP="00DE65D1" w:rsidRDefault="00521456" w14:paraId="094D6B94" w14:textId="77777777">
            <w:pPr>
              <w:spacing w:line="276" w:lineRule="auto"/>
              <w:ind w:firstLine="0"/>
              <w:rPr>
                <w:rFonts w:cs="Arial"/>
                <w:color w:val="FFFFFF"/>
                <w:sz w:val="16"/>
                <w:szCs w:val="16"/>
              </w:rPr>
            </w:pPr>
            <w:r w:rsidRPr="00B65B22">
              <w:rPr>
                <w:rFonts w:eastAsia="Calibri" w:cs="Arial"/>
                <w:color w:val="FFFFFF"/>
                <w:sz w:val="16"/>
                <w:szCs w:val="16"/>
                <w:lang w:eastAsia="en-US"/>
              </w:rPr>
              <w:t>Uitzonderingen bronheffingsrecht</w:t>
            </w:r>
          </w:p>
        </w:tc>
        <w:tc>
          <w:tcPr>
            <w:tcW w:w="356" w:type="dxa"/>
            <w:gridSpan w:val="5"/>
            <w:shd w:val="clear" w:color="auto" w:fill="BFBFBF"/>
            <w:vAlign w:val="center"/>
          </w:tcPr>
          <w:p w:rsidRPr="00B65B22" w:rsidR="00521456" w:rsidP="00DE65D1" w:rsidRDefault="00521456" w14:paraId="7A24CCD3" w14:textId="77777777">
            <w:pPr>
              <w:spacing w:line="276" w:lineRule="auto"/>
              <w:ind w:firstLine="0"/>
              <w:jc w:val="center"/>
              <w:rPr>
                <w:rFonts w:eastAsia="Calibri" w:cs="Arial"/>
                <w:b/>
                <w:color w:val="007BC7"/>
                <w:sz w:val="16"/>
                <w:szCs w:val="16"/>
                <w:lang w:eastAsia="en-US"/>
              </w:rPr>
            </w:pPr>
          </w:p>
        </w:tc>
        <w:tc>
          <w:tcPr>
            <w:tcW w:w="355" w:type="dxa"/>
            <w:gridSpan w:val="3"/>
            <w:shd w:val="clear" w:color="auto" w:fill="BFBFBF"/>
            <w:vAlign w:val="center"/>
          </w:tcPr>
          <w:p w:rsidRPr="00B65B22" w:rsidR="00521456" w:rsidP="00DE65D1" w:rsidRDefault="00521456" w14:paraId="70D2C677" w14:textId="77777777">
            <w:pPr>
              <w:spacing w:line="276" w:lineRule="auto"/>
              <w:ind w:firstLine="0"/>
              <w:jc w:val="center"/>
              <w:rPr>
                <w:rFonts w:eastAsia="Calibri" w:cs="Arial"/>
                <w:b/>
                <w:color w:val="007BC7"/>
                <w:sz w:val="16"/>
                <w:szCs w:val="16"/>
                <w:lang w:eastAsia="en-US"/>
              </w:rPr>
            </w:pPr>
          </w:p>
        </w:tc>
        <w:tc>
          <w:tcPr>
            <w:tcW w:w="428" w:type="dxa"/>
            <w:gridSpan w:val="2"/>
            <w:shd w:val="clear" w:color="auto" w:fill="BFBFBF"/>
            <w:vAlign w:val="center"/>
          </w:tcPr>
          <w:p w:rsidRPr="00B65B22" w:rsidR="00521456" w:rsidP="00DE65D1" w:rsidRDefault="00521456" w14:paraId="6114C155" w14:textId="77777777">
            <w:pPr>
              <w:spacing w:line="276" w:lineRule="auto"/>
              <w:ind w:firstLine="0"/>
              <w:jc w:val="center"/>
              <w:rPr>
                <w:rFonts w:eastAsia="Calibri" w:cs="Arial"/>
                <w:b/>
                <w:color w:val="007BC7"/>
                <w:sz w:val="16"/>
                <w:szCs w:val="16"/>
                <w:lang w:eastAsia="en-US"/>
              </w:rPr>
            </w:pPr>
          </w:p>
        </w:tc>
        <w:tc>
          <w:tcPr>
            <w:tcW w:w="433" w:type="dxa"/>
            <w:gridSpan w:val="2"/>
            <w:shd w:val="clear" w:color="auto" w:fill="BFBFBF"/>
            <w:vAlign w:val="center"/>
          </w:tcPr>
          <w:p w:rsidRPr="00B65B22" w:rsidR="00521456" w:rsidP="00DE65D1" w:rsidRDefault="00521456" w14:paraId="7449CEB0" w14:textId="77777777">
            <w:pPr>
              <w:spacing w:line="276" w:lineRule="auto"/>
              <w:ind w:firstLine="0"/>
              <w:jc w:val="center"/>
              <w:rPr>
                <w:rFonts w:eastAsia="Calibri" w:cs="Arial"/>
                <w:b/>
                <w:color w:val="007BC7"/>
                <w:sz w:val="16"/>
                <w:szCs w:val="16"/>
                <w:lang w:eastAsia="en-US"/>
              </w:rPr>
            </w:pPr>
            <w:r w:rsidRPr="00B65B22">
              <w:rPr>
                <w:rFonts w:eastAsia="Calibri" w:cs="Arial"/>
                <w:b/>
                <w:color w:val="007BC7"/>
                <w:sz w:val="16"/>
                <w:szCs w:val="16"/>
                <w:lang w:eastAsia="en-US"/>
              </w:rPr>
              <w:t>X</w:t>
            </w:r>
          </w:p>
        </w:tc>
        <w:tc>
          <w:tcPr>
            <w:tcW w:w="559" w:type="dxa"/>
            <w:shd w:val="clear" w:color="auto" w:fill="BFBFBF"/>
            <w:vAlign w:val="center"/>
          </w:tcPr>
          <w:p w:rsidRPr="00B65B22" w:rsidR="00521456" w:rsidP="00DE65D1" w:rsidRDefault="00521456" w14:paraId="4E8B3CF5" w14:textId="77777777">
            <w:pPr>
              <w:spacing w:line="276" w:lineRule="auto"/>
              <w:ind w:firstLine="0"/>
              <w:rPr>
                <w:rFonts w:eastAsia="Calibri" w:cs="Arial"/>
                <w:sz w:val="16"/>
                <w:szCs w:val="16"/>
                <w:lang w:eastAsia="en-US"/>
              </w:rPr>
            </w:pPr>
          </w:p>
          <w:p w:rsidRPr="00B65B22" w:rsidR="00521456" w:rsidP="00DE65D1" w:rsidRDefault="00521456" w14:paraId="4EAE6921" w14:textId="77777777">
            <w:pPr>
              <w:spacing w:line="276" w:lineRule="auto"/>
              <w:ind w:firstLine="0"/>
              <w:rPr>
                <w:rFonts w:eastAsia="Calibri" w:cs="Arial"/>
                <w:sz w:val="16"/>
                <w:szCs w:val="16"/>
                <w:lang w:eastAsia="en-US"/>
              </w:rPr>
            </w:pPr>
          </w:p>
        </w:tc>
      </w:tr>
      <w:tr w:rsidRPr="00B65B22" w:rsidR="00521456" w:rsidTr="007E7EAD" w14:paraId="496D6C70"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798AC088" w14:textId="77777777">
            <w:pPr>
              <w:spacing w:line="276" w:lineRule="auto"/>
              <w:ind w:firstLine="0"/>
              <w:jc w:val="right"/>
              <w:rPr>
                <w:rFonts w:eastAsia="Calibri" w:cs="Arial"/>
                <w:sz w:val="16"/>
                <w:szCs w:val="16"/>
                <w:lang w:eastAsia="en-US"/>
              </w:rPr>
            </w:pPr>
            <w:r w:rsidRPr="00B65B22">
              <w:rPr>
                <w:rFonts w:eastAsia="Calibri" w:cs="Arial"/>
                <w:sz w:val="16"/>
                <w:szCs w:val="16"/>
                <w:lang w:eastAsia="en-US"/>
              </w:rPr>
              <w:t>2.9.3</w:t>
            </w:r>
          </w:p>
        </w:tc>
        <w:tc>
          <w:tcPr>
            <w:tcW w:w="6352"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tcPr>
          <w:p w:rsidRPr="00B65B22" w:rsidR="00521456" w:rsidP="00DE65D1" w:rsidRDefault="00521456" w14:paraId="5B092D12" w14:textId="77777777">
            <w:pPr>
              <w:spacing w:line="276" w:lineRule="auto"/>
              <w:ind w:firstLine="0"/>
              <w:rPr>
                <w:rFonts w:eastAsia="Calibri" w:cs="Arial"/>
                <w:color w:val="FFFFFF"/>
                <w:sz w:val="16"/>
                <w:szCs w:val="16"/>
                <w:lang w:eastAsia="en-US"/>
              </w:rPr>
            </w:pPr>
            <w:r w:rsidRPr="00B65B22">
              <w:rPr>
                <w:rFonts w:eastAsia="Calibri" w:cs="Arial"/>
                <w:color w:val="FFFFFF"/>
                <w:sz w:val="16"/>
                <w:szCs w:val="16"/>
                <w:lang w:eastAsia="en-US"/>
              </w:rPr>
              <w:t>Aanmerkelijkbelangvoorbehoud opgenomen</w:t>
            </w:r>
          </w:p>
        </w:tc>
        <w:tc>
          <w:tcPr>
            <w:tcW w:w="356"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0A12FB8F" w14:textId="77777777">
            <w:pPr>
              <w:spacing w:line="276" w:lineRule="auto"/>
              <w:ind w:firstLine="0"/>
              <w:jc w:val="center"/>
              <w:rPr>
                <w:rFonts w:eastAsia="Calibri" w:cs="Arial"/>
                <w:b/>
                <w:color w:val="007BC7"/>
                <w:sz w:val="16"/>
                <w:szCs w:val="16"/>
                <w:lang w:eastAsia="en-US"/>
              </w:rPr>
            </w:pPr>
            <w:r w:rsidRPr="00B65B22">
              <w:rPr>
                <w:rFonts w:eastAsia="Calibri" w:cs="Arial"/>
                <w:b/>
                <w:color w:val="007BC7"/>
                <w:sz w:val="16"/>
                <w:szCs w:val="16"/>
                <w:lang w:eastAsia="en-US"/>
              </w:rPr>
              <w:t>X</w:t>
            </w:r>
          </w:p>
        </w:tc>
        <w:tc>
          <w:tcPr>
            <w:tcW w:w="355"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154965A2" w14:textId="77777777">
            <w:pPr>
              <w:spacing w:line="276" w:lineRule="auto"/>
              <w:ind w:firstLine="0"/>
              <w:jc w:val="center"/>
              <w:rPr>
                <w:rFonts w:eastAsia="Calibri" w:cs="Arial"/>
                <w:b/>
                <w:color w:val="007BC7"/>
                <w:sz w:val="16"/>
                <w:szCs w:val="16"/>
                <w:lang w:eastAsia="en-US"/>
              </w:rPr>
            </w:pPr>
          </w:p>
        </w:tc>
        <w:tc>
          <w:tcPr>
            <w:tcW w:w="428"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3BCCB2AC" w14:textId="77777777">
            <w:pPr>
              <w:spacing w:line="276" w:lineRule="auto"/>
              <w:ind w:firstLine="0"/>
              <w:jc w:val="center"/>
              <w:rPr>
                <w:rFonts w:eastAsia="Calibri" w:cs="Arial"/>
                <w:b/>
                <w:color w:val="007BC7"/>
                <w:sz w:val="16"/>
                <w:szCs w:val="16"/>
                <w:lang w:eastAsia="en-US"/>
              </w:rPr>
            </w:pPr>
          </w:p>
        </w:tc>
        <w:tc>
          <w:tcPr>
            <w:tcW w:w="43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36EF3A84" w14:textId="77777777">
            <w:pPr>
              <w:spacing w:line="276" w:lineRule="auto"/>
              <w:ind w:firstLine="0"/>
              <w:jc w:val="center"/>
              <w:rPr>
                <w:rFonts w:eastAsia="Calibri" w:cs="Arial"/>
                <w:b/>
                <w:color w:val="007BC7"/>
                <w:sz w:val="16"/>
                <w:szCs w:val="16"/>
                <w:lang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12A49F1D" w14:textId="77777777">
            <w:pPr>
              <w:spacing w:line="276" w:lineRule="auto"/>
              <w:ind w:firstLine="0"/>
              <w:rPr>
                <w:rFonts w:eastAsia="Calibri" w:cs="Arial"/>
                <w:sz w:val="16"/>
                <w:szCs w:val="16"/>
                <w:lang w:eastAsia="en-US"/>
              </w:rPr>
            </w:pPr>
            <w:r w:rsidRPr="00B65B22">
              <w:rPr>
                <w:rFonts w:eastAsia="Calibri" w:cs="Arial"/>
                <w:sz w:val="16"/>
                <w:szCs w:val="16"/>
                <w:lang w:eastAsia="en-US"/>
              </w:rPr>
              <w:t>II.10</w:t>
            </w:r>
          </w:p>
          <w:p w:rsidRPr="00B65B22" w:rsidR="00521456" w:rsidP="00DE65D1" w:rsidRDefault="00521456" w14:paraId="5078E81C" w14:textId="77777777">
            <w:pPr>
              <w:spacing w:line="276" w:lineRule="auto"/>
              <w:ind w:firstLine="0"/>
              <w:rPr>
                <w:rFonts w:eastAsia="Calibri" w:cs="Arial"/>
                <w:sz w:val="16"/>
                <w:szCs w:val="16"/>
                <w:lang w:eastAsia="en-US"/>
              </w:rPr>
            </w:pPr>
            <w:r w:rsidRPr="00B65B22">
              <w:rPr>
                <w:rFonts w:eastAsia="Calibri" w:cs="Arial"/>
                <w:sz w:val="16"/>
                <w:szCs w:val="16"/>
                <w:lang w:eastAsia="en-US"/>
              </w:rPr>
              <w:t>II.13</w:t>
            </w:r>
          </w:p>
        </w:tc>
      </w:tr>
      <w:tr w:rsidRPr="00B65B22" w:rsidR="00521456" w:rsidTr="007E7EAD" w14:paraId="65AF44DD" w14:textId="77777777">
        <w:trPr>
          <w:trHeight w:val="255"/>
        </w:trPr>
        <w:tc>
          <w:tcPr>
            <w:tcW w:w="693" w:type="dxa"/>
            <w:shd w:val="clear" w:color="auto" w:fill="BFBFBF"/>
            <w:vAlign w:val="center"/>
          </w:tcPr>
          <w:p w:rsidRPr="00B65B22" w:rsidR="00521456" w:rsidP="00DE65D1" w:rsidRDefault="00521456" w14:paraId="05E5DE9B" w14:textId="77777777">
            <w:pPr>
              <w:spacing w:line="276" w:lineRule="auto"/>
              <w:ind w:firstLine="0"/>
              <w:jc w:val="right"/>
              <w:rPr>
                <w:rFonts w:eastAsia="Calibri" w:cs="Arial"/>
                <w:sz w:val="16"/>
                <w:szCs w:val="16"/>
                <w:lang w:eastAsia="en-US"/>
              </w:rPr>
            </w:pPr>
            <w:r w:rsidRPr="00B65B22">
              <w:rPr>
                <w:rFonts w:eastAsia="Calibri" w:cs="Arial"/>
                <w:sz w:val="16"/>
                <w:szCs w:val="16"/>
                <w:lang w:eastAsia="en-US"/>
              </w:rPr>
              <w:t>2.9.3</w:t>
            </w:r>
          </w:p>
        </w:tc>
        <w:tc>
          <w:tcPr>
            <w:tcW w:w="1350" w:type="dxa"/>
            <w:shd w:val="clear" w:color="auto" w:fill="BFBFBF"/>
            <w:vAlign w:val="center"/>
          </w:tcPr>
          <w:p w:rsidRPr="00B65B22" w:rsidR="00521456" w:rsidP="00DE65D1" w:rsidRDefault="00521456" w14:paraId="5E999295" w14:textId="77777777">
            <w:pPr>
              <w:spacing w:line="276" w:lineRule="auto"/>
              <w:ind w:firstLine="0"/>
              <w:rPr>
                <w:rFonts w:cs="Arial"/>
                <w:color w:val="000000"/>
                <w:sz w:val="16"/>
                <w:szCs w:val="16"/>
              </w:rPr>
            </w:pPr>
            <w:r w:rsidRPr="00B65B22">
              <w:rPr>
                <w:rFonts w:eastAsia="Calibri" w:cs="Arial"/>
                <w:color w:val="000000"/>
                <w:sz w:val="16"/>
                <w:szCs w:val="16"/>
                <w:lang w:eastAsia="en-US"/>
              </w:rPr>
              <w:t>Zo nodig:</w:t>
            </w:r>
          </w:p>
        </w:tc>
        <w:tc>
          <w:tcPr>
            <w:tcW w:w="5002" w:type="dxa"/>
            <w:shd w:val="clear" w:color="auto" w:fill="007BC7"/>
            <w:vAlign w:val="center"/>
          </w:tcPr>
          <w:p w:rsidRPr="00B65B22" w:rsidR="00521456" w:rsidP="00DE65D1" w:rsidRDefault="00521456" w14:paraId="449959C3" w14:textId="77777777">
            <w:pPr>
              <w:spacing w:line="276" w:lineRule="auto"/>
              <w:ind w:firstLine="0"/>
              <w:rPr>
                <w:rFonts w:eastAsia="Calibri" w:cs="Arial"/>
                <w:color w:val="FFFFFF"/>
                <w:sz w:val="16"/>
                <w:szCs w:val="16"/>
                <w:lang w:eastAsia="en-US"/>
              </w:rPr>
            </w:pPr>
            <w:r w:rsidRPr="00B65B22">
              <w:rPr>
                <w:rFonts w:eastAsia="Calibri" w:cs="Arial"/>
                <w:color w:val="FFFFFF"/>
                <w:sz w:val="16"/>
                <w:szCs w:val="16"/>
                <w:lang w:eastAsia="en-US"/>
              </w:rPr>
              <w:t>Uitbreiding aanmerkelijkbelangvoorbehoud indien verdragspartner waardeaangroei niet belast</w:t>
            </w:r>
          </w:p>
        </w:tc>
        <w:tc>
          <w:tcPr>
            <w:tcW w:w="356" w:type="dxa"/>
            <w:gridSpan w:val="5"/>
            <w:shd w:val="clear" w:color="auto" w:fill="BFBFBF"/>
            <w:vAlign w:val="center"/>
          </w:tcPr>
          <w:p w:rsidRPr="00B65B22" w:rsidR="00521456" w:rsidP="00DE65D1" w:rsidRDefault="00521456" w14:paraId="4A155C70" w14:textId="77777777">
            <w:pPr>
              <w:spacing w:line="276" w:lineRule="auto"/>
              <w:ind w:firstLine="0"/>
              <w:jc w:val="center"/>
              <w:rPr>
                <w:rFonts w:eastAsia="Calibri" w:cs="Arial"/>
                <w:b/>
                <w:color w:val="007BC7"/>
                <w:sz w:val="16"/>
                <w:szCs w:val="16"/>
                <w:lang w:eastAsia="en-US"/>
              </w:rPr>
            </w:pPr>
          </w:p>
        </w:tc>
        <w:tc>
          <w:tcPr>
            <w:tcW w:w="355" w:type="dxa"/>
            <w:gridSpan w:val="3"/>
            <w:shd w:val="clear" w:color="auto" w:fill="BFBFBF"/>
            <w:vAlign w:val="center"/>
          </w:tcPr>
          <w:p w:rsidRPr="00B65B22" w:rsidR="00521456" w:rsidP="00DE65D1" w:rsidRDefault="00521456" w14:paraId="30882348" w14:textId="77777777">
            <w:pPr>
              <w:spacing w:line="276" w:lineRule="auto"/>
              <w:ind w:firstLine="0"/>
              <w:jc w:val="center"/>
              <w:rPr>
                <w:rFonts w:eastAsia="Calibri" w:cs="Arial"/>
                <w:b/>
                <w:color w:val="007BC7"/>
                <w:sz w:val="16"/>
                <w:szCs w:val="16"/>
                <w:lang w:eastAsia="en-US"/>
              </w:rPr>
            </w:pPr>
          </w:p>
        </w:tc>
        <w:tc>
          <w:tcPr>
            <w:tcW w:w="428" w:type="dxa"/>
            <w:gridSpan w:val="2"/>
            <w:shd w:val="clear" w:color="auto" w:fill="BFBFBF"/>
            <w:vAlign w:val="center"/>
          </w:tcPr>
          <w:p w:rsidRPr="00B65B22" w:rsidR="00521456" w:rsidP="00DE65D1" w:rsidRDefault="00521456" w14:paraId="71BE5EE4" w14:textId="77777777">
            <w:pPr>
              <w:spacing w:line="276" w:lineRule="auto"/>
              <w:ind w:firstLine="0"/>
              <w:jc w:val="center"/>
              <w:rPr>
                <w:rFonts w:eastAsia="Calibri" w:cs="Arial"/>
                <w:b/>
                <w:color w:val="007BC7"/>
                <w:sz w:val="16"/>
                <w:szCs w:val="16"/>
                <w:lang w:eastAsia="en-US"/>
              </w:rPr>
            </w:pPr>
          </w:p>
        </w:tc>
        <w:tc>
          <w:tcPr>
            <w:tcW w:w="433" w:type="dxa"/>
            <w:gridSpan w:val="2"/>
            <w:shd w:val="clear" w:color="auto" w:fill="BFBFBF"/>
            <w:vAlign w:val="center"/>
          </w:tcPr>
          <w:p w:rsidRPr="00CF0A8D" w:rsidR="00521456" w:rsidP="00DE65D1" w:rsidRDefault="00521456" w14:paraId="2F4B3396" w14:textId="77777777">
            <w:pPr>
              <w:spacing w:line="276" w:lineRule="auto"/>
              <w:ind w:firstLine="0"/>
              <w:jc w:val="center"/>
              <w:rPr>
                <w:rFonts w:eastAsia="Calibri" w:cs="Arial"/>
                <w:b/>
                <w:color w:val="007BC7"/>
                <w:sz w:val="16"/>
                <w:szCs w:val="16"/>
                <w:lang w:eastAsia="en-US"/>
              </w:rPr>
            </w:pPr>
            <w:r w:rsidRPr="00CF0A8D">
              <w:rPr>
                <w:rFonts w:eastAsia="Calibri" w:cs="Arial"/>
                <w:b/>
                <w:color w:val="007BC7"/>
                <w:sz w:val="16"/>
                <w:szCs w:val="16"/>
                <w:lang w:eastAsia="en-US"/>
              </w:rPr>
              <w:t>X</w:t>
            </w:r>
          </w:p>
        </w:tc>
        <w:tc>
          <w:tcPr>
            <w:tcW w:w="559" w:type="dxa"/>
            <w:shd w:val="clear" w:color="auto" w:fill="BFBFBF"/>
            <w:vAlign w:val="center"/>
          </w:tcPr>
          <w:p w:rsidRPr="00111169" w:rsidR="00521456" w:rsidP="00DE65D1" w:rsidRDefault="00521456" w14:paraId="7306C48D" w14:textId="77777777">
            <w:pPr>
              <w:spacing w:line="276" w:lineRule="auto"/>
              <w:ind w:firstLine="0"/>
              <w:rPr>
                <w:rFonts w:eastAsia="Calibri" w:cs="Arial"/>
                <w:sz w:val="16"/>
                <w:szCs w:val="16"/>
                <w:lang w:eastAsia="en-US"/>
              </w:rPr>
            </w:pPr>
          </w:p>
        </w:tc>
      </w:tr>
      <w:tr w:rsidRPr="00B65B22" w:rsidR="00521456" w:rsidTr="007E7EAD" w14:paraId="2DDD096E"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0FF1C501" w14:textId="77777777">
            <w:pPr>
              <w:spacing w:line="276" w:lineRule="auto"/>
              <w:ind w:firstLine="0"/>
              <w:jc w:val="right"/>
              <w:rPr>
                <w:rFonts w:eastAsia="Calibri" w:cs="Arial"/>
                <w:sz w:val="16"/>
                <w:szCs w:val="16"/>
                <w:lang w:eastAsia="en-US"/>
              </w:rPr>
            </w:pPr>
            <w:r w:rsidRPr="00B65B22">
              <w:rPr>
                <w:rFonts w:eastAsia="Calibri" w:cs="Arial"/>
                <w:sz w:val="16"/>
                <w:szCs w:val="16"/>
                <w:lang w:eastAsia="en-US"/>
              </w:rPr>
              <w:t>2.9.4</w:t>
            </w:r>
          </w:p>
        </w:tc>
        <w:tc>
          <w:tcPr>
            <w:tcW w:w="1350"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491F6E5C" w14:textId="77777777">
            <w:pPr>
              <w:spacing w:line="276" w:lineRule="auto"/>
              <w:ind w:firstLine="0"/>
              <w:rPr>
                <w:rFonts w:cs="Arial"/>
                <w:color w:val="000000"/>
                <w:sz w:val="16"/>
                <w:szCs w:val="16"/>
              </w:rPr>
            </w:pPr>
            <w:r w:rsidRPr="00B65B22">
              <w:rPr>
                <w:rFonts w:eastAsia="Calibri" w:cs="Arial"/>
                <w:color w:val="000000"/>
                <w:sz w:val="16"/>
                <w:szCs w:val="16"/>
                <w:lang w:eastAsia="en-US"/>
              </w:rPr>
              <w:t>Zo nodig:</w:t>
            </w:r>
          </w:p>
        </w:tc>
        <w:tc>
          <w:tcPr>
            <w:tcW w:w="5002" w:type="dxa"/>
            <w:tcBorders>
              <w:top w:val="single" w:color="FFFFFF" w:sz="12" w:space="0"/>
              <w:left w:val="single" w:color="FFFFFF" w:sz="12" w:space="0"/>
              <w:bottom w:val="single" w:color="FFFFFF" w:sz="12" w:space="0"/>
              <w:right w:val="single" w:color="FFFFFF" w:sz="12" w:space="0"/>
            </w:tcBorders>
            <w:shd w:val="clear" w:color="auto" w:fill="007BC7"/>
            <w:vAlign w:val="center"/>
          </w:tcPr>
          <w:p w:rsidRPr="00B65B22" w:rsidR="00521456" w:rsidP="00DE65D1" w:rsidRDefault="00521456" w14:paraId="55D9A5B3" w14:textId="77777777">
            <w:pPr>
              <w:spacing w:line="276" w:lineRule="auto"/>
              <w:ind w:firstLine="0"/>
              <w:rPr>
                <w:rFonts w:eastAsia="Calibri" w:cs="Arial"/>
                <w:color w:val="FFFFFF"/>
                <w:sz w:val="16"/>
                <w:szCs w:val="16"/>
                <w:lang w:eastAsia="en-US"/>
              </w:rPr>
            </w:pPr>
            <w:r w:rsidRPr="00B65B22">
              <w:rPr>
                <w:rFonts w:eastAsia="Calibri" w:cs="Arial"/>
                <w:color w:val="FFFFFF"/>
                <w:sz w:val="16"/>
                <w:szCs w:val="16"/>
                <w:lang w:eastAsia="en-US"/>
              </w:rPr>
              <w:t>Heffingsmogelijkheid bronstaat indien verdragspartner door Nederlands lichaam betaalde dividenden effectief niet belast</w:t>
            </w:r>
          </w:p>
        </w:tc>
        <w:tc>
          <w:tcPr>
            <w:tcW w:w="356"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19B69B8C" w14:textId="77777777">
            <w:pPr>
              <w:spacing w:line="276" w:lineRule="auto"/>
              <w:ind w:firstLine="0"/>
              <w:jc w:val="center"/>
              <w:rPr>
                <w:rFonts w:eastAsia="Calibri" w:cs="Arial"/>
                <w:b/>
                <w:color w:val="007BC7"/>
                <w:sz w:val="16"/>
                <w:szCs w:val="16"/>
                <w:lang w:eastAsia="en-US"/>
              </w:rPr>
            </w:pPr>
          </w:p>
        </w:tc>
        <w:tc>
          <w:tcPr>
            <w:tcW w:w="355"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0D7A0355" w14:textId="77777777">
            <w:pPr>
              <w:spacing w:line="276" w:lineRule="auto"/>
              <w:ind w:firstLine="0"/>
              <w:jc w:val="center"/>
              <w:rPr>
                <w:rFonts w:eastAsia="Calibri" w:cs="Arial"/>
                <w:b/>
                <w:color w:val="007BC7"/>
                <w:sz w:val="16"/>
                <w:szCs w:val="16"/>
                <w:lang w:eastAsia="en-US"/>
              </w:rPr>
            </w:pPr>
          </w:p>
        </w:tc>
        <w:tc>
          <w:tcPr>
            <w:tcW w:w="428"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1CDE9392" w14:textId="77777777">
            <w:pPr>
              <w:spacing w:line="276" w:lineRule="auto"/>
              <w:ind w:firstLine="0"/>
              <w:jc w:val="center"/>
              <w:rPr>
                <w:rFonts w:eastAsia="Calibri" w:cs="Arial"/>
                <w:b/>
                <w:color w:val="007BC7"/>
                <w:sz w:val="16"/>
                <w:szCs w:val="16"/>
                <w:lang w:eastAsia="en-US"/>
              </w:rPr>
            </w:pPr>
          </w:p>
        </w:tc>
        <w:tc>
          <w:tcPr>
            <w:tcW w:w="43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CF0A8D" w:rsidR="00521456" w:rsidP="00DE65D1" w:rsidRDefault="00521456" w14:paraId="21D00AA7" w14:textId="77777777">
            <w:pPr>
              <w:spacing w:line="276" w:lineRule="auto"/>
              <w:ind w:firstLine="0"/>
              <w:jc w:val="center"/>
              <w:rPr>
                <w:rFonts w:eastAsia="Calibri" w:cs="Arial"/>
                <w:b/>
                <w:color w:val="007BC7"/>
                <w:sz w:val="16"/>
                <w:szCs w:val="16"/>
                <w:lang w:eastAsia="en-US"/>
              </w:rPr>
            </w:pPr>
            <w:r w:rsidRPr="00CF0A8D">
              <w:rPr>
                <w:rFonts w:eastAsia="Calibri" w:cs="Arial"/>
                <w:b/>
                <w:color w:val="007BC7"/>
                <w:sz w:val="16"/>
                <w:szCs w:val="16"/>
                <w:lang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111169" w:rsidR="00521456" w:rsidP="00DE65D1" w:rsidRDefault="00521456" w14:paraId="45356E80" w14:textId="77777777">
            <w:pPr>
              <w:spacing w:line="276" w:lineRule="auto"/>
              <w:ind w:firstLine="0"/>
              <w:rPr>
                <w:rFonts w:eastAsia="Calibri" w:cs="Arial"/>
                <w:sz w:val="16"/>
                <w:szCs w:val="16"/>
                <w:lang w:eastAsia="en-US"/>
              </w:rPr>
            </w:pPr>
          </w:p>
        </w:tc>
      </w:tr>
      <w:tr w:rsidRPr="00B65B22" w:rsidR="00521456" w:rsidTr="007E7EAD" w14:paraId="66BFCAC0"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13BF8E24" w14:textId="77777777">
            <w:pPr>
              <w:spacing w:line="276" w:lineRule="auto"/>
              <w:ind w:firstLine="0"/>
              <w:jc w:val="right"/>
              <w:rPr>
                <w:rFonts w:eastAsia="Calibri" w:cs="Arial"/>
                <w:sz w:val="16"/>
                <w:szCs w:val="16"/>
                <w:lang w:eastAsia="en-US"/>
              </w:rPr>
            </w:pPr>
            <w:r w:rsidRPr="00B65B22">
              <w:rPr>
                <w:rFonts w:eastAsia="Calibri" w:cs="Arial"/>
                <w:sz w:val="16"/>
                <w:szCs w:val="16"/>
                <w:lang w:eastAsia="en-US"/>
              </w:rPr>
              <w:t>2.9.5</w:t>
            </w:r>
          </w:p>
        </w:tc>
        <w:tc>
          <w:tcPr>
            <w:tcW w:w="6352"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tcPr>
          <w:p w:rsidRPr="00B65B22" w:rsidR="00521456" w:rsidP="00DE65D1" w:rsidRDefault="00521456" w14:paraId="36BCB200" w14:textId="77777777">
            <w:pPr>
              <w:spacing w:line="276" w:lineRule="auto"/>
              <w:ind w:firstLine="0"/>
              <w:rPr>
                <w:rFonts w:eastAsia="Calibri" w:cs="Arial"/>
                <w:color w:val="FFFFFF"/>
                <w:sz w:val="16"/>
                <w:szCs w:val="16"/>
                <w:lang w:eastAsia="en-US"/>
              </w:rPr>
            </w:pPr>
            <w:r w:rsidRPr="00B65B22">
              <w:rPr>
                <w:rFonts w:eastAsia="Calibri" w:cs="Arial"/>
                <w:color w:val="FFFFFF"/>
                <w:sz w:val="16"/>
                <w:szCs w:val="16"/>
                <w:lang w:eastAsia="en-US"/>
              </w:rPr>
              <w:t>Bepaling dat inkoop van aandelen en liquidatie worden beheerst door het dividendartikel</w:t>
            </w:r>
          </w:p>
        </w:tc>
        <w:tc>
          <w:tcPr>
            <w:tcW w:w="356"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CF0A8D" w:rsidR="00521456" w:rsidP="00DE65D1" w:rsidRDefault="00521456" w14:paraId="00058950" w14:textId="77777777">
            <w:pPr>
              <w:spacing w:line="276" w:lineRule="auto"/>
              <w:ind w:firstLine="0"/>
              <w:jc w:val="center"/>
              <w:rPr>
                <w:rFonts w:eastAsia="Calibri" w:cs="Arial"/>
                <w:b/>
                <w:color w:val="007BC7"/>
                <w:sz w:val="16"/>
                <w:szCs w:val="16"/>
                <w:lang w:eastAsia="en-US"/>
              </w:rPr>
            </w:pPr>
            <w:r w:rsidRPr="00CF0A8D">
              <w:rPr>
                <w:rFonts w:eastAsia="Calibri" w:cs="Arial"/>
                <w:b/>
                <w:color w:val="007BC7"/>
                <w:sz w:val="16"/>
                <w:szCs w:val="16"/>
                <w:lang w:eastAsia="en-US"/>
              </w:rPr>
              <w:t>X</w:t>
            </w:r>
          </w:p>
        </w:tc>
        <w:tc>
          <w:tcPr>
            <w:tcW w:w="355"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111169" w:rsidR="00521456" w:rsidP="00DE65D1" w:rsidRDefault="00521456" w14:paraId="6F717755" w14:textId="77777777">
            <w:pPr>
              <w:spacing w:line="276" w:lineRule="auto"/>
              <w:ind w:firstLine="0"/>
              <w:jc w:val="center"/>
              <w:rPr>
                <w:rFonts w:eastAsia="Calibri" w:cs="Arial"/>
                <w:b/>
                <w:color w:val="007BC7"/>
                <w:sz w:val="16"/>
                <w:szCs w:val="16"/>
                <w:lang w:eastAsia="en-US"/>
              </w:rPr>
            </w:pPr>
          </w:p>
        </w:tc>
        <w:tc>
          <w:tcPr>
            <w:tcW w:w="428"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363E1C" w:rsidR="00521456" w:rsidP="00DE65D1" w:rsidRDefault="00521456" w14:paraId="6EFBFDB3" w14:textId="77777777">
            <w:pPr>
              <w:spacing w:line="276" w:lineRule="auto"/>
              <w:ind w:firstLine="0"/>
              <w:jc w:val="center"/>
              <w:rPr>
                <w:rFonts w:eastAsia="Calibri" w:cs="Arial"/>
                <w:b/>
                <w:color w:val="007BC7"/>
                <w:sz w:val="16"/>
                <w:szCs w:val="16"/>
                <w:lang w:eastAsia="en-US"/>
              </w:rPr>
            </w:pPr>
          </w:p>
        </w:tc>
        <w:tc>
          <w:tcPr>
            <w:tcW w:w="43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363E1C" w:rsidR="00521456" w:rsidP="00DE65D1" w:rsidRDefault="00521456" w14:paraId="5440B389" w14:textId="77777777">
            <w:pPr>
              <w:spacing w:line="276" w:lineRule="auto"/>
              <w:ind w:firstLine="0"/>
              <w:jc w:val="center"/>
              <w:rPr>
                <w:rFonts w:eastAsia="Calibri" w:cs="Arial"/>
                <w:b/>
                <w:color w:val="007BC7"/>
                <w:sz w:val="16"/>
                <w:szCs w:val="16"/>
                <w:lang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363E1C" w:rsidR="00521456" w:rsidP="00DE65D1" w:rsidRDefault="00521456" w14:paraId="5134842E" w14:textId="77777777">
            <w:pPr>
              <w:spacing w:line="276" w:lineRule="auto"/>
              <w:ind w:firstLine="0"/>
              <w:rPr>
                <w:rFonts w:eastAsia="Calibri" w:cs="Arial"/>
                <w:sz w:val="16"/>
                <w:szCs w:val="16"/>
                <w:lang w:eastAsia="en-US"/>
              </w:rPr>
            </w:pPr>
            <w:r w:rsidRPr="00363E1C">
              <w:rPr>
                <w:rFonts w:eastAsia="Calibri" w:cs="Arial"/>
                <w:sz w:val="16"/>
                <w:szCs w:val="16"/>
                <w:lang w:eastAsia="en-US"/>
              </w:rPr>
              <w:t>II.10</w:t>
            </w:r>
          </w:p>
        </w:tc>
      </w:tr>
      <w:tr w:rsidRPr="00B65B22" w:rsidR="00521456" w:rsidTr="007E7EAD" w14:paraId="0AEA11DA" w14:textId="77777777">
        <w:trPr>
          <w:gridAfter w:val="11"/>
          <w:wAfter w:w="2094" w:type="dxa"/>
          <w:cantSplit/>
          <w:trHeight w:val="403"/>
        </w:trPr>
        <w:tc>
          <w:tcPr>
            <w:tcW w:w="693" w:type="dxa"/>
            <w:shd w:val="clear" w:color="auto" w:fill="FFFFFF"/>
            <w:vAlign w:val="center"/>
          </w:tcPr>
          <w:p w:rsidRPr="00B65B22" w:rsidR="00521456" w:rsidP="00DE65D1" w:rsidRDefault="00521456" w14:paraId="66D2131F" w14:textId="77777777">
            <w:pPr>
              <w:jc w:val="center"/>
              <w:rPr>
                <w:rFonts w:cs="Arial"/>
                <w:b/>
                <w:sz w:val="16"/>
                <w:szCs w:val="16"/>
              </w:rPr>
            </w:pPr>
          </w:p>
        </w:tc>
        <w:tc>
          <w:tcPr>
            <w:tcW w:w="6389" w:type="dxa"/>
            <w:gridSpan w:val="4"/>
            <w:shd w:val="clear" w:color="auto" w:fill="FFFFFF"/>
            <w:vAlign w:val="center"/>
          </w:tcPr>
          <w:p w:rsidRPr="00B65B22" w:rsidR="00521456" w:rsidP="00DE65D1" w:rsidRDefault="00521456" w14:paraId="24347144" w14:textId="77777777">
            <w:pPr>
              <w:ind w:firstLine="0"/>
              <w:rPr>
                <w:rFonts w:cs="Arial"/>
                <w:i/>
                <w:sz w:val="16"/>
                <w:szCs w:val="16"/>
              </w:rPr>
            </w:pPr>
            <w:r w:rsidRPr="00B65B22">
              <w:rPr>
                <w:rFonts w:eastAsia="Calibri" w:cs="Arial"/>
                <w:i/>
                <w:sz w:val="16"/>
                <w:szCs w:val="16"/>
                <w:lang w:eastAsia="en-US"/>
              </w:rPr>
              <w:t>Arbeid</w:t>
            </w:r>
          </w:p>
        </w:tc>
      </w:tr>
      <w:tr w:rsidRPr="00B65B22" w:rsidR="00521456" w:rsidTr="007E7EAD" w14:paraId="19EACAAC" w14:textId="77777777">
        <w:trPr>
          <w:trHeight w:val="83"/>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50BB8AFF" w14:textId="77777777">
            <w:pPr>
              <w:spacing w:line="276" w:lineRule="auto"/>
              <w:ind w:firstLine="0"/>
              <w:jc w:val="right"/>
              <w:rPr>
                <w:rFonts w:eastAsia="Calibri" w:cs="Arial"/>
                <w:sz w:val="16"/>
                <w:szCs w:val="16"/>
                <w:lang w:eastAsia="en-US"/>
              </w:rPr>
            </w:pPr>
            <w:r w:rsidRPr="00B65B22">
              <w:rPr>
                <w:rFonts w:eastAsia="Calibri" w:cs="Arial"/>
                <w:sz w:val="16"/>
                <w:szCs w:val="16"/>
                <w:lang w:eastAsia="en-US"/>
              </w:rPr>
              <w:t>2.10</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B65B22" w:rsidR="00521456" w:rsidP="00DE65D1" w:rsidRDefault="00521456" w14:paraId="45D03852" w14:textId="77777777">
            <w:pPr>
              <w:spacing w:line="276" w:lineRule="auto"/>
              <w:ind w:firstLine="0"/>
              <w:rPr>
                <w:rFonts w:eastAsia="Calibri" w:cs="Arial"/>
                <w:color w:val="FFFFFF"/>
                <w:sz w:val="16"/>
                <w:szCs w:val="16"/>
                <w:lang w:eastAsia="en-US"/>
              </w:rPr>
            </w:pPr>
            <w:r w:rsidRPr="00B65B22">
              <w:rPr>
                <w:rFonts w:eastAsia="Calibri" w:cs="Arial"/>
                <w:color w:val="FFFFFF"/>
                <w:sz w:val="16"/>
                <w:szCs w:val="16"/>
                <w:lang w:eastAsia="en-US"/>
              </w:rPr>
              <w:t>183-dagenbepaling opgenomen voor inkomsten uit dienstbetrekking</w:t>
            </w:r>
          </w:p>
        </w:tc>
        <w:tc>
          <w:tcPr>
            <w:tcW w:w="423" w:type="dxa"/>
            <w:gridSpan w:val="6"/>
            <w:tcBorders>
              <w:top w:val="single" w:color="FFFFFF" w:sz="12" w:space="0"/>
              <w:left w:val="single" w:color="FFFFFF" w:sz="12" w:space="0"/>
              <w:bottom w:val="single" w:color="FFFFFF" w:sz="12" w:space="0"/>
              <w:right w:val="single" w:color="FFFFFF" w:sz="12" w:space="0"/>
            </w:tcBorders>
            <w:shd w:val="clear" w:color="auto" w:fill="BFBFBF"/>
            <w:vAlign w:val="center"/>
          </w:tcPr>
          <w:p w:rsidRPr="00CF0A8D" w:rsidR="00521456" w:rsidP="00DE65D1" w:rsidRDefault="00521456" w14:paraId="600D79E7" w14:textId="77777777">
            <w:pPr>
              <w:spacing w:line="276" w:lineRule="auto"/>
              <w:ind w:firstLine="0"/>
              <w:jc w:val="center"/>
              <w:rPr>
                <w:rFonts w:eastAsia="Calibri" w:cs="Arial"/>
                <w:b/>
                <w:color w:val="007BC7"/>
                <w:sz w:val="16"/>
                <w:szCs w:val="16"/>
                <w:lang w:eastAsia="en-US"/>
              </w:rPr>
            </w:pPr>
            <w:r w:rsidRPr="00CF0A8D">
              <w:rPr>
                <w:rFonts w:eastAsia="Calibri" w:cs="Arial"/>
                <w:b/>
                <w:color w:val="007BC7"/>
                <w:sz w:val="16"/>
                <w:szCs w:val="16"/>
                <w:lang w:eastAsia="en-US"/>
              </w:rPr>
              <w:t>X</w:t>
            </w: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111169" w:rsidR="00521456" w:rsidP="00DE65D1" w:rsidRDefault="00521456" w14:paraId="000A8424" w14:textId="77777777">
            <w:pPr>
              <w:spacing w:line="276" w:lineRule="auto"/>
              <w:ind w:left="-70" w:firstLine="0"/>
              <w:jc w:val="center"/>
              <w:rPr>
                <w:rFonts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363E1C" w:rsidR="00521456" w:rsidP="00DE65D1" w:rsidRDefault="00521456" w14:paraId="2E7BF7CD" w14:textId="77777777">
            <w:pPr>
              <w:spacing w:line="276" w:lineRule="auto"/>
              <w:ind w:firstLine="0"/>
              <w:jc w:val="center"/>
              <w:rPr>
                <w:rFonts w:eastAsia="Calibri" w:cs="Arial"/>
                <w:b/>
                <w:color w:val="007BC7"/>
                <w:sz w:val="16"/>
                <w:szCs w:val="16"/>
                <w:lang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363E1C" w:rsidR="00521456" w:rsidP="00DE65D1" w:rsidRDefault="00521456" w14:paraId="64DE3915" w14:textId="77777777">
            <w:pPr>
              <w:spacing w:line="276" w:lineRule="auto"/>
              <w:ind w:firstLine="0"/>
              <w:jc w:val="center"/>
              <w:rPr>
                <w:rFonts w:eastAsia="Calibri" w:cs="Arial"/>
                <w:b/>
                <w:color w:val="007BC7"/>
                <w:sz w:val="16"/>
                <w:szCs w:val="16"/>
                <w:lang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363E1C" w:rsidR="00521456" w:rsidP="00DE65D1" w:rsidRDefault="00521456" w14:paraId="3C40B84A" w14:textId="77777777">
            <w:pPr>
              <w:spacing w:line="276" w:lineRule="auto"/>
              <w:ind w:firstLine="0"/>
              <w:rPr>
                <w:rFonts w:eastAsia="Calibri" w:cs="Arial"/>
                <w:sz w:val="16"/>
                <w:szCs w:val="16"/>
                <w:lang w:eastAsia="en-US"/>
              </w:rPr>
            </w:pPr>
            <w:r w:rsidRPr="00363E1C">
              <w:rPr>
                <w:rFonts w:eastAsia="Calibri" w:cs="Arial"/>
                <w:sz w:val="16"/>
                <w:szCs w:val="16"/>
                <w:lang w:eastAsia="en-US"/>
              </w:rPr>
              <w:t>II.14</w:t>
            </w:r>
          </w:p>
        </w:tc>
      </w:tr>
      <w:tr w:rsidRPr="00B65B22" w:rsidR="00521456" w:rsidTr="007E7EAD" w14:paraId="7CCF6F83"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5F6DEF84" w14:textId="77777777">
            <w:pPr>
              <w:spacing w:line="276" w:lineRule="auto"/>
              <w:ind w:firstLine="0"/>
              <w:jc w:val="right"/>
              <w:rPr>
                <w:rFonts w:eastAsia="Calibri" w:cs="Arial"/>
                <w:sz w:val="16"/>
                <w:szCs w:val="16"/>
                <w:lang w:eastAsia="en-US"/>
              </w:rPr>
            </w:pPr>
            <w:r w:rsidRPr="00B65B22">
              <w:rPr>
                <w:rFonts w:eastAsia="Calibri" w:cs="Arial"/>
                <w:sz w:val="16"/>
                <w:szCs w:val="16"/>
                <w:lang w:eastAsia="en-US"/>
              </w:rPr>
              <w:t>2.11.1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B65B22" w:rsidR="00521456" w:rsidP="00DE65D1" w:rsidRDefault="00521456" w14:paraId="178A7C4A" w14:textId="77777777">
            <w:pPr>
              <w:spacing w:line="276" w:lineRule="auto"/>
              <w:ind w:firstLine="0"/>
              <w:rPr>
                <w:rFonts w:eastAsia="Calibri" w:cs="Arial"/>
                <w:color w:val="FFFFFF"/>
                <w:sz w:val="16"/>
                <w:szCs w:val="16"/>
                <w:lang w:eastAsia="en-US"/>
              </w:rPr>
            </w:pPr>
            <w:r w:rsidRPr="00B65B22">
              <w:rPr>
                <w:rFonts w:eastAsia="Calibri" w:cs="Arial"/>
                <w:color w:val="FFFFFF"/>
                <w:sz w:val="16"/>
                <w:szCs w:val="16"/>
                <w:lang w:eastAsia="en-US"/>
              </w:rPr>
              <w:t>Bronstaatheffing voor gefacilieerd opgebouwde pensioenen, onafhankelijk van de behandeling van de pensioenen in de woonstaat</w:t>
            </w:r>
          </w:p>
        </w:tc>
        <w:tc>
          <w:tcPr>
            <w:tcW w:w="423" w:type="dxa"/>
            <w:gridSpan w:val="6"/>
            <w:tcBorders>
              <w:top w:val="single" w:color="FFFFFF" w:sz="12" w:space="0"/>
              <w:left w:val="single" w:color="FFFFFF" w:sz="12" w:space="0"/>
              <w:bottom w:val="single" w:color="FFFFFF" w:sz="12" w:space="0"/>
              <w:right w:val="single" w:color="FFFFFF" w:sz="12" w:space="0"/>
            </w:tcBorders>
            <w:shd w:val="clear" w:color="auto" w:fill="BFBFBF"/>
            <w:vAlign w:val="center"/>
          </w:tcPr>
          <w:p w:rsidRPr="00CF0A8D" w:rsidR="00521456" w:rsidP="00DE65D1" w:rsidRDefault="00521456" w14:paraId="36CED47C" w14:textId="77777777">
            <w:pPr>
              <w:spacing w:line="276" w:lineRule="auto"/>
              <w:ind w:firstLine="0"/>
              <w:jc w:val="center"/>
              <w:rPr>
                <w:rFonts w:eastAsia="Calibri" w:cs="Arial"/>
                <w:b/>
                <w:color w:val="007BC7"/>
                <w:sz w:val="16"/>
                <w:szCs w:val="16"/>
                <w:lang w:eastAsia="en-US"/>
              </w:rPr>
            </w:pPr>
            <w:r w:rsidRPr="00CF0A8D">
              <w:rPr>
                <w:rFonts w:eastAsia="Calibri" w:cs="Arial"/>
                <w:b/>
                <w:color w:val="007BC7"/>
                <w:sz w:val="16"/>
                <w:szCs w:val="16"/>
                <w:lang w:eastAsia="en-US"/>
              </w:rPr>
              <w:t>X</w:t>
            </w: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111169" w:rsidR="00521456" w:rsidP="00DE65D1" w:rsidRDefault="00521456" w14:paraId="37BA7C54" w14:textId="77777777">
            <w:pPr>
              <w:spacing w:line="276" w:lineRule="auto"/>
              <w:ind w:left="-77" w:firstLine="77"/>
              <w:jc w:val="center"/>
              <w:rPr>
                <w:rFonts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363E1C" w:rsidR="00521456" w:rsidP="00DE65D1" w:rsidRDefault="00521456" w14:paraId="08406FD8" w14:textId="77777777">
            <w:pPr>
              <w:spacing w:line="276" w:lineRule="auto"/>
              <w:ind w:firstLine="0"/>
              <w:jc w:val="center"/>
              <w:rPr>
                <w:rFonts w:eastAsia="Calibri" w:cs="Arial"/>
                <w:b/>
                <w:color w:val="007BC7"/>
                <w:sz w:val="16"/>
                <w:szCs w:val="16"/>
                <w:lang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363E1C" w:rsidR="00521456" w:rsidP="00DE65D1" w:rsidRDefault="00521456" w14:paraId="2B0F7654" w14:textId="77777777">
            <w:pPr>
              <w:spacing w:line="276" w:lineRule="auto"/>
              <w:ind w:firstLine="0"/>
              <w:jc w:val="center"/>
              <w:rPr>
                <w:rFonts w:eastAsia="Calibri" w:cs="Arial"/>
                <w:b/>
                <w:color w:val="007BC7"/>
                <w:sz w:val="16"/>
                <w:szCs w:val="16"/>
                <w:lang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363E1C" w:rsidR="00521456" w:rsidP="00DE65D1" w:rsidRDefault="00521456" w14:paraId="0B3B4B96" w14:textId="77777777">
            <w:pPr>
              <w:spacing w:line="276" w:lineRule="auto"/>
              <w:ind w:firstLine="0"/>
              <w:rPr>
                <w:rFonts w:eastAsia="Calibri" w:cs="Arial"/>
                <w:sz w:val="16"/>
                <w:szCs w:val="16"/>
                <w:lang w:eastAsia="en-US"/>
              </w:rPr>
            </w:pPr>
            <w:r w:rsidRPr="00363E1C">
              <w:rPr>
                <w:rFonts w:eastAsia="Calibri" w:cs="Arial"/>
                <w:sz w:val="16"/>
                <w:szCs w:val="16"/>
                <w:lang w:eastAsia="en-US"/>
              </w:rPr>
              <w:t>II.16</w:t>
            </w:r>
          </w:p>
        </w:tc>
      </w:tr>
      <w:tr w:rsidRPr="00B65B22" w:rsidR="00521456" w:rsidTr="007E7EAD" w14:paraId="2BF8B1AD" w14:textId="77777777">
        <w:trPr>
          <w:trHeight w:val="255"/>
        </w:trPr>
        <w:tc>
          <w:tcPr>
            <w:tcW w:w="693" w:type="dxa"/>
            <w:shd w:val="clear" w:color="auto" w:fill="BFBFBF"/>
            <w:vAlign w:val="center"/>
          </w:tcPr>
          <w:p w:rsidRPr="00B65B22" w:rsidR="00521456" w:rsidP="00DE65D1" w:rsidRDefault="00521456" w14:paraId="3CF5F35E" w14:textId="77777777">
            <w:pPr>
              <w:spacing w:line="276" w:lineRule="auto"/>
              <w:ind w:firstLine="0"/>
              <w:jc w:val="right"/>
              <w:rPr>
                <w:rFonts w:eastAsia="Calibri" w:cs="Arial"/>
                <w:sz w:val="16"/>
                <w:szCs w:val="16"/>
                <w:lang w:eastAsia="en-US"/>
              </w:rPr>
            </w:pPr>
            <w:r w:rsidRPr="00B65B22">
              <w:rPr>
                <w:rFonts w:eastAsia="Calibri" w:cs="Arial"/>
                <w:sz w:val="16"/>
                <w:szCs w:val="16"/>
                <w:lang w:eastAsia="en-US"/>
              </w:rPr>
              <w:t>2.11.2</w:t>
            </w:r>
          </w:p>
        </w:tc>
        <w:tc>
          <w:tcPr>
            <w:tcW w:w="1350" w:type="dxa"/>
            <w:shd w:val="clear" w:color="auto" w:fill="BFBFBF"/>
            <w:vAlign w:val="center"/>
          </w:tcPr>
          <w:p w:rsidRPr="00B65B22" w:rsidR="00521456" w:rsidP="00DE65D1" w:rsidRDefault="00521456" w14:paraId="428643E0" w14:textId="77777777">
            <w:pPr>
              <w:spacing w:line="276" w:lineRule="auto"/>
              <w:ind w:firstLine="0"/>
              <w:rPr>
                <w:rFonts w:cs="Arial"/>
                <w:color w:val="000000"/>
                <w:sz w:val="16"/>
                <w:szCs w:val="16"/>
              </w:rPr>
            </w:pPr>
            <w:r w:rsidRPr="00B65B22">
              <w:rPr>
                <w:rFonts w:eastAsia="Calibri" w:cs="Arial"/>
                <w:color w:val="000000"/>
                <w:sz w:val="16"/>
                <w:szCs w:val="16"/>
                <w:lang w:eastAsia="en-US"/>
              </w:rPr>
              <w:t>Indien Ja:</w:t>
            </w:r>
          </w:p>
        </w:tc>
        <w:tc>
          <w:tcPr>
            <w:tcW w:w="5023" w:type="dxa"/>
            <w:gridSpan w:val="2"/>
            <w:shd w:val="clear" w:color="auto" w:fill="007BC7"/>
            <w:vAlign w:val="center"/>
          </w:tcPr>
          <w:p w:rsidRPr="00B65B22" w:rsidR="00521456" w:rsidP="00DE65D1" w:rsidRDefault="00521456" w14:paraId="33E6C357" w14:textId="77777777">
            <w:pPr>
              <w:spacing w:line="276" w:lineRule="auto"/>
              <w:ind w:firstLine="0"/>
              <w:rPr>
                <w:rFonts w:eastAsia="Calibri" w:cs="Arial"/>
                <w:color w:val="FFFFFF"/>
                <w:sz w:val="16"/>
                <w:szCs w:val="16"/>
                <w:lang w:eastAsia="en-US"/>
              </w:rPr>
            </w:pPr>
            <w:r w:rsidRPr="00B65B22">
              <w:rPr>
                <w:rFonts w:eastAsia="Calibri" w:cs="Arial"/>
                <w:color w:val="FFFFFF"/>
                <w:sz w:val="16"/>
                <w:szCs w:val="16"/>
                <w:lang w:eastAsia="en-US"/>
              </w:rPr>
              <w:t>Geen splitsing particuliere en publiekrechtelijke pensioenen indien bronstaatheffing</w:t>
            </w:r>
          </w:p>
        </w:tc>
        <w:tc>
          <w:tcPr>
            <w:tcW w:w="423" w:type="dxa"/>
            <w:gridSpan w:val="6"/>
            <w:shd w:val="clear" w:color="auto" w:fill="BFBFBF"/>
            <w:vAlign w:val="center"/>
          </w:tcPr>
          <w:p w:rsidRPr="00B65B22" w:rsidR="00521456" w:rsidP="00DE65D1" w:rsidRDefault="00521456" w14:paraId="36E0A7B7" w14:textId="77777777">
            <w:pPr>
              <w:spacing w:line="276" w:lineRule="auto"/>
              <w:ind w:firstLine="0"/>
              <w:jc w:val="center"/>
              <w:rPr>
                <w:rFonts w:eastAsia="Calibri" w:cs="Arial"/>
                <w:b/>
                <w:color w:val="007BC7"/>
                <w:sz w:val="16"/>
                <w:szCs w:val="16"/>
                <w:lang w:eastAsia="en-US"/>
              </w:rPr>
            </w:pPr>
          </w:p>
        </w:tc>
        <w:tc>
          <w:tcPr>
            <w:tcW w:w="353" w:type="dxa"/>
            <w:gridSpan w:val="2"/>
            <w:shd w:val="clear" w:color="auto" w:fill="BFBFBF"/>
            <w:vAlign w:val="center"/>
          </w:tcPr>
          <w:p w:rsidRPr="00CF0A8D" w:rsidR="00521456" w:rsidP="00DE65D1" w:rsidRDefault="00521456" w14:paraId="638ED96A" w14:textId="77777777">
            <w:pPr>
              <w:spacing w:line="276" w:lineRule="auto"/>
              <w:ind w:firstLine="0"/>
              <w:jc w:val="center"/>
              <w:rPr>
                <w:rFonts w:eastAsia="Calibri" w:cs="Arial"/>
                <w:b/>
                <w:color w:val="007BC7"/>
                <w:sz w:val="16"/>
                <w:szCs w:val="16"/>
                <w:lang w:eastAsia="en-US"/>
              </w:rPr>
            </w:pPr>
            <w:r w:rsidRPr="00CF0A8D">
              <w:rPr>
                <w:rFonts w:eastAsia="Calibri" w:cs="Arial"/>
                <w:b/>
                <w:color w:val="007BC7"/>
                <w:sz w:val="16"/>
                <w:szCs w:val="16"/>
                <w:lang w:eastAsia="en-US"/>
              </w:rPr>
              <w:t>X</w:t>
            </w:r>
          </w:p>
        </w:tc>
        <w:tc>
          <w:tcPr>
            <w:tcW w:w="422" w:type="dxa"/>
            <w:gridSpan w:val="2"/>
            <w:shd w:val="clear" w:color="auto" w:fill="BFBFBF"/>
            <w:vAlign w:val="center"/>
          </w:tcPr>
          <w:p w:rsidRPr="00111169" w:rsidR="00521456" w:rsidP="00DE65D1" w:rsidRDefault="00521456" w14:paraId="7A37B1B6" w14:textId="77777777">
            <w:pPr>
              <w:spacing w:line="276" w:lineRule="auto"/>
              <w:ind w:firstLine="0"/>
              <w:jc w:val="center"/>
              <w:rPr>
                <w:rFonts w:eastAsia="Calibri" w:cs="Arial"/>
                <w:b/>
                <w:color w:val="007BC7"/>
                <w:sz w:val="16"/>
                <w:szCs w:val="16"/>
                <w:lang w:eastAsia="en-US"/>
              </w:rPr>
            </w:pPr>
          </w:p>
        </w:tc>
        <w:tc>
          <w:tcPr>
            <w:tcW w:w="353" w:type="dxa"/>
            <w:shd w:val="clear" w:color="auto" w:fill="BFBFBF"/>
            <w:vAlign w:val="center"/>
          </w:tcPr>
          <w:p w:rsidRPr="00363E1C" w:rsidR="00521456" w:rsidP="00DE65D1" w:rsidRDefault="00521456" w14:paraId="45A99D23" w14:textId="77777777">
            <w:pPr>
              <w:spacing w:line="276" w:lineRule="auto"/>
              <w:ind w:firstLine="0"/>
              <w:jc w:val="center"/>
              <w:rPr>
                <w:rFonts w:eastAsia="Calibri" w:cs="Arial"/>
                <w:b/>
                <w:color w:val="007BC7"/>
                <w:sz w:val="16"/>
                <w:szCs w:val="16"/>
                <w:lang w:eastAsia="en-US"/>
              </w:rPr>
            </w:pPr>
          </w:p>
        </w:tc>
        <w:tc>
          <w:tcPr>
            <w:tcW w:w="559" w:type="dxa"/>
            <w:shd w:val="clear" w:color="auto" w:fill="BFBFBF"/>
            <w:vAlign w:val="center"/>
          </w:tcPr>
          <w:p w:rsidRPr="00363E1C" w:rsidR="00521456" w:rsidP="00DE65D1" w:rsidRDefault="00521456" w14:paraId="16FE11AC" w14:textId="77777777">
            <w:pPr>
              <w:spacing w:line="276" w:lineRule="auto"/>
              <w:ind w:firstLine="0"/>
              <w:rPr>
                <w:rFonts w:eastAsia="Calibri" w:cs="Arial"/>
                <w:sz w:val="16"/>
                <w:szCs w:val="16"/>
                <w:lang w:eastAsia="en-US"/>
              </w:rPr>
            </w:pPr>
            <w:r w:rsidRPr="00363E1C">
              <w:rPr>
                <w:rFonts w:eastAsia="Calibri" w:cs="Arial"/>
                <w:sz w:val="16"/>
                <w:szCs w:val="16"/>
                <w:lang w:eastAsia="en-US"/>
              </w:rPr>
              <w:t>II.16</w:t>
            </w:r>
            <w:r w:rsidRPr="00363E1C">
              <w:rPr>
                <w:rFonts w:eastAsia="Calibri" w:cs="Arial"/>
                <w:sz w:val="16"/>
                <w:szCs w:val="16"/>
                <w:lang w:eastAsia="en-US"/>
              </w:rPr>
              <w:br/>
              <w:t>II.17</w:t>
            </w:r>
          </w:p>
        </w:tc>
      </w:tr>
      <w:tr w:rsidRPr="00B65B22" w:rsidR="00521456" w:rsidTr="007E7EAD" w14:paraId="09C4D185" w14:textId="77777777">
        <w:trPr>
          <w:trHeight w:val="255"/>
        </w:trPr>
        <w:tc>
          <w:tcPr>
            <w:tcW w:w="693" w:type="dxa"/>
            <w:shd w:val="clear" w:color="auto" w:fill="BFBFBF"/>
            <w:vAlign w:val="center"/>
          </w:tcPr>
          <w:p w:rsidRPr="00B65B22" w:rsidR="00521456" w:rsidP="00DE65D1" w:rsidRDefault="00521456" w14:paraId="7EC50A8B" w14:textId="77777777">
            <w:pPr>
              <w:spacing w:line="276" w:lineRule="auto"/>
              <w:ind w:firstLine="0"/>
              <w:jc w:val="right"/>
              <w:rPr>
                <w:rFonts w:eastAsia="Calibri" w:cs="Arial"/>
                <w:sz w:val="16"/>
                <w:szCs w:val="16"/>
                <w:lang w:eastAsia="en-US"/>
              </w:rPr>
            </w:pPr>
            <w:r w:rsidRPr="00B65B22">
              <w:rPr>
                <w:rFonts w:eastAsia="Calibri" w:cs="Arial"/>
                <w:sz w:val="16"/>
                <w:szCs w:val="16"/>
                <w:lang w:eastAsia="en-US"/>
              </w:rPr>
              <w:t>2.11.1</w:t>
            </w:r>
          </w:p>
        </w:tc>
        <w:tc>
          <w:tcPr>
            <w:tcW w:w="1350" w:type="dxa"/>
            <w:shd w:val="clear" w:color="auto" w:fill="BFBFBF"/>
            <w:vAlign w:val="center"/>
          </w:tcPr>
          <w:p w:rsidRPr="00B65B22" w:rsidR="00521456" w:rsidP="00DE65D1" w:rsidRDefault="00521456" w14:paraId="68326863" w14:textId="77777777">
            <w:pPr>
              <w:spacing w:line="276" w:lineRule="auto"/>
              <w:ind w:firstLine="0"/>
              <w:rPr>
                <w:rFonts w:cs="Arial"/>
                <w:color w:val="000000"/>
                <w:sz w:val="16"/>
                <w:szCs w:val="16"/>
              </w:rPr>
            </w:pPr>
            <w:r w:rsidRPr="00B65B22">
              <w:rPr>
                <w:rFonts w:eastAsia="Calibri" w:cs="Arial"/>
                <w:color w:val="000000"/>
                <w:sz w:val="16"/>
                <w:szCs w:val="16"/>
                <w:lang w:eastAsia="en-US"/>
              </w:rPr>
              <w:t>Terugvaloptie:</w:t>
            </w:r>
          </w:p>
        </w:tc>
        <w:tc>
          <w:tcPr>
            <w:tcW w:w="5023" w:type="dxa"/>
            <w:gridSpan w:val="2"/>
            <w:shd w:val="clear" w:color="auto" w:fill="007BC7"/>
            <w:vAlign w:val="center"/>
          </w:tcPr>
          <w:p w:rsidRPr="00B65B22" w:rsidR="00521456" w:rsidP="00DE65D1" w:rsidRDefault="00521456" w14:paraId="70DB7B66" w14:textId="77777777">
            <w:pPr>
              <w:spacing w:line="276" w:lineRule="auto"/>
              <w:ind w:firstLine="0"/>
              <w:rPr>
                <w:rFonts w:eastAsia="Calibri" w:cs="Arial"/>
                <w:color w:val="FFFFFF"/>
                <w:sz w:val="16"/>
                <w:szCs w:val="16"/>
                <w:lang w:eastAsia="en-US"/>
              </w:rPr>
            </w:pPr>
            <w:r w:rsidRPr="00B65B22">
              <w:rPr>
                <w:rFonts w:eastAsia="Calibri" w:cs="Arial"/>
                <w:color w:val="FFFFFF"/>
                <w:sz w:val="16"/>
                <w:szCs w:val="16"/>
                <w:lang w:eastAsia="en-US"/>
              </w:rPr>
              <w:t xml:space="preserve">Beperkt bronheffingsrecht </w:t>
            </w:r>
          </w:p>
        </w:tc>
        <w:tc>
          <w:tcPr>
            <w:tcW w:w="423" w:type="dxa"/>
            <w:gridSpan w:val="6"/>
            <w:shd w:val="clear" w:color="auto" w:fill="BFBFBF"/>
            <w:vAlign w:val="center"/>
          </w:tcPr>
          <w:p w:rsidRPr="00B65B22" w:rsidR="00521456" w:rsidP="00DE65D1" w:rsidRDefault="00521456" w14:paraId="2F19E54D" w14:textId="77777777">
            <w:pPr>
              <w:spacing w:line="276" w:lineRule="auto"/>
              <w:ind w:firstLine="0"/>
              <w:jc w:val="center"/>
              <w:rPr>
                <w:rFonts w:eastAsia="Calibri" w:cs="Arial"/>
                <w:b/>
                <w:color w:val="007BC7"/>
                <w:sz w:val="16"/>
                <w:szCs w:val="16"/>
                <w:lang w:eastAsia="en-US"/>
              </w:rPr>
            </w:pPr>
          </w:p>
        </w:tc>
        <w:tc>
          <w:tcPr>
            <w:tcW w:w="353" w:type="dxa"/>
            <w:gridSpan w:val="2"/>
            <w:shd w:val="clear" w:color="auto" w:fill="BFBFBF"/>
            <w:vAlign w:val="center"/>
          </w:tcPr>
          <w:p w:rsidRPr="00B65B22" w:rsidR="00521456" w:rsidP="00DE65D1" w:rsidRDefault="00521456" w14:paraId="0F7E8E85" w14:textId="77777777">
            <w:pPr>
              <w:spacing w:line="276" w:lineRule="auto"/>
              <w:ind w:firstLine="0"/>
              <w:jc w:val="center"/>
              <w:rPr>
                <w:rFonts w:eastAsia="Calibri" w:cs="Arial"/>
                <w:b/>
                <w:color w:val="007BC7"/>
                <w:sz w:val="16"/>
                <w:szCs w:val="16"/>
                <w:lang w:eastAsia="en-US"/>
              </w:rPr>
            </w:pPr>
          </w:p>
        </w:tc>
        <w:tc>
          <w:tcPr>
            <w:tcW w:w="422" w:type="dxa"/>
            <w:gridSpan w:val="2"/>
            <w:shd w:val="clear" w:color="auto" w:fill="BFBFBF"/>
            <w:vAlign w:val="center"/>
          </w:tcPr>
          <w:p w:rsidRPr="00B65B22" w:rsidR="00521456" w:rsidP="00DE65D1" w:rsidRDefault="00521456" w14:paraId="052E4C1A" w14:textId="77777777">
            <w:pPr>
              <w:spacing w:line="276" w:lineRule="auto"/>
              <w:ind w:firstLine="0"/>
              <w:jc w:val="center"/>
              <w:rPr>
                <w:rFonts w:eastAsia="Calibri" w:cs="Arial"/>
                <w:b/>
                <w:color w:val="007BC7"/>
                <w:sz w:val="16"/>
                <w:szCs w:val="16"/>
                <w:lang w:eastAsia="en-US"/>
              </w:rPr>
            </w:pPr>
          </w:p>
        </w:tc>
        <w:tc>
          <w:tcPr>
            <w:tcW w:w="353" w:type="dxa"/>
            <w:shd w:val="clear" w:color="auto" w:fill="BFBFBF"/>
            <w:vAlign w:val="center"/>
          </w:tcPr>
          <w:p w:rsidRPr="00B65B22" w:rsidR="00521456" w:rsidP="00DE65D1" w:rsidRDefault="00521456" w14:paraId="5C2A355F" w14:textId="77777777">
            <w:pPr>
              <w:spacing w:line="276" w:lineRule="auto"/>
              <w:ind w:firstLine="0"/>
              <w:jc w:val="center"/>
              <w:rPr>
                <w:rFonts w:eastAsia="Calibri" w:cs="Arial"/>
                <w:b/>
                <w:color w:val="007BC7"/>
                <w:sz w:val="16"/>
                <w:szCs w:val="16"/>
                <w:lang w:eastAsia="en-US"/>
              </w:rPr>
            </w:pPr>
            <w:r w:rsidRPr="00B65B22">
              <w:rPr>
                <w:rFonts w:eastAsia="Calibri" w:cs="Arial"/>
                <w:b/>
                <w:color w:val="007BC7"/>
                <w:sz w:val="16"/>
                <w:szCs w:val="16"/>
                <w:lang w:eastAsia="en-US"/>
              </w:rPr>
              <w:t>X</w:t>
            </w:r>
          </w:p>
        </w:tc>
        <w:tc>
          <w:tcPr>
            <w:tcW w:w="559" w:type="dxa"/>
            <w:shd w:val="clear" w:color="auto" w:fill="BFBFBF"/>
            <w:vAlign w:val="center"/>
          </w:tcPr>
          <w:p w:rsidRPr="00B65B22" w:rsidR="00521456" w:rsidP="00DE65D1" w:rsidRDefault="00521456" w14:paraId="5A4E52A1" w14:textId="77777777">
            <w:pPr>
              <w:spacing w:line="276" w:lineRule="auto"/>
              <w:ind w:firstLine="0"/>
              <w:rPr>
                <w:rFonts w:eastAsia="Calibri" w:cs="Arial"/>
                <w:sz w:val="16"/>
                <w:szCs w:val="16"/>
                <w:lang w:eastAsia="en-US"/>
              </w:rPr>
            </w:pPr>
          </w:p>
        </w:tc>
      </w:tr>
      <w:tr w:rsidRPr="00B65B22" w:rsidR="00521456" w:rsidTr="007E7EAD" w14:paraId="4585F98A"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5EA6856D" w14:textId="77777777">
            <w:pPr>
              <w:spacing w:line="276" w:lineRule="auto"/>
              <w:ind w:firstLine="0"/>
              <w:jc w:val="right"/>
              <w:rPr>
                <w:rFonts w:eastAsia="Calibri" w:cs="Arial"/>
                <w:sz w:val="16"/>
                <w:szCs w:val="16"/>
                <w:lang w:eastAsia="en-US"/>
              </w:rPr>
            </w:pPr>
            <w:r w:rsidRPr="00B65B22">
              <w:rPr>
                <w:rFonts w:eastAsia="Calibri" w:cs="Arial"/>
                <w:sz w:val="16"/>
                <w:szCs w:val="16"/>
                <w:lang w:eastAsia="en-US"/>
              </w:rPr>
              <w:t>2.11.5</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B65B22" w:rsidR="00521456" w:rsidP="00DE65D1" w:rsidRDefault="00521456" w14:paraId="35598396" w14:textId="77777777">
            <w:pPr>
              <w:spacing w:line="276" w:lineRule="auto"/>
              <w:ind w:firstLine="0"/>
              <w:rPr>
                <w:rFonts w:eastAsia="Calibri" w:cs="Arial"/>
                <w:color w:val="FFFFFF"/>
                <w:sz w:val="16"/>
                <w:szCs w:val="16"/>
                <w:lang w:eastAsia="en-US"/>
              </w:rPr>
            </w:pPr>
            <w:r w:rsidRPr="00B65B22">
              <w:rPr>
                <w:rFonts w:eastAsia="Calibri" w:cs="Arial"/>
                <w:color w:val="FFFFFF"/>
                <w:sz w:val="16"/>
                <w:szCs w:val="16"/>
                <w:lang w:eastAsia="en-US"/>
              </w:rPr>
              <w:t>Regeling voortgezette pensioenpremieaftrek in of bij non- discriminatieartikel</w:t>
            </w:r>
          </w:p>
        </w:tc>
        <w:tc>
          <w:tcPr>
            <w:tcW w:w="423" w:type="dxa"/>
            <w:gridSpan w:val="6"/>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4619D4ED" w14:textId="77777777">
            <w:pPr>
              <w:spacing w:line="276" w:lineRule="auto"/>
              <w:ind w:firstLine="0"/>
              <w:jc w:val="center"/>
              <w:rPr>
                <w:rFonts w:eastAsia="Calibri" w:cs="Arial"/>
                <w:b/>
                <w:color w:val="007BC7"/>
                <w:sz w:val="16"/>
                <w:szCs w:val="16"/>
                <w:lang w:eastAsia="en-US"/>
              </w:rPr>
            </w:pP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680A7438" w14:textId="77777777">
            <w:pPr>
              <w:spacing w:line="276" w:lineRule="auto"/>
              <w:ind w:firstLine="0"/>
              <w:jc w:val="center"/>
              <w:rPr>
                <w:rFonts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CF0A8D" w:rsidR="00521456" w:rsidP="00DE65D1" w:rsidRDefault="00521456" w14:paraId="7419664D" w14:textId="77777777">
            <w:pPr>
              <w:spacing w:line="276" w:lineRule="auto"/>
              <w:ind w:firstLine="0"/>
              <w:jc w:val="center"/>
              <w:rPr>
                <w:rFonts w:eastAsia="Calibri" w:cs="Arial"/>
                <w:b/>
                <w:color w:val="007BC7"/>
                <w:sz w:val="16"/>
                <w:szCs w:val="16"/>
                <w:lang w:eastAsia="en-US"/>
              </w:rPr>
            </w:pPr>
            <w:r w:rsidRPr="00CF0A8D">
              <w:rPr>
                <w:rFonts w:eastAsia="Calibri" w:cs="Arial"/>
                <w:b/>
                <w:color w:val="007BC7"/>
                <w:sz w:val="16"/>
                <w:szCs w:val="16"/>
                <w:lang w:eastAsia="en-US"/>
              </w:rPr>
              <w:t>X</w:t>
            </w: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111169" w:rsidR="00521456" w:rsidP="00DE65D1" w:rsidRDefault="00521456" w14:paraId="0D768FA3" w14:textId="77777777">
            <w:pPr>
              <w:spacing w:line="276" w:lineRule="auto"/>
              <w:ind w:firstLine="0"/>
              <w:jc w:val="center"/>
              <w:rPr>
                <w:rFonts w:eastAsia="Calibri" w:cs="Arial"/>
                <w:b/>
                <w:color w:val="007BC7"/>
                <w:sz w:val="16"/>
                <w:szCs w:val="16"/>
                <w:lang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363E1C" w:rsidR="00521456" w:rsidP="00DE65D1" w:rsidRDefault="00521456" w14:paraId="187116D7" w14:textId="77777777">
            <w:pPr>
              <w:spacing w:line="276" w:lineRule="auto"/>
              <w:ind w:firstLine="0"/>
              <w:rPr>
                <w:rFonts w:eastAsia="Calibri" w:cs="Arial"/>
                <w:sz w:val="16"/>
                <w:szCs w:val="16"/>
                <w:lang w:eastAsia="en-US"/>
              </w:rPr>
            </w:pPr>
            <w:r w:rsidRPr="00363E1C">
              <w:rPr>
                <w:rFonts w:eastAsia="Calibri" w:cs="Arial"/>
                <w:sz w:val="16"/>
                <w:szCs w:val="16"/>
                <w:lang w:eastAsia="en-US"/>
              </w:rPr>
              <w:t>II.22</w:t>
            </w:r>
          </w:p>
        </w:tc>
      </w:tr>
      <w:tr w:rsidRPr="00B65B22" w:rsidR="00521456" w:rsidTr="007E7EAD" w14:paraId="29709612"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3FC30F41" w14:textId="77777777">
            <w:pPr>
              <w:spacing w:line="276" w:lineRule="auto"/>
              <w:ind w:firstLine="0"/>
              <w:jc w:val="right"/>
              <w:rPr>
                <w:rFonts w:eastAsia="Calibri" w:cs="Arial"/>
                <w:sz w:val="16"/>
                <w:szCs w:val="16"/>
                <w:lang w:eastAsia="en-US"/>
              </w:rPr>
            </w:pPr>
            <w:r w:rsidRPr="00B65B22">
              <w:rPr>
                <w:rFonts w:eastAsia="Calibri" w:cs="Arial"/>
                <w:sz w:val="16"/>
                <w:szCs w:val="16"/>
                <w:lang w:eastAsia="en-US"/>
              </w:rPr>
              <w:t>2.12</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B65B22" w:rsidR="00521456" w:rsidP="00DE65D1" w:rsidRDefault="00521456" w14:paraId="392D0E93" w14:textId="77777777">
            <w:pPr>
              <w:spacing w:line="276" w:lineRule="auto"/>
              <w:ind w:firstLine="0"/>
              <w:rPr>
                <w:rFonts w:eastAsia="Calibri" w:cs="Arial"/>
                <w:color w:val="FFFFFF"/>
                <w:sz w:val="16"/>
                <w:szCs w:val="16"/>
                <w:lang w:eastAsia="en-US"/>
              </w:rPr>
            </w:pPr>
            <w:r w:rsidRPr="00B65B22">
              <w:rPr>
                <w:rFonts w:eastAsia="Calibri" w:cs="Arial"/>
                <w:color w:val="FFFFFF"/>
                <w:sz w:val="16"/>
                <w:szCs w:val="16"/>
                <w:lang w:eastAsia="en-US"/>
              </w:rPr>
              <w:t>Inkomsten sporters &amp; artiesten vallen onder bepalingen inkomsten uit onderneming of dienstverband</w:t>
            </w:r>
          </w:p>
        </w:tc>
        <w:tc>
          <w:tcPr>
            <w:tcW w:w="423" w:type="dxa"/>
            <w:gridSpan w:val="6"/>
            <w:tcBorders>
              <w:top w:val="single" w:color="FFFFFF" w:sz="12" w:space="0"/>
              <w:left w:val="single" w:color="FFFFFF" w:sz="12" w:space="0"/>
              <w:bottom w:val="single" w:color="FFFFFF" w:sz="12" w:space="0"/>
              <w:right w:val="single" w:color="FFFFFF" w:sz="12" w:space="0"/>
            </w:tcBorders>
            <w:shd w:val="clear" w:color="auto" w:fill="BFBFBF"/>
            <w:vAlign w:val="center"/>
          </w:tcPr>
          <w:p w:rsidRPr="00CF0A8D" w:rsidR="00521456" w:rsidP="00DE65D1" w:rsidRDefault="00521456" w14:paraId="1094EEB4" w14:textId="77777777">
            <w:pPr>
              <w:spacing w:line="276" w:lineRule="auto"/>
              <w:ind w:firstLine="0"/>
              <w:jc w:val="center"/>
              <w:rPr>
                <w:rFonts w:eastAsia="Calibri" w:cs="Arial"/>
                <w:b/>
                <w:color w:val="007BC7"/>
                <w:sz w:val="16"/>
                <w:szCs w:val="16"/>
                <w:lang w:eastAsia="en-US"/>
              </w:rPr>
            </w:pPr>
            <w:r w:rsidRPr="00CF0A8D">
              <w:rPr>
                <w:rFonts w:eastAsia="Calibri" w:cs="Arial"/>
                <w:b/>
                <w:color w:val="007BC7"/>
                <w:sz w:val="16"/>
                <w:szCs w:val="16"/>
                <w:lang w:eastAsia="en-US"/>
              </w:rPr>
              <w:t>X</w:t>
            </w: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111169" w:rsidR="00521456" w:rsidP="00DE65D1" w:rsidRDefault="00521456" w14:paraId="3C9625F0" w14:textId="77777777">
            <w:pPr>
              <w:spacing w:line="276" w:lineRule="auto"/>
              <w:ind w:firstLine="0"/>
              <w:jc w:val="center"/>
              <w:rPr>
                <w:rFonts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363E1C" w:rsidR="00521456" w:rsidP="00DE65D1" w:rsidRDefault="00521456" w14:paraId="673A4B04" w14:textId="77777777">
            <w:pPr>
              <w:spacing w:line="276" w:lineRule="auto"/>
              <w:ind w:firstLine="0"/>
              <w:jc w:val="center"/>
              <w:rPr>
                <w:rFonts w:eastAsia="Calibri" w:cs="Arial"/>
                <w:b/>
                <w:color w:val="007BC7"/>
                <w:sz w:val="16"/>
                <w:szCs w:val="16"/>
                <w:lang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363E1C" w:rsidR="00521456" w:rsidP="00DE65D1" w:rsidRDefault="00521456" w14:paraId="425CC8B2" w14:textId="77777777">
            <w:pPr>
              <w:spacing w:line="276" w:lineRule="auto"/>
              <w:ind w:firstLine="0"/>
              <w:jc w:val="center"/>
              <w:rPr>
                <w:rFonts w:eastAsia="Calibri" w:cs="Arial"/>
                <w:b/>
                <w:color w:val="007BC7"/>
                <w:sz w:val="16"/>
                <w:szCs w:val="16"/>
                <w:lang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0F52B8" w:rsidR="00521456" w:rsidP="00DE65D1" w:rsidRDefault="00521456" w14:paraId="7C8C323F" w14:textId="77777777">
            <w:pPr>
              <w:spacing w:line="276" w:lineRule="auto"/>
              <w:ind w:firstLine="0"/>
              <w:rPr>
                <w:rFonts w:eastAsia="Calibri" w:cs="Arial"/>
                <w:sz w:val="16"/>
                <w:szCs w:val="16"/>
                <w:lang w:eastAsia="en-US"/>
              </w:rPr>
            </w:pPr>
            <w:r w:rsidRPr="00363E1C">
              <w:rPr>
                <w:rFonts w:eastAsia="Calibri" w:cs="Arial"/>
                <w:sz w:val="16"/>
                <w:szCs w:val="16"/>
                <w:lang w:eastAsia="en-US"/>
              </w:rPr>
              <w:t>II.5 &amp; II.1</w:t>
            </w:r>
            <w:r w:rsidRPr="000F52B8">
              <w:rPr>
                <w:rFonts w:eastAsia="Calibri" w:cs="Arial"/>
                <w:sz w:val="16"/>
                <w:szCs w:val="16"/>
                <w:lang w:eastAsia="en-US"/>
              </w:rPr>
              <w:t>4</w:t>
            </w:r>
          </w:p>
        </w:tc>
      </w:tr>
      <w:tr w:rsidRPr="00B65B22" w:rsidR="00521456" w:rsidTr="007E7EAD" w14:paraId="5466916F"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5F39FBB1" w14:textId="77777777">
            <w:pPr>
              <w:spacing w:line="276" w:lineRule="auto"/>
              <w:ind w:firstLine="0"/>
              <w:jc w:val="right"/>
              <w:rPr>
                <w:rFonts w:eastAsia="Calibri" w:cs="Arial"/>
                <w:sz w:val="16"/>
                <w:szCs w:val="16"/>
                <w:lang w:eastAsia="en-US"/>
              </w:rPr>
            </w:pPr>
            <w:r w:rsidRPr="00B65B22">
              <w:rPr>
                <w:rFonts w:eastAsia="Calibri" w:cs="Arial"/>
                <w:sz w:val="16"/>
                <w:szCs w:val="16"/>
                <w:lang w:eastAsia="en-US"/>
              </w:rPr>
              <w:t>2.12</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B65B22" w:rsidR="00521456" w:rsidP="00DE65D1" w:rsidRDefault="00521456" w14:paraId="4E799642" w14:textId="77777777">
            <w:pPr>
              <w:spacing w:line="276" w:lineRule="auto"/>
              <w:ind w:firstLine="0"/>
              <w:rPr>
                <w:rFonts w:eastAsia="Calibri" w:cs="Arial"/>
                <w:color w:val="FFFFFF"/>
                <w:sz w:val="16"/>
                <w:szCs w:val="16"/>
                <w:lang w:eastAsia="en-US"/>
              </w:rPr>
            </w:pPr>
            <w:r w:rsidRPr="00B65B22">
              <w:rPr>
                <w:rFonts w:eastAsia="Calibri" w:cs="Arial"/>
                <w:color w:val="FFFFFF"/>
                <w:sz w:val="16"/>
                <w:szCs w:val="16"/>
                <w:lang w:eastAsia="en-US"/>
              </w:rPr>
              <w:t>Risico dubbele vrijstelling sporters &amp; artiesten geadresseerd</w:t>
            </w:r>
          </w:p>
        </w:tc>
        <w:tc>
          <w:tcPr>
            <w:tcW w:w="423" w:type="dxa"/>
            <w:gridSpan w:val="6"/>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29863D77" w14:textId="77777777">
            <w:pPr>
              <w:spacing w:line="276" w:lineRule="auto"/>
              <w:ind w:firstLine="0"/>
              <w:jc w:val="center"/>
              <w:rPr>
                <w:rFonts w:eastAsia="Calibri" w:cs="Arial"/>
                <w:b/>
                <w:color w:val="007BC7"/>
                <w:sz w:val="16"/>
                <w:szCs w:val="16"/>
                <w:lang w:eastAsia="en-US"/>
              </w:rPr>
            </w:pP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1DF0CFC1" w14:textId="77777777">
            <w:pPr>
              <w:spacing w:line="276" w:lineRule="auto"/>
              <w:ind w:firstLine="0"/>
              <w:jc w:val="center"/>
              <w:rPr>
                <w:rFonts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3A5EEA91" w14:textId="77777777">
            <w:pPr>
              <w:spacing w:line="276" w:lineRule="auto"/>
              <w:ind w:firstLine="0"/>
              <w:jc w:val="center"/>
              <w:rPr>
                <w:rFonts w:eastAsia="Calibri" w:cs="Arial"/>
                <w:b/>
                <w:color w:val="007BC7"/>
                <w:sz w:val="16"/>
                <w:szCs w:val="16"/>
                <w:lang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CF0A8D" w:rsidR="00521456" w:rsidP="00DE65D1" w:rsidRDefault="00521456" w14:paraId="66599324" w14:textId="77777777">
            <w:pPr>
              <w:spacing w:line="276" w:lineRule="auto"/>
              <w:ind w:firstLine="0"/>
              <w:jc w:val="center"/>
              <w:rPr>
                <w:rFonts w:eastAsia="Calibri" w:cs="Arial"/>
                <w:b/>
                <w:color w:val="007BC7"/>
                <w:sz w:val="16"/>
                <w:szCs w:val="16"/>
                <w:lang w:eastAsia="en-US"/>
              </w:rPr>
            </w:pPr>
            <w:r w:rsidRPr="00CF0A8D">
              <w:rPr>
                <w:rFonts w:eastAsia="Calibri" w:cs="Arial"/>
                <w:b/>
                <w:color w:val="007BC7"/>
                <w:sz w:val="16"/>
                <w:szCs w:val="16"/>
                <w:lang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111169" w:rsidR="00521456" w:rsidP="00DE65D1" w:rsidRDefault="00521456" w14:paraId="156EBD73" w14:textId="77777777">
            <w:pPr>
              <w:spacing w:line="276" w:lineRule="auto"/>
              <w:ind w:firstLine="0"/>
              <w:rPr>
                <w:rFonts w:eastAsia="Calibri" w:cs="Arial"/>
                <w:sz w:val="16"/>
                <w:szCs w:val="16"/>
                <w:lang w:eastAsia="en-US"/>
              </w:rPr>
            </w:pPr>
          </w:p>
        </w:tc>
      </w:tr>
      <w:tr w:rsidRPr="00B65B22" w:rsidR="00521456" w:rsidTr="007E7EAD" w14:paraId="20D25AB1"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7DE6330D" w14:textId="77777777">
            <w:pPr>
              <w:spacing w:line="276" w:lineRule="auto"/>
              <w:ind w:firstLine="0"/>
              <w:jc w:val="right"/>
              <w:rPr>
                <w:rFonts w:eastAsia="Calibri" w:cs="Arial"/>
                <w:sz w:val="16"/>
                <w:szCs w:val="16"/>
                <w:lang w:eastAsia="en-US"/>
              </w:rPr>
            </w:pPr>
            <w:r w:rsidRPr="00B65B22">
              <w:rPr>
                <w:rFonts w:eastAsia="Calibri" w:cs="Arial"/>
                <w:sz w:val="16"/>
                <w:szCs w:val="16"/>
                <w:lang w:eastAsia="en-US"/>
              </w:rPr>
              <w:t>2.13</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B65B22" w:rsidR="00521456" w:rsidP="00DE65D1" w:rsidRDefault="00521456" w14:paraId="034170DD" w14:textId="77777777">
            <w:pPr>
              <w:spacing w:line="276" w:lineRule="auto"/>
              <w:ind w:firstLine="0"/>
              <w:rPr>
                <w:rFonts w:eastAsia="Calibri" w:cs="Arial"/>
                <w:color w:val="FFFFFF"/>
                <w:sz w:val="16"/>
                <w:szCs w:val="16"/>
                <w:lang w:eastAsia="en-US"/>
              </w:rPr>
            </w:pPr>
            <w:r w:rsidRPr="00B65B22">
              <w:rPr>
                <w:rFonts w:eastAsia="Calibri" w:cs="Arial"/>
                <w:color w:val="FFFFFF"/>
                <w:sz w:val="16"/>
                <w:szCs w:val="16"/>
                <w:lang w:eastAsia="en-US"/>
              </w:rPr>
              <w:t>Specifieke bepaling (hoog)leraren achterwege gelaten</w:t>
            </w:r>
          </w:p>
        </w:tc>
        <w:tc>
          <w:tcPr>
            <w:tcW w:w="423" w:type="dxa"/>
            <w:gridSpan w:val="6"/>
            <w:tcBorders>
              <w:top w:val="single" w:color="FFFFFF" w:sz="12" w:space="0"/>
              <w:left w:val="single" w:color="FFFFFF" w:sz="12" w:space="0"/>
              <w:bottom w:val="single" w:color="FFFFFF" w:sz="12" w:space="0"/>
              <w:right w:val="single" w:color="FFFFFF" w:sz="12" w:space="0"/>
            </w:tcBorders>
            <w:shd w:val="clear" w:color="auto" w:fill="BFBFBF"/>
            <w:vAlign w:val="center"/>
          </w:tcPr>
          <w:p w:rsidRPr="00CF0A8D" w:rsidR="00521456" w:rsidP="00DE65D1" w:rsidRDefault="00521456" w14:paraId="00937A92" w14:textId="77777777">
            <w:pPr>
              <w:spacing w:line="276" w:lineRule="auto"/>
              <w:ind w:firstLine="0"/>
              <w:jc w:val="center"/>
              <w:rPr>
                <w:rFonts w:eastAsia="Calibri" w:cs="Arial"/>
                <w:b/>
                <w:color w:val="007BC7"/>
                <w:sz w:val="16"/>
                <w:szCs w:val="16"/>
                <w:lang w:eastAsia="en-US"/>
              </w:rPr>
            </w:pPr>
            <w:r w:rsidRPr="00CF0A8D">
              <w:rPr>
                <w:rFonts w:eastAsia="Calibri" w:cs="Arial"/>
                <w:b/>
                <w:color w:val="007BC7"/>
                <w:sz w:val="16"/>
                <w:szCs w:val="16"/>
                <w:lang w:eastAsia="en-US"/>
              </w:rPr>
              <w:t>X</w:t>
            </w: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111169" w:rsidR="00521456" w:rsidP="00DE65D1" w:rsidRDefault="00521456" w14:paraId="34D1F3EE" w14:textId="77777777">
            <w:pPr>
              <w:spacing w:line="276" w:lineRule="auto"/>
              <w:ind w:firstLine="0"/>
              <w:jc w:val="center"/>
              <w:rPr>
                <w:rFonts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363E1C" w:rsidR="00521456" w:rsidP="00DE65D1" w:rsidRDefault="00521456" w14:paraId="7587C778" w14:textId="77777777">
            <w:pPr>
              <w:spacing w:line="276" w:lineRule="auto"/>
              <w:ind w:firstLine="0"/>
              <w:jc w:val="center"/>
              <w:rPr>
                <w:rFonts w:eastAsia="Calibri" w:cs="Arial"/>
                <w:b/>
                <w:color w:val="007BC7"/>
                <w:sz w:val="16"/>
                <w:szCs w:val="16"/>
                <w:lang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363E1C" w:rsidR="00521456" w:rsidP="00DE65D1" w:rsidRDefault="00521456" w14:paraId="74FC47BB" w14:textId="77777777">
            <w:pPr>
              <w:spacing w:line="276" w:lineRule="auto"/>
              <w:ind w:firstLine="0"/>
              <w:jc w:val="center"/>
              <w:rPr>
                <w:rFonts w:eastAsia="Calibri" w:cs="Arial"/>
                <w:b/>
                <w:color w:val="007BC7"/>
                <w:sz w:val="16"/>
                <w:szCs w:val="16"/>
                <w:lang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363E1C" w:rsidR="00521456" w:rsidP="00DE65D1" w:rsidRDefault="00521456" w14:paraId="0D58C035" w14:textId="77777777">
            <w:pPr>
              <w:spacing w:line="276" w:lineRule="auto"/>
              <w:ind w:firstLine="0"/>
              <w:rPr>
                <w:rFonts w:eastAsia="Calibri" w:cs="Arial"/>
                <w:sz w:val="16"/>
                <w:szCs w:val="16"/>
                <w:lang w:eastAsia="en-US"/>
              </w:rPr>
            </w:pPr>
          </w:p>
        </w:tc>
      </w:tr>
      <w:tr w:rsidRPr="00B65B22" w:rsidR="00521456" w:rsidTr="007E7EAD" w14:paraId="692A5014" w14:textId="77777777">
        <w:trPr>
          <w:gridAfter w:val="10"/>
          <w:wAfter w:w="1952" w:type="dxa"/>
          <w:cantSplit/>
          <w:trHeight w:val="403"/>
        </w:trPr>
        <w:tc>
          <w:tcPr>
            <w:tcW w:w="693" w:type="dxa"/>
            <w:shd w:val="clear" w:color="auto" w:fill="FFFFFF"/>
            <w:vAlign w:val="center"/>
          </w:tcPr>
          <w:p w:rsidRPr="00B65B22" w:rsidR="00521456" w:rsidP="00DE65D1" w:rsidRDefault="00521456" w14:paraId="40EDFCEF" w14:textId="77777777">
            <w:pPr>
              <w:spacing w:line="276" w:lineRule="auto"/>
              <w:ind w:firstLine="0"/>
              <w:jc w:val="right"/>
              <w:rPr>
                <w:rFonts w:eastAsia="Calibri" w:cs="Arial"/>
                <w:sz w:val="16"/>
                <w:szCs w:val="16"/>
                <w:lang w:eastAsia="en-US"/>
              </w:rPr>
            </w:pPr>
          </w:p>
        </w:tc>
        <w:tc>
          <w:tcPr>
            <w:tcW w:w="6531" w:type="dxa"/>
            <w:gridSpan w:val="5"/>
            <w:shd w:val="clear" w:color="auto" w:fill="FFFFFF"/>
            <w:vAlign w:val="center"/>
          </w:tcPr>
          <w:p w:rsidRPr="00B65B22" w:rsidR="00521456" w:rsidP="00DE65D1" w:rsidRDefault="00521456" w14:paraId="050D455A" w14:textId="77777777">
            <w:pPr>
              <w:ind w:firstLine="0"/>
              <w:rPr>
                <w:rFonts w:cs="Arial"/>
                <w:i/>
                <w:sz w:val="16"/>
                <w:szCs w:val="16"/>
              </w:rPr>
            </w:pPr>
            <w:r w:rsidRPr="00B65B22">
              <w:rPr>
                <w:rFonts w:eastAsia="Calibri" w:cs="Arial"/>
                <w:i/>
                <w:sz w:val="16"/>
                <w:szCs w:val="16"/>
                <w:lang w:eastAsia="en-US"/>
              </w:rPr>
              <w:t>Voorkomingsmethodiek</w:t>
            </w:r>
          </w:p>
        </w:tc>
      </w:tr>
      <w:tr w:rsidRPr="00B65B22" w:rsidR="00521456" w:rsidTr="007E7EAD" w14:paraId="1363F839"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174F0CEC" w14:textId="77777777">
            <w:pPr>
              <w:spacing w:line="276" w:lineRule="auto"/>
              <w:ind w:firstLine="0"/>
              <w:jc w:val="right"/>
              <w:rPr>
                <w:rFonts w:eastAsia="Calibri" w:cs="Arial"/>
                <w:sz w:val="16"/>
                <w:szCs w:val="16"/>
                <w:lang w:eastAsia="en-US"/>
              </w:rPr>
            </w:pPr>
            <w:r w:rsidRPr="00B65B22">
              <w:rPr>
                <w:rFonts w:eastAsia="Calibri" w:cs="Arial"/>
                <w:sz w:val="16"/>
                <w:szCs w:val="16"/>
                <w:lang w:eastAsia="en-US"/>
              </w:rPr>
              <w:t>2.15.1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B65B22" w:rsidR="00521456" w:rsidP="00DE65D1" w:rsidRDefault="00521456" w14:paraId="4EAF84A9" w14:textId="77777777">
            <w:pPr>
              <w:spacing w:line="276" w:lineRule="auto"/>
              <w:ind w:firstLine="0"/>
              <w:rPr>
                <w:rFonts w:eastAsia="Calibri" w:cs="Arial"/>
                <w:color w:val="FFFFFF"/>
                <w:sz w:val="16"/>
                <w:szCs w:val="16"/>
                <w:lang w:eastAsia="en-US"/>
              </w:rPr>
            </w:pPr>
            <w:r w:rsidRPr="00B65B22">
              <w:rPr>
                <w:rFonts w:eastAsia="Calibri" w:cs="Arial"/>
                <w:color w:val="FFFFFF"/>
                <w:sz w:val="16"/>
                <w:szCs w:val="16"/>
                <w:lang w:eastAsia="en-US"/>
              </w:rPr>
              <w:t xml:space="preserve">Nederlandse voorkomingsmethodiek opgenomen </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3E8139CF" w14:textId="77777777">
            <w:pPr>
              <w:spacing w:line="276" w:lineRule="auto"/>
              <w:ind w:firstLine="0"/>
              <w:jc w:val="center"/>
              <w:rPr>
                <w:rFonts w:eastAsia="Calibri" w:cs="Arial"/>
                <w:b/>
                <w:color w:val="007BC7"/>
                <w:sz w:val="16"/>
                <w:szCs w:val="16"/>
                <w:lang w:eastAsia="en-US"/>
              </w:rPr>
            </w:pPr>
            <w:r w:rsidRPr="00B65B22">
              <w:rPr>
                <w:rFonts w:eastAsia="Calibri" w:cs="Arial"/>
                <w:b/>
                <w:color w:val="007BC7"/>
                <w:sz w:val="16"/>
                <w:szCs w:val="16"/>
                <w:lang w:eastAsia="en-US"/>
              </w:rPr>
              <w:t>X</w:t>
            </w: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7E93A20C" w14:textId="77777777">
            <w:pPr>
              <w:spacing w:line="276" w:lineRule="auto"/>
              <w:ind w:firstLine="0"/>
              <w:jc w:val="center"/>
              <w:rPr>
                <w:rFonts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00BC9D20" w14:textId="77777777">
            <w:pPr>
              <w:spacing w:line="276" w:lineRule="auto"/>
              <w:ind w:firstLine="0"/>
              <w:jc w:val="center"/>
              <w:rPr>
                <w:rFonts w:eastAsia="Calibri" w:cs="Arial"/>
                <w:b/>
                <w:color w:val="007BC7"/>
                <w:sz w:val="16"/>
                <w:szCs w:val="16"/>
                <w:lang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5EE4845A" w14:textId="77777777">
            <w:pPr>
              <w:spacing w:line="276" w:lineRule="auto"/>
              <w:ind w:firstLine="0"/>
              <w:jc w:val="center"/>
              <w:rPr>
                <w:rFonts w:eastAsia="Calibri" w:cs="Arial"/>
                <w:b/>
                <w:color w:val="007BC7"/>
                <w:sz w:val="16"/>
                <w:szCs w:val="16"/>
                <w:lang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7FB66595" w14:textId="77777777">
            <w:pPr>
              <w:spacing w:line="276" w:lineRule="auto"/>
              <w:ind w:firstLine="0"/>
              <w:rPr>
                <w:rFonts w:eastAsia="Calibri" w:cs="Arial"/>
                <w:sz w:val="16"/>
                <w:szCs w:val="16"/>
                <w:lang w:eastAsia="en-US"/>
              </w:rPr>
            </w:pPr>
            <w:r w:rsidRPr="00B65B22">
              <w:rPr>
                <w:rFonts w:eastAsia="Calibri" w:cs="Arial"/>
                <w:sz w:val="16"/>
                <w:szCs w:val="16"/>
                <w:lang w:eastAsia="en-US"/>
              </w:rPr>
              <w:t>II.21</w:t>
            </w:r>
          </w:p>
        </w:tc>
      </w:tr>
      <w:tr w:rsidRPr="00B65B22" w:rsidR="00521456" w:rsidTr="007E7EAD" w14:paraId="08295060"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7D36562E" w14:textId="77777777">
            <w:pPr>
              <w:spacing w:line="276" w:lineRule="auto"/>
              <w:ind w:firstLine="0"/>
              <w:jc w:val="right"/>
              <w:rPr>
                <w:rFonts w:eastAsia="Calibri" w:cs="Arial"/>
                <w:sz w:val="16"/>
                <w:szCs w:val="16"/>
                <w:lang w:eastAsia="en-US"/>
              </w:rPr>
            </w:pPr>
            <w:r w:rsidRPr="00B65B22">
              <w:rPr>
                <w:rFonts w:eastAsia="Calibri" w:cs="Arial"/>
                <w:sz w:val="16"/>
                <w:szCs w:val="16"/>
                <w:lang w:eastAsia="en-US"/>
              </w:rPr>
              <w:t>2.15.2</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B65B22" w:rsidR="00521456" w:rsidP="00DE65D1" w:rsidRDefault="00521456" w14:paraId="28951ABF" w14:textId="77777777">
            <w:pPr>
              <w:spacing w:line="276" w:lineRule="auto"/>
              <w:ind w:firstLine="0"/>
              <w:rPr>
                <w:rFonts w:eastAsia="Calibri" w:cs="Arial"/>
                <w:color w:val="FFFFFF"/>
                <w:sz w:val="16"/>
                <w:szCs w:val="16"/>
                <w:lang w:eastAsia="en-US"/>
              </w:rPr>
            </w:pPr>
            <w:r w:rsidRPr="00B65B22">
              <w:rPr>
                <w:rFonts w:eastAsia="Calibri" w:cs="Arial"/>
                <w:color w:val="FFFFFF"/>
                <w:sz w:val="16"/>
                <w:szCs w:val="16"/>
                <w:lang w:eastAsia="en-US"/>
              </w:rPr>
              <w:t>Geen tax sparing credit opgenomen</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CF0A8D" w:rsidR="00521456" w:rsidP="00DE65D1" w:rsidRDefault="00521456" w14:paraId="7B2FEAEC" w14:textId="77777777">
            <w:pPr>
              <w:spacing w:line="276" w:lineRule="auto"/>
              <w:ind w:firstLine="0"/>
              <w:jc w:val="center"/>
              <w:rPr>
                <w:rFonts w:eastAsia="Calibri" w:cs="Arial"/>
                <w:b/>
                <w:color w:val="007BC7"/>
                <w:sz w:val="16"/>
                <w:szCs w:val="16"/>
                <w:lang w:eastAsia="en-US"/>
              </w:rPr>
            </w:pPr>
            <w:r w:rsidRPr="00CF0A8D">
              <w:rPr>
                <w:rFonts w:eastAsia="Calibri" w:cs="Arial"/>
                <w:b/>
                <w:color w:val="007BC7"/>
                <w:sz w:val="16"/>
                <w:szCs w:val="16"/>
                <w:lang w:eastAsia="en-US"/>
              </w:rPr>
              <w:t>X</w:t>
            </w: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111169" w:rsidR="00521456" w:rsidP="00DE65D1" w:rsidRDefault="00521456" w14:paraId="78546242" w14:textId="77777777">
            <w:pPr>
              <w:spacing w:line="276" w:lineRule="auto"/>
              <w:ind w:firstLine="0"/>
              <w:jc w:val="center"/>
              <w:rPr>
                <w:rFonts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363E1C" w:rsidR="00521456" w:rsidP="00DE65D1" w:rsidRDefault="00521456" w14:paraId="584A6800" w14:textId="77777777">
            <w:pPr>
              <w:spacing w:line="276" w:lineRule="auto"/>
              <w:ind w:firstLine="0"/>
              <w:jc w:val="center"/>
              <w:rPr>
                <w:rFonts w:eastAsia="Calibri" w:cs="Arial"/>
                <w:b/>
                <w:color w:val="007BC7"/>
                <w:sz w:val="16"/>
                <w:szCs w:val="16"/>
                <w:lang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363E1C" w:rsidR="00521456" w:rsidP="00DE65D1" w:rsidRDefault="00521456" w14:paraId="3984A2BD" w14:textId="77777777">
            <w:pPr>
              <w:spacing w:line="276" w:lineRule="auto"/>
              <w:ind w:firstLine="0"/>
              <w:jc w:val="center"/>
              <w:rPr>
                <w:rFonts w:eastAsia="Calibri" w:cs="Arial"/>
                <w:b/>
                <w:color w:val="007BC7"/>
                <w:sz w:val="16"/>
                <w:szCs w:val="16"/>
                <w:lang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363E1C" w:rsidR="00521456" w:rsidP="00DE65D1" w:rsidRDefault="00521456" w14:paraId="3064053A" w14:textId="77777777">
            <w:pPr>
              <w:spacing w:line="276" w:lineRule="auto"/>
              <w:ind w:firstLine="0"/>
              <w:rPr>
                <w:rFonts w:eastAsia="Calibri" w:cs="Arial"/>
                <w:sz w:val="16"/>
                <w:szCs w:val="16"/>
                <w:lang w:eastAsia="en-US"/>
              </w:rPr>
            </w:pPr>
            <w:r w:rsidRPr="00363E1C">
              <w:rPr>
                <w:rFonts w:eastAsia="Calibri" w:cs="Arial"/>
                <w:sz w:val="16"/>
                <w:szCs w:val="16"/>
                <w:lang w:eastAsia="en-US"/>
              </w:rPr>
              <w:t>II.21</w:t>
            </w:r>
          </w:p>
        </w:tc>
      </w:tr>
      <w:tr w:rsidRPr="00B65B22" w:rsidR="00521456" w:rsidTr="007E7EAD" w14:paraId="7FECCFEC" w14:textId="77777777">
        <w:trPr>
          <w:gridAfter w:val="10"/>
          <w:wAfter w:w="1952" w:type="dxa"/>
          <w:cantSplit/>
          <w:trHeight w:val="403"/>
        </w:trPr>
        <w:tc>
          <w:tcPr>
            <w:tcW w:w="693" w:type="dxa"/>
            <w:shd w:val="clear" w:color="auto" w:fill="FFFFFF"/>
            <w:vAlign w:val="center"/>
          </w:tcPr>
          <w:p w:rsidRPr="00B65B22" w:rsidR="00521456" w:rsidP="00DE65D1" w:rsidRDefault="00521456" w14:paraId="33FD1F3C" w14:textId="77777777">
            <w:pPr>
              <w:spacing w:line="276" w:lineRule="auto"/>
              <w:ind w:firstLine="0"/>
              <w:jc w:val="right"/>
              <w:rPr>
                <w:rFonts w:eastAsia="Calibri" w:cs="Arial"/>
                <w:sz w:val="16"/>
                <w:szCs w:val="16"/>
                <w:lang w:eastAsia="en-US"/>
              </w:rPr>
            </w:pPr>
          </w:p>
        </w:tc>
        <w:tc>
          <w:tcPr>
            <w:tcW w:w="6531" w:type="dxa"/>
            <w:gridSpan w:val="5"/>
            <w:shd w:val="clear" w:color="auto" w:fill="FFFFFF"/>
            <w:vAlign w:val="center"/>
          </w:tcPr>
          <w:p w:rsidRPr="00B65B22" w:rsidR="00521456" w:rsidP="00DE65D1" w:rsidRDefault="00521456" w14:paraId="10A408A8" w14:textId="77777777">
            <w:pPr>
              <w:ind w:firstLine="0"/>
              <w:rPr>
                <w:rFonts w:cs="Arial"/>
                <w:i/>
                <w:sz w:val="16"/>
                <w:szCs w:val="16"/>
              </w:rPr>
            </w:pPr>
            <w:r w:rsidRPr="00B65B22">
              <w:rPr>
                <w:rFonts w:eastAsia="Calibri" w:cs="Arial"/>
                <w:i/>
                <w:sz w:val="16"/>
                <w:szCs w:val="16"/>
                <w:lang w:eastAsia="en-US"/>
              </w:rPr>
              <w:t>Administratieve samenwerking en overig</w:t>
            </w:r>
          </w:p>
        </w:tc>
      </w:tr>
      <w:tr w:rsidRPr="00B65B22" w:rsidR="00521456" w:rsidTr="007E7EAD" w14:paraId="08A83C58"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3AF18819" w14:textId="77777777">
            <w:pPr>
              <w:spacing w:line="276" w:lineRule="auto"/>
              <w:ind w:firstLine="0"/>
              <w:jc w:val="right"/>
              <w:rPr>
                <w:rFonts w:eastAsia="Calibri" w:cs="Arial"/>
                <w:sz w:val="16"/>
                <w:szCs w:val="16"/>
                <w:lang w:eastAsia="en-US"/>
              </w:rPr>
            </w:pPr>
            <w:r w:rsidRPr="00B65B22">
              <w:rPr>
                <w:rFonts w:eastAsia="Calibri" w:cs="Arial"/>
                <w:sz w:val="16"/>
                <w:szCs w:val="16"/>
                <w:lang w:eastAsia="en-US"/>
              </w:rPr>
              <w:t>2.16.1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B65B22" w:rsidR="00521456" w:rsidP="00DE65D1" w:rsidRDefault="00521456" w14:paraId="5EFEE831" w14:textId="77777777">
            <w:pPr>
              <w:spacing w:line="276" w:lineRule="auto"/>
              <w:ind w:firstLine="0"/>
              <w:rPr>
                <w:rFonts w:eastAsia="Calibri" w:cs="Arial"/>
                <w:color w:val="FFFFFF"/>
                <w:sz w:val="16"/>
                <w:szCs w:val="16"/>
                <w:lang w:eastAsia="en-US"/>
              </w:rPr>
            </w:pPr>
            <w:r w:rsidRPr="00B65B22">
              <w:rPr>
                <w:rFonts w:eastAsia="Calibri" w:cs="Arial"/>
                <w:color w:val="FFFFFF"/>
                <w:sz w:val="16"/>
                <w:szCs w:val="16"/>
                <w:lang w:eastAsia="en-US"/>
              </w:rPr>
              <w:t>Verdergaande informatie-uitwisseling mogelijk dan uitwisseling op verzoek</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CF0A8D" w:rsidR="00521456" w:rsidP="00DE65D1" w:rsidRDefault="00521456" w14:paraId="741E9A15" w14:textId="77777777">
            <w:pPr>
              <w:spacing w:line="276" w:lineRule="auto"/>
              <w:ind w:firstLine="0"/>
              <w:jc w:val="center"/>
              <w:rPr>
                <w:rFonts w:eastAsia="Calibri" w:cs="Arial"/>
                <w:b/>
                <w:color w:val="007BC7"/>
                <w:sz w:val="16"/>
                <w:szCs w:val="16"/>
                <w:lang w:eastAsia="en-US"/>
              </w:rPr>
            </w:pPr>
            <w:r w:rsidRPr="00CF0A8D">
              <w:rPr>
                <w:rFonts w:eastAsia="Calibri" w:cs="Arial"/>
                <w:b/>
                <w:color w:val="007BC7"/>
                <w:sz w:val="16"/>
                <w:szCs w:val="16"/>
                <w:lang w:eastAsia="en-US"/>
              </w:rPr>
              <w:t>X</w:t>
            </w: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111169" w:rsidR="00521456" w:rsidP="00DE65D1" w:rsidRDefault="00521456" w14:paraId="550A0240" w14:textId="77777777">
            <w:pPr>
              <w:spacing w:line="276" w:lineRule="auto"/>
              <w:ind w:firstLine="0"/>
              <w:jc w:val="center"/>
              <w:rPr>
                <w:rFonts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363E1C" w:rsidR="00521456" w:rsidP="00DE65D1" w:rsidRDefault="00521456" w14:paraId="7C053D5E" w14:textId="77777777">
            <w:pPr>
              <w:spacing w:line="276" w:lineRule="auto"/>
              <w:ind w:firstLine="0"/>
              <w:jc w:val="center"/>
              <w:rPr>
                <w:rFonts w:eastAsia="Calibri" w:cs="Arial"/>
                <w:b/>
                <w:color w:val="007BC7"/>
                <w:sz w:val="16"/>
                <w:szCs w:val="16"/>
                <w:lang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363E1C" w:rsidR="00521456" w:rsidP="00DE65D1" w:rsidRDefault="00521456" w14:paraId="70104378" w14:textId="77777777">
            <w:pPr>
              <w:spacing w:line="276" w:lineRule="auto"/>
              <w:ind w:firstLine="0"/>
              <w:jc w:val="center"/>
              <w:rPr>
                <w:rFonts w:eastAsia="Calibri" w:cs="Arial"/>
                <w:b/>
                <w:color w:val="007BC7"/>
                <w:sz w:val="16"/>
                <w:szCs w:val="16"/>
                <w:lang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363E1C" w:rsidR="00521456" w:rsidP="00DE65D1" w:rsidRDefault="00521456" w14:paraId="3AF94A68" w14:textId="77777777">
            <w:pPr>
              <w:spacing w:line="276" w:lineRule="auto"/>
              <w:ind w:firstLine="0"/>
              <w:rPr>
                <w:rFonts w:eastAsia="Calibri" w:cs="Arial"/>
                <w:sz w:val="16"/>
                <w:szCs w:val="16"/>
                <w:lang w:eastAsia="en-US"/>
              </w:rPr>
            </w:pPr>
            <w:r w:rsidRPr="00363E1C">
              <w:rPr>
                <w:rFonts w:eastAsia="Calibri" w:cs="Arial"/>
                <w:sz w:val="16"/>
                <w:szCs w:val="16"/>
                <w:lang w:eastAsia="en-US"/>
              </w:rPr>
              <w:t>II.24</w:t>
            </w:r>
          </w:p>
        </w:tc>
      </w:tr>
      <w:tr w:rsidRPr="00B65B22" w:rsidR="00521456" w:rsidTr="007E7EAD" w14:paraId="5B89269E"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391FB72A" w14:textId="77777777">
            <w:pPr>
              <w:spacing w:line="276" w:lineRule="auto"/>
              <w:ind w:firstLine="0"/>
              <w:jc w:val="right"/>
              <w:rPr>
                <w:rFonts w:eastAsia="Calibri" w:cs="Arial"/>
                <w:sz w:val="16"/>
                <w:szCs w:val="16"/>
                <w:lang w:eastAsia="en-US"/>
              </w:rPr>
            </w:pPr>
            <w:r w:rsidRPr="00B65B22">
              <w:rPr>
                <w:rFonts w:eastAsia="Calibri" w:cs="Arial"/>
                <w:sz w:val="16"/>
                <w:szCs w:val="16"/>
                <w:lang w:eastAsia="en-US"/>
              </w:rPr>
              <w:t>2.16.2</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B65B22" w:rsidR="00521456" w:rsidP="00DE65D1" w:rsidRDefault="00521456" w14:paraId="10C28CC5" w14:textId="77777777">
            <w:pPr>
              <w:spacing w:line="276" w:lineRule="auto"/>
              <w:ind w:firstLine="0"/>
              <w:rPr>
                <w:rFonts w:eastAsia="Calibri" w:cs="Arial"/>
                <w:color w:val="FFFFFF"/>
                <w:sz w:val="16"/>
                <w:szCs w:val="16"/>
                <w:lang w:eastAsia="en-US"/>
              </w:rPr>
            </w:pPr>
            <w:r w:rsidRPr="00B65B22">
              <w:rPr>
                <w:rFonts w:eastAsia="Calibri" w:cs="Arial"/>
                <w:color w:val="FFFFFF"/>
                <w:sz w:val="16"/>
                <w:szCs w:val="16"/>
                <w:lang w:eastAsia="en-US"/>
              </w:rPr>
              <w:t>Invorderingsbepaling opgenomen</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129F121F" w14:textId="77777777">
            <w:pPr>
              <w:spacing w:line="276" w:lineRule="auto"/>
              <w:ind w:firstLine="0"/>
              <w:jc w:val="center"/>
              <w:rPr>
                <w:rFonts w:eastAsia="Calibri" w:cs="Arial"/>
                <w:b/>
                <w:color w:val="007BC7"/>
                <w:sz w:val="16"/>
                <w:szCs w:val="16"/>
                <w:lang w:eastAsia="en-US"/>
              </w:rPr>
            </w:pP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7B86FDB5" w14:textId="77777777">
            <w:pPr>
              <w:spacing w:line="276" w:lineRule="auto"/>
              <w:ind w:firstLine="0"/>
              <w:jc w:val="center"/>
              <w:rPr>
                <w:rFonts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04C00FC7" w14:textId="77777777">
            <w:pPr>
              <w:spacing w:line="276" w:lineRule="auto"/>
              <w:ind w:firstLine="0"/>
              <w:jc w:val="center"/>
              <w:rPr>
                <w:rFonts w:eastAsia="Calibri" w:cs="Arial"/>
                <w:b/>
                <w:color w:val="007BC7"/>
                <w:sz w:val="16"/>
                <w:szCs w:val="16"/>
                <w:lang w:eastAsia="en-US"/>
              </w:rPr>
            </w:pPr>
            <w:r w:rsidRPr="00B65B22">
              <w:rPr>
                <w:rFonts w:eastAsia="Calibri" w:cs="Arial"/>
                <w:b/>
                <w:color w:val="007BC7"/>
                <w:sz w:val="16"/>
                <w:szCs w:val="16"/>
                <w:lang w:eastAsia="en-US"/>
              </w:rPr>
              <w:t>X</w:t>
            </w: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572A050E" w14:textId="77777777">
            <w:pPr>
              <w:spacing w:line="276" w:lineRule="auto"/>
              <w:ind w:firstLine="0"/>
              <w:jc w:val="center"/>
              <w:rPr>
                <w:rFonts w:eastAsia="Calibri" w:cs="Arial"/>
                <w:b/>
                <w:color w:val="007BC7"/>
                <w:sz w:val="16"/>
                <w:szCs w:val="16"/>
                <w:lang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0210DA08" w14:textId="77777777">
            <w:pPr>
              <w:spacing w:line="276" w:lineRule="auto"/>
              <w:ind w:firstLine="0"/>
              <w:rPr>
                <w:rFonts w:eastAsia="Calibri" w:cs="Arial"/>
                <w:sz w:val="16"/>
                <w:szCs w:val="16"/>
                <w:lang w:eastAsia="en-US"/>
              </w:rPr>
            </w:pPr>
          </w:p>
        </w:tc>
      </w:tr>
      <w:tr w:rsidRPr="00B65B22" w:rsidR="00521456" w:rsidTr="007E7EAD" w14:paraId="32C286CE"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379B60B4" w14:textId="77777777">
            <w:pPr>
              <w:spacing w:line="276" w:lineRule="auto"/>
              <w:ind w:firstLine="0"/>
              <w:jc w:val="right"/>
              <w:rPr>
                <w:rFonts w:eastAsia="Calibri" w:cs="Arial"/>
                <w:sz w:val="16"/>
                <w:szCs w:val="16"/>
                <w:lang w:eastAsia="en-US"/>
              </w:rPr>
            </w:pPr>
            <w:r w:rsidRPr="00B65B22">
              <w:rPr>
                <w:rFonts w:eastAsia="Calibri" w:cs="Arial"/>
                <w:sz w:val="16"/>
                <w:szCs w:val="16"/>
                <w:lang w:eastAsia="en-US"/>
              </w:rPr>
              <w:t>2.17.1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B65B22" w:rsidR="00521456" w:rsidP="00DE65D1" w:rsidRDefault="00521456" w14:paraId="5ED9BA0C" w14:textId="77777777">
            <w:pPr>
              <w:spacing w:line="276" w:lineRule="auto"/>
              <w:ind w:firstLine="0"/>
              <w:rPr>
                <w:rFonts w:eastAsia="Calibri" w:cs="Arial"/>
                <w:color w:val="FFFFFF"/>
                <w:sz w:val="16"/>
                <w:szCs w:val="16"/>
                <w:lang w:eastAsia="en-US"/>
              </w:rPr>
            </w:pPr>
            <w:r w:rsidRPr="00B65B22">
              <w:rPr>
                <w:rFonts w:eastAsia="Calibri" w:cs="Arial"/>
                <w:color w:val="FFFFFF"/>
                <w:sz w:val="16"/>
                <w:szCs w:val="16"/>
                <w:lang w:eastAsia="en-US"/>
              </w:rPr>
              <w:t>Arbitragemogelijkheid opgenomen</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61C34456" w14:textId="77777777">
            <w:pPr>
              <w:spacing w:line="276" w:lineRule="auto"/>
              <w:ind w:firstLine="0"/>
              <w:jc w:val="center"/>
              <w:rPr>
                <w:rFonts w:eastAsia="Calibri" w:cs="Arial"/>
                <w:b/>
                <w:color w:val="007BC7"/>
                <w:sz w:val="16"/>
                <w:szCs w:val="16"/>
                <w:lang w:eastAsia="en-US"/>
              </w:rPr>
            </w:pPr>
            <w:r w:rsidRPr="00B65B22">
              <w:rPr>
                <w:rFonts w:eastAsia="Calibri" w:cs="Arial"/>
                <w:b/>
                <w:color w:val="007BC7"/>
                <w:sz w:val="16"/>
                <w:szCs w:val="16"/>
                <w:lang w:eastAsia="en-US"/>
              </w:rPr>
              <w:t>X</w:t>
            </w: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1B217940" w14:textId="77777777">
            <w:pPr>
              <w:spacing w:line="276" w:lineRule="auto"/>
              <w:ind w:firstLine="0"/>
              <w:jc w:val="center"/>
              <w:rPr>
                <w:rFonts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6E355634" w14:textId="77777777">
            <w:pPr>
              <w:spacing w:line="276" w:lineRule="auto"/>
              <w:ind w:firstLine="0"/>
              <w:jc w:val="center"/>
              <w:rPr>
                <w:rFonts w:eastAsia="Calibri" w:cs="Arial"/>
                <w:b/>
                <w:color w:val="007BC7"/>
                <w:sz w:val="16"/>
                <w:szCs w:val="16"/>
                <w:lang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0F38ED73" w14:textId="77777777">
            <w:pPr>
              <w:spacing w:line="276" w:lineRule="auto"/>
              <w:ind w:firstLine="0"/>
              <w:jc w:val="center"/>
              <w:rPr>
                <w:rFonts w:eastAsia="Calibri" w:cs="Arial"/>
                <w:b/>
                <w:color w:val="007BC7"/>
                <w:sz w:val="16"/>
                <w:szCs w:val="16"/>
                <w:lang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15F9FF44" w14:textId="77777777">
            <w:pPr>
              <w:spacing w:line="276" w:lineRule="auto"/>
              <w:ind w:firstLine="0"/>
              <w:rPr>
                <w:rFonts w:eastAsia="Calibri" w:cs="Arial"/>
                <w:sz w:val="16"/>
                <w:szCs w:val="16"/>
                <w:lang w:eastAsia="en-US"/>
              </w:rPr>
            </w:pPr>
            <w:r w:rsidRPr="00B65B22">
              <w:rPr>
                <w:rFonts w:eastAsia="Calibri" w:cs="Arial"/>
                <w:sz w:val="16"/>
                <w:szCs w:val="16"/>
                <w:lang w:eastAsia="en-US"/>
              </w:rPr>
              <w:t>II.23</w:t>
            </w:r>
          </w:p>
        </w:tc>
      </w:tr>
      <w:tr w:rsidRPr="00B65B22" w:rsidR="00521456" w:rsidTr="007E7EAD" w14:paraId="1555E795"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6BBA6207" w14:textId="77777777">
            <w:pPr>
              <w:spacing w:line="276" w:lineRule="auto"/>
              <w:ind w:firstLine="0"/>
              <w:jc w:val="right"/>
              <w:rPr>
                <w:rFonts w:eastAsia="Calibri" w:cs="Arial"/>
                <w:sz w:val="16"/>
                <w:szCs w:val="16"/>
                <w:lang w:eastAsia="en-US"/>
              </w:rPr>
            </w:pPr>
            <w:r w:rsidRPr="00B65B22">
              <w:rPr>
                <w:rFonts w:eastAsia="Calibri" w:cs="Arial"/>
                <w:sz w:val="16"/>
                <w:szCs w:val="16"/>
                <w:lang w:eastAsia="en-US"/>
              </w:rPr>
              <w:t>2.17.1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B65B22" w:rsidR="00521456" w:rsidP="00DE65D1" w:rsidRDefault="00521456" w14:paraId="684F9489" w14:textId="77777777">
            <w:pPr>
              <w:spacing w:line="276" w:lineRule="auto"/>
              <w:ind w:firstLine="0"/>
              <w:rPr>
                <w:rFonts w:eastAsia="Calibri" w:cs="Arial"/>
                <w:color w:val="FFFFFF"/>
                <w:sz w:val="16"/>
                <w:szCs w:val="16"/>
                <w:lang w:eastAsia="en-US"/>
              </w:rPr>
            </w:pPr>
            <w:r w:rsidRPr="00B65B22">
              <w:rPr>
                <w:rFonts w:eastAsia="Calibri" w:cs="Arial"/>
                <w:color w:val="FFFFFF"/>
                <w:sz w:val="16"/>
                <w:szCs w:val="16"/>
                <w:lang w:eastAsia="en-US"/>
              </w:rPr>
              <w:t>Arbitrage ook mogelijk in gevallen waarin definitieve gerechtelijke uitspraak is gedaan</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50023E7C" w14:textId="77777777">
            <w:pPr>
              <w:spacing w:line="276" w:lineRule="auto"/>
              <w:ind w:firstLine="0"/>
              <w:jc w:val="center"/>
              <w:rPr>
                <w:rFonts w:eastAsia="Calibri" w:cs="Arial"/>
                <w:b/>
                <w:color w:val="007BC7"/>
                <w:sz w:val="16"/>
                <w:szCs w:val="16"/>
                <w:lang w:eastAsia="en-US"/>
              </w:rPr>
            </w:pP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0123F869" w14:textId="77777777">
            <w:pPr>
              <w:spacing w:line="276" w:lineRule="auto"/>
              <w:ind w:firstLine="0"/>
              <w:jc w:val="center"/>
              <w:rPr>
                <w:rFonts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CF0A8D" w:rsidR="00521456" w:rsidP="00DE65D1" w:rsidRDefault="00521456" w14:paraId="5BFD940F" w14:textId="77777777">
            <w:pPr>
              <w:spacing w:line="276" w:lineRule="auto"/>
              <w:ind w:firstLine="0"/>
              <w:jc w:val="center"/>
              <w:rPr>
                <w:rFonts w:eastAsia="Calibri" w:cs="Arial"/>
                <w:b/>
                <w:color w:val="007BC7"/>
                <w:sz w:val="16"/>
                <w:szCs w:val="16"/>
                <w:lang w:eastAsia="en-US"/>
              </w:rPr>
            </w:pPr>
            <w:r w:rsidRPr="00CF0A8D">
              <w:rPr>
                <w:rFonts w:eastAsia="Calibri" w:cs="Arial"/>
                <w:b/>
                <w:color w:val="007BC7"/>
                <w:sz w:val="16"/>
                <w:szCs w:val="16"/>
                <w:lang w:eastAsia="en-US"/>
              </w:rPr>
              <w:t>X</w:t>
            </w: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111169" w:rsidR="00521456" w:rsidP="00DE65D1" w:rsidRDefault="00521456" w14:paraId="2A25DAF8" w14:textId="77777777">
            <w:pPr>
              <w:spacing w:line="276" w:lineRule="auto"/>
              <w:ind w:firstLine="0"/>
              <w:jc w:val="center"/>
              <w:rPr>
                <w:rFonts w:eastAsia="Calibri" w:cs="Arial"/>
                <w:b/>
                <w:color w:val="007BC7"/>
                <w:sz w:val="16"/>
                <w:szCs w:val="16"/>
                <w:lang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363E1C" w:rsidR="00521456" w:rsidP="00DE65D1" w:rsidRDefault="00521456" w14:paraId="094E2108" w14:textId="77777777">
            <w:pPr>
              <w:spacing w:line="276" w:lineRule="auto"/>
              <w:ind w:firstLine="0"/>
              <w:rPr>
                <w:rFonts w:eastAsia="Calibri" w:cs="Arial"/>
                <w:sz w:val="16"/>
                <w:szCs w:val="16"/>
                <w:lang w:eastAsia="en-US"/>
              </w:rPr>
            </w:pPr>
            <w:r w:rsidRPr="00363E1C">
              <w:rPr>
                <w:rFonts w:eastAsia="Calibri" w:cs="Arial"/>
                <w:sz w:val="16"/>
                <w:szCs w:val="16"/>
                <w:lang w:eastAsia="en-US"/>
              </w:rPr>
              <w:t>II.23</w:t>
            </w:r>
          </w:p>
        </w:tc>
      </w:tr>
      <w:tr w:rsidRPr="00B65B22" w:rsidR="00521456" w:rsidTr="007E7EAD" w14:paraId="1050999C"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1BA1F109" w14:textId="77777777">
            <w:pPr>
              <w:spacing w:line="276" w:lineRule="auto"/>
              <w:ind w:firstLine="0"/>
              <w:jc w:val="right"/>
              <w:rPr>
                <w:rFonts w:eastAsia="Calibri" w:cs="Arial"/>
                <w:sz w:val="16"/>
                <w:szCs w:val="16"/>
                <w:lang w:eastAsia="en-US"/>
              </w:rPr>
            </w:pPr>
            <w:r w:rsidRPr="00B65B22">
              <w:rPr>
                <w:rFonts w:eastAsia="Calibri" w:cs="Arial"/>
                <w:sz w:val="16"/>
                <w:szCs w:val="16"/>
                <w:lang w:eastAsia="en-US"/>
              </w:rPr>
              <w:t>2.21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B65B22" w:rsidR="00521456" w:rsidP="00DE65D1" w:rsidRDefault="00521456" w14:paraId="2EA898B3" w14:textId="77777777">
            <w:pPr>
              <w:spacing w:line="276" w:lineRule="auto"/>
              <w:ind w:firstLine="0"/>
              <w:rPr>
                <w:rFonts w:eastAsia="Calibri" w:cs="Arial"/>
                <w:color w:val="FFFFFF"/>
                <w:sz w:val="16"/>
                <w:szCs w:val="16"/>
                <w:lang w:eastAsia="en-US"/>
              </w:rPr>
            </w:pPr>
            <w:r w:rsidRPr="00B65B22">
              <w:rPr>
                <w:rFonts w:eastAsia="Calibri" w:cs="Arial"/>
                <w:color w:val="FFFFFF"/>
                <w:sz w:val="16"/>
                <w:szCs w:val="16"/>
                <w:lang w:eastAsia="en-US"/>
              </w:rPr>
              <w:t>Terug- en overnameclausule opgenomen in geval regeling nog niet was overeengekomen</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14F6C7DF" w14:textId="77777777">
            <w:pPr>
              <w:spacing w:line="276" w:lineRule="auto"/>
              <w:ind w:firstLine="0"/>
              <w:jc w:val="center"/>
              <w:rPr>
                <w:rFonts w:eastAsia="Calibri" w:cs="Arial"/>
                <w:b/>
                <w:color w:val="007BC7"/>
                <w:sz w:val="16"/>
                <w:szCs w:val="16"/>
                <w:lang w:eastAsia="en-US"/>
              </w:rPr>
            </w:pP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5A5E7C5E" w14:textId="77777777">
            <w:pPr>
              <w:spacing w:line="276" w:lineRule="auto"/>
              <w:ind w:firstLine="0"/>
              <w:jc w:val="center"/>
              <w:rPr>
                <w:rFonts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75D6117D" w14:textId="77777777">
            <w:pPr>
              <w:spacing w:line="276" w:lineRule="auto"/>
              <w:ind w:firstLine="0"/>
              <w:jc w:val="center"/>
              <w:rPr>
                <w:rFonts w:eastAsia="Calibri" w:cs="Arial"/>
                <w:b/>
                <w:color w:val="007BC7"/>
                <w:sz w:val="16"/>
                <w:szCs w:val="16"/>
                <w:lang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CF0A8D" w:rsidR="00521456" w:rsidP="00DE65D1" w:rsidRDefault="00521456" w14:paraId="3069E577" w14:textId="77777777">
            <w:pPr>
              <w:spacing w:line="276" w:lineRule="auto"/>
              <w:ind w:firstLine="0"/>
              <w:jc w:val="center"/>
              <w:rPr>
                <w:rFonts w:eastAsia="Calibri" w:cs="Arial"/>
                <w:b/>
                <w:color w:val="007BC7"/>
                <w:sz w:val="16"/>
                <w:szCs w:val="16"/>
                <w:lang w:eastAsia="en-US"/>
              </w:rPr>
            </w:pPr>
            <w:r w:rsidRPr="00CF0A8D">
              <w:rPr>
                <w:rFonts w:eastAsia="Calibri" w:cs="Arial"/>
                <w:b/>
                <w:color w:val="007BC7"/>
                <w:sz w:val="16"/>
                <w:szCs w:val="16"/>
                <w:lang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111169" w:rsidR="00521456" w:rsidP="00DE65D1" w:rsidRDefault="00521456" w14:paraId="6994E636" w14:textId="77777777">
            <w:pPr>
              <w:spacing w:line="276" w:lineRule="auto"/>
              <w:ind w:firstLine="0"/>
              <w:rPr>
                <w:rFonts w:eastAsia="Calibri" w:cs="Arial"/>
                <w:sz w:val="16"/>
                <w:szCs w:val="16"/>
                <w:lang w:eastAsia="en-US"/>
              </w:rPr>
            </w:pPr>
          </w:p>
        </w:tc>
      </w:tr>
      <w:tr w:rsidRPr="00B65B22" w:rsidR="00521456" w:rsidTr="007E7EAD" w14:paraId="13CB77CE" w14:textId="77777777">
        <w:trPr>
          <w:gridAfter w:val="10"/>
          <w:wAfter w:w="1952" w:type="dxa"/>
          <w:cantSplit/>
          <w:trHeight w:val="403"/>
        </w:trPr>
        <w:tc>
          <w:tcPr>
            <w:tcW w:w="693" w:type="dxa"/>
            <w:shd w:val="clear" w:color="auto" w:fill="FFFFFF"/>
            <w:vAlign w:val="center"/>
          </w:tcPr>
          <w:p w:rsidRPr="00B65B22" w:rsidR="00521456" w:rsidP="00DE65D1" w:rsidRDefault="00521456" w14:paraId="7F21B00A" w14:textId="77777777">
            <w:pPr>
              <w:spacing w:line="276" w:lineRule="auto"/>
              <w:ind w:firstLine="0"/>
              <w:jc w:val="right"/>
              <w:rPr>
                <w:rFonts w:eastAsia="Calibri" w:cs="Arial"/>
                <w:sz w:val="16"/>
                <w:szCs w:val="16"/>
                <w:lang w:eastAsia="en-US"/>
              </w:rPr>
            </w:pPr>
          </w:p>
        </w:tc>
        <w:tc>
          <w:tcPr>
            <w:tcW w:w="6531" w:type="dxa"/>
            <w:gridSpan w:val="5"/>
            <w:shd w:val="clear" w:color="auto" w:fill="FFFFFF"/>
            <w:vAlign w:val="center"/>
          </w:tcPr>
          <w:p w:rsidRPr="00B65B22" w:rsidR="00521456" w:rsidP="00DE65D1" w:rsidRDefault="00521456" w14:paraId="4A6B5C94" w14:textId="77777777">
            <w:pPr>
              <w:ind w:firstLine="0"/>
              <w:rPr>
                <w:rFonts w:cs="Arial"/>
                <w:i/>
                <w:sz w:val="16"/>
                <w:szCs w:val="16"/>
              </w:rPr>
            </w:pPr>
            <w:r w:rsidRPr="00B65B22">
              <w:rPr>
                <w:rFonts w:eastAsia="Calibri" w:cs="Arial"/>
                <w:i/>
                <w:sz w:val="16"/>
                <w:szCs w:val="16"/>
                <w:lang w:eastAsia="en-US"/>
              </w:rPr>
              <w:t>Instrumentarium voorkomen verdragsmisbruik</w:t>
            </w:r>
          </w:p>
        </w:tc>
      </w:tr>
      <w:tr w:rsidRPr="00B65B22" w:rsidR="00521456" w:rsidTr="007E7EAD" w14:paraId="2711F010"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7FBFCBBC" w14:textId="77777777">
            <w:pPr>
              <w:spacing w:line="276" w:lineRule="auto"/>
              <w:ind w:firstLine="0"/>
              <w:jc w:val="right"/>
              <w:rPr>
                <w:rFonts w:eastAsia="Calibri" w:cs="Arial"/>
                <w:sz w:val="16"/>
                <w:szCs w:val="16"/>
                <w:lang w:eastAsia="en-US"/>
              </w:rPr>
            </w:pPr>
            <w:r w:rsidRPr="00B65B22">
              <w:rPr>
                <w:rFonts w:eastAsia="Calibri" w:cs="Arial"/>
                <w:sz w:val="16"/>
                <w:szCs w:val="16"/>
                <w:lang w:eastAsia="en-US"/>
              </w:rPr>
              <w:t>2.20.1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B65B22" w:rsidR="00521456" w:rsidP="00DE65D1" w:rsidRDefault="00521456" w14:paraId="7BF7EA72" w14:textId="77777777">
            <w:pPr>
              <w:spacing w:line="276" w:lineRule="auto"/>
              <w:ind w:firstLine="0"/>
              <w:rPr>
                <w:rFonts w:eastAsia="Calibri" w:cs="Arial"/>
                <w:color w:val="FFFFFF"/>
                <w:sz w:val="16"/>
                <w:szCs w:val="16"/>
                <w:lang w:eastAsia="en-US"/>
              </w:rPr>
            </w:pPr>
            <w:r w:rsidRPr="00B65B22">
              <w:rPr>
                <w:rFonts w:eastAsia="Calibri" w:cs="Arial"/>
                <w:color w:val="FFFFFF"/>
                <w:sz w:val="16"/>
                <w:szCs w:val="16"/>
                <w:lang w:eastAsia="en-US"/>
              </w:rPr>
              <w:t>Indien aansluiting is gezocht bij nationale antimisbruikleerstukken is consultatie en/of onderlingoverlegmogelijkheid overeengekomen</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70EA210E" w14:textId="77777777">
            <w:pPr>
              <w:spacing w:line="276" w:lineRule="auto"/>
              <w:ind w:firstLine="0"/>
              <w:jc w:val="center"/>
              <w:rPr>
                <w:rFonts w:eastAsia="Calibri" w:cs="Arial"/>
                <w:b/>
                <w:color w:val="007BC7"/>
                <w:sz w:val="16"/>
                <w:szCs w:val="16"/>
                <w:lang w:eastAsia="en-US"/>
              </w:rPr>
            </w:pP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610309D9" w14:textId="77777777">
            <w:pPr>
              <w:spacing w:line="276" w:lineRule="auto"/>
              <w:ind w:firstLine="0"/>
              <w:jc w:val="center"/>
              <w:rPr>
                <w:rFonts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4C9DBC19" w14:textId="77777777">
            <w:pPr>
              <w:spacing w:line="276" w:lineRule="auto"/>
              <w:ind w:firstLine="0"/>
              <w:jc w:val="center"/>
              <w:rPr>
                <w:rFonts w:eastAsia="Calibri" w:cs="Arial"/>
                <w:b/>
                <w:color w:val="007BC7"/>
                <w:sz w:val="16"/>
                <w:szCs w:val="16"/>
                <w:lang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CF0A8D" w:rsidR="00521456" w:rsidP="00DE65D1" w:rsidRDefault="00521456" w14:paraId="5A45E4FF" w14:textId="77777777">
            <w:pPr>
              <w:spacing w:line="276" w:lineRule="auto"/>
              <w:ind w:firstLine="0"/>
              <w:jc w:val="center"/>
              <w:rPr>
                <w:rFonts w:eastAsia="Calibri" w:cs="Arial"/>
                <w:b/>
                <w:color w:val="007BC7"/>
                <w:sz w:val="16"/>
                <w:szCs w:val="16"/>
                <w:lang w:eastAsia="en-US"/>
              </w:rPr>
            </w:pPr>
            <w:r w:rsidRPr="00CF0A8D">
              <w:rPr>
                <w:rFonts w:eastAsia="Calibri" w:cs="Arial"/>
                <w:b/>
                <w:color w:val="007BC7"/>
                <w:sz w:val="16"/>
                <w:szCs w:val="16"/>
                <w:lang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111169" w:rsidR="00521456" w:rsidP="00DE65D1" w:rsidRDefault="00521456" w14:paraId="466EE347" w14:textId="77777777">
            <w:pPr>
              <w:spacing w:line="276" w:lineRule="auto"/>
              <w:ind w:firstLine="0"/>
              <w:rPr>
                <w:rFonts w:eastAsia="Calibri" w:cs="Arial"/>
                <w:sz w:val="16"/>
                <w:szCs w:val="16"/>
                <w:lang w:eastAsia="en-US"/>
              </w:rPr>
            </w:pPr>
            <w:r w:rsidRPr="00111169">
              <w:rPr>
                <w:rFonts w:eastAsia="Calibri" w:cs="Arial"/>
                <w:sz w:val="16"/>
                <w:szCs w:val="16"/>
                <w:lang w:eastAsia="en-US"/>
              </w:rPr>
              <w:t xml:space="preserve">- </w:t>
            </w:r>
          </w:p>
        </w:tc>
      </w:tr>
      <w:tr w:rsidRPr="00B65B22" w:rsidR="00521456" w:rsidTr="007E7EAD" w14:paraId="02ED8CB8"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76336469" w14:textId="77777777">
            <w:pPr>
              <w:spacing w:line="276" w:lineRule="auto"/>
              <w:ind w:firstLine="0"/>
              <w:jc w:val="right"/>
              <w:rPr>
                <w:rFonts w:eastAsia="Calibri" w:cs="Arial"/>
                <w:sz w:val="16"/>
                <w:szCs w:val="16"/>
                <w:lang w:eastAsia="en-US"/>
              </w:rPr>
            </w:pPr>
            <w:r w:rsidRPr="00B65B22">
              <w:rPr>
                <w:rFonts w:eastAsia="Calibri" w:cs="Arial"/>
                <w:sz w:val="16"/>
                <w:szCs w:val="16"/>
                <w:lang w:eastAsia="en-US"/>
              </w:rPr>
              <w:t>2.20.2</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B65B22" w:rsidR="00521456" w:rsidP="00DE65D1" w:rsidRDefault="00521456" w14:paraId="2C9FFEBD" w14:textId="77777777">
            <w:pPr>
              <w:spacing w:line="276" w:lineRule="auto"/>
              <w:ind w:firstLine="0"/>
              <w:rPr>
                <w:rFonts w:eastAsia="Calibri" w:cs="Arial"/>
                <w:color w:val="FFFFFF"/>
                <w:sz w:val="16"/>
                <w:szCs w:val="16"/>
                <w:lang w:eastAsia="en-US"/>
              </w:rPr>
            </w:pPr>
            <w:r w:rsidRPr="00B65B22">
              <w:rPr>
                <w:rFonts w:eastAsia="Calibri" w:cs="Arial"/>
                <w:color w:val="FFFFFF"/>
                <w:sz w:val="16"/>
                <w:szCs w:val="16"/>
                <w:lang w:eastAsia="en-US"/>
              </w:rPr>
              <w:t>Verdragsvoordeelbeperkende bepalingen opgenomen waar interactie tussen betrokken stelsels verdragsmisbruik meebrengen</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CF0A8D" w:rsidR="00521456" w:rsidP="00DE65D1" w:rsidRDefault="00521456" w14:paraId="10FC7666" w14:textId="77777777">
            <w:pPr>
              <w:spacing w:line="276" w:lineRule="auto"/>
              <w:ind w:firstLine="0"/>
              <w:jc w:val="center"/>
              <w:rPr>
                <w:rFonts w:eastAsia="Calibri" w:cs="Arial"/>
                <w:b/>
                <w:color w:val="007BC7"/>
                <w:sz w:val="16"/>
                <w:szCs w:val="16"/>
                <w:lang w:eastAsia="en-US"/>
              </w:rPr>
            </w:pPr>
            <w:r w:rsidRPr="00CF0A8D">
              <w:rPr>
                <w:rFonts w:eastAsia="Calibri" w:cs="Arial"/>
                <w:b/>
                <w:color w:val="007BC7"/>
                <w:sz w:val="16"/>
                <w:szCs w:val="16"/>
                <w:lang w:eastAsia="en-US"/>
              </w:rPr>
              <w:t>X</w:t>
            </w: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111169" w:rsidR="00521456" w:rsidP="00DE65D1" w:rsidRDefault="00521456" w14:paraId="4056E372" w14:textId="77777777">
            <w:pPr>
              <w:spacing w:line="276" w:lineRule="auto"/>
              <w:ind w:firstLine="0"/>
              <w:jc w:val="center"/>
              <w:rPr>
                <w:rFonts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363E1C" w:rsidR="00521456" w:rsidP="00DE65D1" w:rsidRDefault="00521456" w14:paraId="606075B0" w14:textId="77777777">
            <w:pPr>
              <w:spacing w:line="276" w:lineRule="auto"/>
              <w:ind w:firstLine="0"/>
              <w:jc w:val="center"/>
              <w:rPr>
                <w:rFonts w:eastAsia="Calibri" w:cs="Arial"/>
                <w:b/>
                <w:color w:val="007BC7"/>
                <w:sz w:val="16"/>
                <w:szCs w:val="16"/>
                <w:lang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363E1C" w:rsidR="00521456" w:rsidP="00DE65D1" w:rsidRDefault="00521456" w14:paraId="6F8FC2A4" w14:textId="77777777">
            <w:pPr>
              <w:spacing w:line="276" w:lineRule="auto"/>
              <w:ind w:firstLine="0"/>
              <w:jc w:val="center"/>
              <w:rPr>
                <w:rFonts w:eastAsia="Calibri" w:cs="Arial"/>
                <w:b/>
                <w:color w:val="007BC7"/>
                <w:sz w:val="16"/>
                <w:szCs w:val="16"/>
                <w:lang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0F52B8" w:rsidR="00521456" w:rsidP="00DE65D1" w:rsidRDefault="00521456" w14:paraId="792B0862" w14:textId="77777777">
            <w:pPr>
              <w:spacing w:line="276" w:lineRule="auto"/>
              <w:ind w:firstLine="0"/>
              <w:rPr>
                <w:rFonts w:eastAsia="Calibri" w:cs="Arial"/>
                <w:sz w:val="16"/>
                <w:szCs w:val="16"/>
                <w:lang w:eastAsia="en-US"/>
              </w:rPr>
            </w:pPr>
            <w:r w:rsidRPr="00363E1C">
              <w:rPr>
                <w:rFonts w:eastAsia="Calibri" w:cs="Arial"/>
                <w:sz w:val="16"/>
                <w:szCs w:val="16"/>
                <w:lang w:eastAsia="en-US"/>
              </w:rPr>
              <w:t>II.</w:t>
            </w:r>
            <w:r w:rsidRPr="000F52B8">
              <w:rPr>
                <w:rFonts w:eastAsia="Calibri" w:cs="Arial"/>
                <w:sz w:val="16"/>
                <w:szCs w:val="16"/>
                <w:lang w:eastAsia="en-US"/>
              </w:rPr>
              <w:t>26</w:t>
            </w:r>
          </w:p>
        </w:tc>
      </w:tr>
      <w:tr w:rsidRPr="00B65B22" w:rsidR="00521456" w:rsidTr="007E7EAD" w14:paraId="505C4595" w14:textId="77777777">
        <w:trPr>
          <w:gridAfter w:val="10"/>
          <w:wAfter w:w="1952" w:type="dxa"/>
          <w:cantSplit/>
          <w:trHeight w:val="403"/>
        </w:trPr>
        <w:tc>
          <w:tcPr>
            <w:tcW w:w="693" w:type="dxa"/>
            <w:shd w:val="clear" w:color="auto" w:fill="FFFFFF"/>
            <w:vAlign w:val="center"/>
          </w:tcPr>
          <w:p w:rsidRPr="00B65B22" w:rsidR="00521456" w:rsidP="00DE65D1" w:rsidRDefault="00521456" w14:paraId="6E3C1EB8" w14:textId="77777777">
            <w:pPr>
              <w:spacing w:line="276" w:lineRule="auto"/>
              <w:ind w:firstLine="0"/>
              <w:jc w:val="center"/>
              <w:rPr>
                <w:rFonts w:eastAsia="Calibri" w:cs="Arial"/>
                <w:b/>
                <w:sz w:val="16"/>
                <w:szCs w:val="16"/>
                <w:lang w:eastAsia="en-US"/>
              </w:rPr>
            </w:pPr>
          </w:p>
        </w:tc>
        <w:tc>
          <w:tcPr>
            <w:tcW w:w="6531" w:type="dxa"/>
            <w:gridSpan w:val="5"/>
            <w:shd w:val="clear" w:color="auto" w:fill="FFFFFF"/>
            <w:vAlign w:val="center"/>
          </w:tcPr>
          <w:p w:rsidRPr="00B65B22" w:rsidR="00521456" w:rsidP="00DE65D1" w:rsidRDefault="00521456" w14:paraId="13737BAD" w14:textId="77777777">
            <w:pPr>
              <w:ind w:firstLine="0"/>
              <w:rPr>
                <w:rFonts w:eastAsia="Calibri" w:cs="Arial"/>
                <w:b/>
                <w:sz w:val="16"/>
                <w:szCs w:val="16"/>
                <w:lang w:eastAsia="en-US"/>
              </w:rPr>
            </w:pPr>
            <w:r w:rsidRPr="00B65B22">
              <w:rPr>
                <w:rFonts w:eastAsia="Calibri" w:cs="Arial"/>
                <w:b/>
                <w:sz w:val="16"/>
                <w:szCs w:val="16"/>
                <w:lang w:eastAsia="en-US"/>
              </w:rPr>
              <w:t>Ontwikkelingslanden</w:t>
            </w:r>
          </w:p>
        </w:tc>
      </w:tr>
      <w:tr w:rsidRPr="00B65B22" w:rsidR="00521456" w:rsidTr="007E7EAD" w14:paraId="651B40CF"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7EE645A2" w14:textId="77777777">
            <w:pPr>
              <w:spacing w:line="276" w:lineRule="auto"/>
              <w:ind w:firstLine="0"/>
              <w:jc w:val="right"/>
              <w:rPr>
                <w:rFonts w:eastAsia="Calibri" w:cs="Arial"/>
                <w:sz w:val="16"/>
                <w:szCs w:val="16"/>
                <w:lang w:eastAsia="en-US"/>
              </w:rPr>
            </w:pPr>
            <w:r w:rsidRPr="00B65B22">
              <w:rPr>
                <w:rFonts w:eastAsia="Calibri" w:cs="Arial"/>
                <w:sz w:val="16"/>
                <w:szCs w:val="16"/>
                <w:lang w:eastAsia="en-US"/>
              </w:rPr>
              <w:t>2.6.2</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B65B22" w:rsidR="00521456" w:rsidP="00DE65D1" w:rsidRDefault="00521456" w14:paraId="630A5641" w14:textId="77777777">
            <w:pPr>
              <w:spacing w:line="276" w:lineRule="auto"/>
              <w:ind w:firstLine="0"/>
              <w:rPr>
                <w:rFonts w:eastAsia="Calibri" w:cs="Arial"/>
                <w:color w:val="FFFFFF"/>
                <w:sz w:val="16"/>
                <w:szCs w:val="16"/>
                <w:lang w:eastAsia="en-US"/>
              </w:rPr>
            </w:pPr>
            <w:r w:rsidRPr="00B65B22">
              <w:rPr>
                <w:rFonts w:eastAsia="Calibri" w:cs="Arial"/>
                <w:color w:val="FFFFFF"/>
                <w:sz w:val="16"/>
                <w:szCs w:val="16"/>
                <w:lang w:eastAsia="en-US"/>
              </w:rPr>
              <w:t>Uitgebreidere definitie ‘vaste inrichting’</w:t>
            </w:r>
          </w:p>
        </w:tc>
        <w:tc>
          <w:tcPr>
            <w:tcW w:w="283"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1E9BE5F0" w14:textId="77777777">
            <w:pPr>
              <w:spacing w:line="276" w:lineRule="auto"/>
              <w:ind w:firstLine="0"/>
              <w:jc w:val="center"/>
              <w:rPr>
                <w:rFonts w:eastAsia="Calibri" w:cs="Arial"/>
                <w:b/>
                <w:color w:val="007BC7"/>
                <w:sz w:val="16"/>
                <w:szCs w:val="16"/>
                <w:lang w:eastAsia="en-US"/>
              </w:rPr>
            </w:pPr>
          </w:p>
        </w:tc>
        <w:tc>
          <w:tcPr>
            <w:tcW w:w="493"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5DD0F85C" w14:textId="77777777">
            <w:pPr>
              <w:spacing w:line="276" w:lineRule="auto"/>
              <w:ind w:firstLine="0"/>
              <w:jc w:val="center"/>
              <w:rPr>
                <w:rFonts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34D4C8E6" w14:textId="77777777">
            <w:pPr>
              <w:spacing w:line="276" w:lineRule="auto"/>
              <w:ind w:firstLine="0"/>
              <w:jc w:val="center"/>
              <w:rPr>
                <w:rFonts w:eastAsia="Calibri" w:cs="Arial"/>
                <w:b/>
                <w:color w:val="007BC7"/>
                <w:sz w:val="16"/>
                <w:szCs w:val="16"/>
                <w:lang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622BF379" w14:textId="77777777">
            <w:pPr>
              <w:spacing w:line="276" w:lineRule="auto"/>
              <w:ind w:firstLine="0"/>
              <w:jc w:val="center"/>
              <w:rPr>
                <w:rFonts w:eastAsia="Calibri" w:cs="Arial"/>
                <w:b/>
                <w:color w:val="007BC7"/>
                <w:sz w:val="16"/>
                <w:szCs w:val="16"/>
                <w:lang w:eastAsia="en-US"/>
              </w:rPr>
            </w:pPr>
            <w:r w:rsidRPr="00B65B22">
              <w:rPr>
                <w:rFonts w:eastAsia="Calibri" w:cs="Arial"/>
                <w:b/>
                <w:color w:val="007BC7"/>
                <w:sz w:val="16"/>
                <w:szCs w:val="16"/>
                <w:lang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4B285394" w14:textId="77777777">
            <w:pPr>
              <w:spacing w:line="276" w:lineRule="auto"/>
              <w:ind w:firstLine="0"/>
              <w:rPr>
                <w:rFonts w:eastAsia="Calibri" w:cs="Arial"/>
                <w:sz w:val="16"/>
                <w:szCs w:val="16"/>
                <w:lang w:eastAsia="en-US"/>
              </w:rPr>
            </w:pPr>
          </w:p>
        </w:tc>
      </w:tr>
      <w:tr w:rsidRPr="00B65B22" w:rsidR="00521456" w:rsidTr="007E7EAD" w14:paraId="0C86FCC8"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6192428D" w14:textId="77777777">
            <w:pPr>
              <w:spacing w:line="276" w:lineRule="auto"/>
              <w:ind w:firstLine="0"/>
              <w:jc w:val="right"/>
              <w:rPr>
                <w:rFonts w:eastAsia="Calibri" w:cs="Arial"/>
                <w:sz w:val="16"/>
                <w:szCs w:val="16"/>
                <w:lang w:eastAsia="en-US"/>
              </w:rPr>
            </w:pPr>
            <w:r w:rsidRPr="00B65B22">
              <w:rPr>
                <w:rFonts w:eastAsia="Calibri" w:cs="Arial"/>
                <w:sz w:val="16"/>
                <w:szCs w:val="16"/>
                <w:lang w:eastAsia="en-US"/>
              </w:rPr>
              <w:t>2.7.1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B65B22" w:rsidR="00521456" w:rsidP="00DE65D1" w:rsidRDefault="00521456" w14:paraId="43101701" w14:textId="77777777">
            <w:pPr>
              <w:spacing w:line="276" w:lineRule="auto"/>
              <w:ind w:firstLine="0"/>
              <w:rPr>
                <w:rFonts w:eastAsia="Calibri" w:cs="Arial"/>
                <w:color w:val="FFFFFF"/>
                <w:sz w:val="16"/>
                <w:szCs w:val="16"/>
                <w:lang w:eastAsia="en-US"/>
              </w:rPr>
            </w:pPr>
            <w:r w:rsidRPr="00B65B22">
              <w:rPr>
                <w:rFonts w:eastAsia="Calibri" w:cs="Arial"/>
                <w:color w:val="FFFFFF"/>
                <w:sz w:val="16"/>
                <w:szCs w:val="16"/>
                <w:lang w:eastAsia="en-US"/>
              </w:rPr>
              <w:t>Bronbelasting op deelnemingsdividenden toegestaan</w:t>
            </w:r>
          </w:p>
        </w:tc>
        <w:tc>
          <w:tcPr>
            <w:tcW w:w="283"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5B4F5DE6" w14:textId="77777777">
            <w:pPr>
              <w:spacing w:line="276" w:lineRule="auto"/>
              <w:ind w:firstLine="0"/>
              <w:jc w:val="center"/>
              <w:rPr>
                <w:rFonts w:eastAsia="Calibri" w:cs="Arial"/>
                <w:b/>
                <w:color w:val="007BC7"/>
                <w:sz w:val="16"/>
                <w:szCs w:val="16"/>
                <w:lang w:eastAsia="en-US"/>
              </w:rPr>
            </w:pPr>
          </w:p>
        </w:tc>
        <w:tc>
          <w:tcPr>
            <w:tcW w:w="493"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0ED226E9" w14:textId="77777777">
            <w:pPr>
              <w:spacing w:line="276" w:lineRule="auto"/>
              <w:ind w:firstLine="0"/>
              <w:jc w:val="center"/>
              <w:rPr>
                <w:rFonts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2F2B70C4" w14:textId="77777777">
            <w:pPr>
              <w:spacing w:line="276" w:lineRule="auto"/>
              <w:ind w:firstLine="0"/>
              <w:jc w:val="center"/>
              <w:rPr>
                <w:rFonts w:eastAsia="Calibri" w:cs="Arial"/>
                <w:b/>
                <w:color w:val="007BC7"/>
                <w:sz w:val="16"/>
                <w:szCs w:val="16"/>
                <w:lang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3091EAEB" w14:textId="77777777">
            <w:pPr>
              <w:spacing w:line="276" w:lineRule="auto"/>
              <w:ind w:firstLine="0"/>
              <w:jc w:val="center"/>
              <w:rPr>
                <w:rFonts w:eastAsia="Calibri" w:cs="Arial"/>
                <w:b/>
                <w:color w:val="007BC7"/>
                <w:sz w:val="16"/>
                <w:szCs w:val="16"/>
                <w:lang w:eastAsia="en-US"/>
              </w:rPr>
            </w:pPr>
            <w:r w:rsidRPr="00B65B22">
              <w:rPr>
                <w:rFonts w:eastAsia="Calibri" w:cs="Arial"/>
                <w:b/>
                <w:color w:val="007BC7"/>
                <w:sz w:val="16"/>
                <w:szCs w:val="16"/>
                <w:lang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68EDF96F" w14:textId="77777777">
            <w:pPr>
              <w:spacing w:line="276" w:lineRule="auto"/>
              <w:ind w:firstLine="0"/>
              <w:rPr>
                <w:rFonts w:eastAsia="Calibri" w:cs="Arial"/>
                <w:sz w:val="16"/>
                <w:szCs w:val="16"/>
                <w:lang w:eastAsia="en-US"/>
              </w:rPr>
            </w:pPr>
          </w:p>
        </w:tc>
      </w:tr>
      <w:tr w:rsidRPr="00B65B22" w:rsidR="00521456" w:rsidTr="007E7EAD" w14:paraId="583D0280"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319C35E3" w14:textId="77777777">
            <w:pPr>
              <w:spacing w:line="276" w:lineRule="auto"/>
              <w:ind w:firstLine="0"/>
              <w:jc w:val="right"/>
              <w:rPr>
                <w:rFonts w:eastAsia="Calibri" w:cs="Arial"/>
                <w:sz w:val="16"/>
                <w:szCs w:val="16"/>
                <w:lang w:eastAsia="en-US"/>
              </w:rPr>
            </w:pPr>
            <w:r w:rsidRPr="00B65B22">
              <w:rPr>
                <w:rFonts w:eastAsia="Calibri" w:cs="Arial"/>
                <w:sz w:val="16"/>
                <w:szCs w:val="16"/>
                <w:lang w:eastAsia="en-US"/>
              </w:rPr>
              <w:t>2.8.1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B65B22" w:rsidR="00521456" w:rsidP="00DE65D1" w:rsidRDefault="00521456" w14:paraId="50CC05E7" w14:textId="77777777">
            <w:pPr>
              <w:spacing w:line="276" w:lineRule="auto"/>
              <w:ind w:firstLine="0"/>
              <w:rPr>
                <w:rFonts w:eastAsia="Calibri" w:cs="Arial"/>
                <w:color w:val="FFFFFF"/>
                <w:sz w:val="16"/>
                <w:szCs w:val="16"/>
                <w:lang w:eastAsia="en-US"/>
              </w:rPr>
            </w:pPr>
            <w:r w:rsidRPr="00B65B22">
              <w:rPr>
                <w:rFonts w:eastAsia="Calibri" w:cs="Arial"/>
                <w:color w:val="FFFFFF"/>
                <w:sz w:val="16"/>
                <w:szCs w:val="16"/>
                <w:lang w:eastAsia="en-US"/>
              </w:rPr>
              <w:t>Bronbelasting op interest &amp; royalty</w:t>
            </w:r>
            <w:r w:rsidRPr="00B65B22" w:rsidR="00547229">
              <w:rPr>
                <w:rFonts w:eastAsia="Calibri" w:cs="Arial"/>
                <w:color w:val="FFFFFF"/>
                <w:sz w:val="16"/>
                <w:szCs w:val="16"/>
                <w:lang w:eastAsia="en-US"/>
              </w:rPr>
              <w:t>’</w:t>
            </w:r>
            <w:r w:rsidRPr="00B65B22">
              <w:rPr>
                <w:rFonts w:eastAsia="Calibri" w:cs="Arial"/>
                <w:color w:val="FFFFFF"/>
                <w:sz w:val="16"/>
                <w:szCs w:val="16"/>
                <w:lang w:eastAsia="en-US"/>
              </w:rPr>
              <w:t>s toegestaan</w:t>
            </w:r>
          </w:p>
        </w:tc>
        <w:tc>
          <w:tcPr>
            <w:tcW w:w="283"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3E0B50DA" w14:textId="77777777">
            <w:pPr>
              <w:spacing w:line="276" w:lineRule="auto"/>
              <w:ind w:firstLine="0"/>
              <w:jc w:val="center"/>
              <w:rPr>
                <w:rFonts w:eastAsia="Calibri" w:cs="Arial"/>
                <w:b/>
                <w:color w:val="007BC7"/>
                <w:sz w:val="16"/>
                <w:szCs w:val="16"/>
                <w:lang w:eastAsia="en-US"/>
              </w:rPr>
            </w:pPr>
          </w:p>
        </w:tc>
        <w:tc>
          <w:tcPr>
            <w:tcW w:w="493"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53297E2E" w14:textId="77777777">
            <w:pPr>
              <w:spacing w:line="276" w:lineRule="auto"/>
              <w:ind w:firstLine="0"/>
              <w:jc w:val="center"/>
              <w:rPr>
                <w:rFonts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79DA9362" w14:textId="77777777">
            <w:pPr>
              <w:spacing w:line="276" w:lineRule="auto"/>
              <w:ind w:firstLine="0"/>
              <w:jc w:val="center"/>
              <w:rPr>
                <w:rFonts w:eastAsia="Calibri" w:cs="Arial"/>
                <w:b/>
                <w:color w:val="007BC7"/>
                <w:sz w:val="16"/>
                <w:szCs w:val="16"/>
                <w:lang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CF0A8D" w:rsidR="00521456" w:rsidP="00DE65D1" w:rsidRDefault="00521456" w14:paraId="51550D4A" w14:textId="77777777">
            <w:pPr>
              <w:spacing w:line="276" w:lineRule="auto"/>
              <w:ind w:firstLine="0"/>
              <w:jc w:val="center"/>
              <w:rPr>
                <w:rFonts w:eastAsia="Calibri" w:cs="Arial"/>
                <w:b/>
                <w:color w:val="007BC7"/>
                <w:sz w:val="16"/>
                <w:szCs w:val="16"/>
                <w:lang w:eastAsia="en-US"/>
              </w:rPr>
            </w:pPr>
            <w:r w:rsidRPr="00CF0A8D">
              <w:rPr>
                <w:rFonts w:eastAsia="Calibri" w:cs="Arial"/>
                <w:b/>
                <w:color w:val="007BC7"/>
                <w:sz w:val="16"/>
                <w:szCs w:val="16"/>
                <w:lang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111169" w:rsidR="00521456" w:rsidP="00DE65D1" w:rsidRDefault="00521456" w14:paraId="46EB9EEF" w14:textId="77777777">
            <w:pPr>
              <w:spacing w:line="276" w:lineRule="auto"/>
              <w:ind w:firstLine="0"/>
              <w:rPr>
                <w:rFonts w:eastAsia="Calibri" w:cs="Arial"/>
                <w:sz w:val="16"/>
                <w:szCs w:val="16"/>
                <w:lang w:eastAsia="en-US"/>
              </w:rPr>
            </w:pPr>
          </w:p>
        </w:tc>
      </w:tr>
      <w:tr w:rsidRPr="00B65B22" w:rsidR="00521456" w:rsidTr="007E7EAD" w14:paraId="5706078C"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3795D3E0" w14:textId="77777777">
            <w:pPr>
              <w:spacing w:line="276" w:lineRule="auto"/>
              <w:ind w:firstLine="0"/>
              <w:jc w:val="right"/>
              <w:rPr>
                <w:rFonts w:eastAsia="Calibri" w:cs="Arial"/>
                <w:sz w:val="16"/>
                <w:szCs w:val="16"/>
                <w:lang w:eastAsia="en-US"/>
              </w:rPr>
            </w:pP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B65B22" w:rsidR="00521456" w:rsidP="00DE65D1" w:rsidRDefault="00521456" w14:paraId="09EDF705" w14:textId="77777777">
            <w:pPr>
              <w:spacing w:line="276" w:lineRule="auto"/>
              <w:ind w:firstLine="0"/>
              <w:rPr>
                <w:rFonts w:eastAsia="Calibri" w:cs="Arial"/>
                <w:color w:val="FFFFFF"/>
                <w:sz w:val="16"/>
                <w:szCs w:val="16"/>
                <w:lang w:eastAsia="en-US"/>
              </w:rPr>
            </w:pPr>
            <w:r w:rsidRPr="00B65B22">
              <w:rPr>
                <w:rFonts w:eastAsia="Calibri" w:cs="Arial"/>
                <w:color w:val="FFFFFF"/>
                <w:sz w:val="16"/>
                <w:szCs w:val="16"/>
                <w:lang w:eastAsia="en-US"/>
              </w:rPr>
              <w:t xml:space="preserve">Risico’s verdragsmisbruik tijdens onderhandelingen op initiatief van Nederland besproken en zo nodig geadresseerd in het verdrag </w:t>
            </w:r>
          </w:p>
        </w:tc>
        <w:tc>
          <w:tcPr>
            <w:tcW w:w="283"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092A289A" w14:textId="77777777">
            <w:pPr>
              <w:spacing w:line="276" w:lineRule="auto"/>
              <w:ind w:firstLine="0"/>
              <w:jc w:val="center"/>
              <w:rPr>
                <w:rFonts w:eastAsia="Calibri" w:cs="Arial"/>
                <w:b/>
                <w:color w:val="007BC7"/>
                <w:sz w:val="16"/>
                <w:szCs w:val="16"/>
                <w:lang w:eastAsia="en-US"/>
              </w:rPr>
            </w:pPr>
          </w:p>
        </w:tc>
        <w:tc>
          <w:tcPr>
            <w:tcW w:w="493"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31644EBF" w14:textId="77777777">
            <w:pPr>
              <w:spacing w:line="276" w:lineRule="auto"/>
              <w:ind w:firstLine="0"/>
              <w:jc w:val="center"/>
              <w:rPr>
                <w:rFonts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702DD511" w14:textId="77777777">
            <w:pPr>
              <w:spacing w:line="276" w:lineRule="auto"/>
              <w:ind w:firstLine="0"/>
              <w:jc w:val="center"/>
              <w:rPr>
                <w:rFonts w:eastAsia="Calibri" w:cs="Arial"/>
                <w:b/>
                <w:color w:val="007BC7"/>
                <w:sz w:val="16"/>
                <w:szCs w:val="16"/>
                <w:lang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CF0A8D" w:rsidR="00521456" w:rsidP="00DE65D1" w:rsidRDefault="00521456" w14:paraId="2953EBA8" w14:textId="77777777">
            <w:pPr>
              <w:spacing w:line="276" w:lineRule="auto"/>
              <w:ind w:firstLine="0"/>
              <w:rPr>
                <w:rFonts w:eastAsia="Calibri" w:cs="Arial"/>
                <w:b/>
                <w:color w:val="007BC7"/>
                <w:sz w:val="16"/>
                <w:szCs w:val="16"/>
                <w:lang w:eastAsia="en-US"/>
              </w:rPr>
            </w:pPr>
            <w:r w:rsidRPr="00B65B22">
              <w:rPr>
                <w:rFonts w:eastAsia="Calibri" w:cs="Arial"/>
                <w:b/>
                <w:color w:val="007BC7"/>
                <w:sz w:val="16"/>
                <w:szCs w:val="16"/>
                <w:lang w:eastAsia="en-US"/>
              </w:rPr>
              <w:t xml:space="preserve"> </w:t>
            </w:r>
            <w:r w:rsidRPr="00CF0A8D">
              <w:rPr>
                <w:rFonts w:eastAsia="Calibri" w:cs="Arial"/>
                <w:b/>
                <w:color w:val="007BC7"/>
                <w:sz w:val="16"/>
                <w:szCs w:val="16"/>
                <w:lang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111169" w:rsidR="00521456" w:rsidP="00DE65D1" w:rsidRDefault="00521456" w14:paraId="138456E3" w14:textId="77777777">
            <w:pPr>
              <w:spacing w:line="276" w:lineRule="auto"/>
              <w:ind w:firstLine="0"/>
              <w:rPr>
                <w:rFonts w:eastAsia="Calibri" w:cs="Arial"/>
                <w:sz w:val="16"/>
                <w:szCs w:val="16"/>
                <w:lang w:eastAsia="en-US"/>
              </w:rPr>
            </w:pPr>
          </w:p>
        </w:tc>
      </w:tr>
      <w:tr w:rsidRPr="00B65B22" w:rsidR="00521456" w:rsidTr="007E7EAD" w14:paraId="208B66A2"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1D5C71D5" w14:textId="77777777">
            <w:pPr>
              <w:spacing w:line="276" w:lineRule="auto"/>
              <w:ind w:firstLine="0"/>
              <w:jc w:val="right"/>
              <w:rPr>
                <w:rFonts w:eastAsia="Calibri" w:cs="Arial"/>
                <w:sz w:val="16"/>
                <w:szCs w:val="16"/>
                <w:lang w:eastAsia="en-US"/>
              </w:rPr>
            </w:pPr>
            <w:r w:rsidRPr="00B65B22">
              <w:rPr>
                <w:rFonts w:eastAsia="Calibri" w:cs="Arial"/>
                <w:sz w:val="16"/>
                <w:szCs w:val="16"/>
                <w:lang w:eastAsia="en-US"/>
              </w:rPr>
              <w:t>II.2</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B65B22" w:rsidR="00521456" w:rsidP="00DE65D1" w:rsidRDefault="00521456" w14:paraId="7E87C866" w14:textId="77777777">
            <w:pPr>
              <w:spacing w:line="276" w:lineRule="auto"/>
              <w:ind w:firstLine="0"/>
              <w:rPr>
                <w:rFonts w:eastAsia="Calibri" w:cs="Arial"/>
                <w:color w:val="FFFFFF"/>
                <w:sz w:val="16"/>
                <w:szCs w:val="16"/>
                <w:lang w:eastAsia="en-US"/>
              </w:rPr>
            </w:pPr>
            <w:r w:rsidRPr="00B65B22">
              <w:rPr>
                <w:rFonts w:eastAsia="Calibri" w:cs="Arial"/>
                <w:color w:val="FFFFFF"/>
                <w:sz w:val="16"/>
                <w:szCs w:val="16"/>
                <w:lang w:eastAsia="en-US"/>
              </w:rPr>
              <w:t>Overige onderdelen van het VN-model geaccepteerd ter ondersteuning van de fiscale ontwikkeling van het ontwikkelingsland</w:t>
            </w:r>
          </w:p>
        </w:tc>
        <w:tc>
          <w:tcPr>
            <w:tcW w:w="283"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3A1FF0F5" w14:textId="77777777">
            <w:pPr>
              <w:spacing w:line="276" w:lineRule="auto"/>
              <w:ind w:firstLine="0"/>
              <w:jc w:val="center"/>
              <w:rPr>
                <w:rFonts w:eastAsia="Calibri" w:cs="Arial"/>
                <w:b/>
                <w:color w:val="007BC7"/>
                <w:sz w:val="16"/>
                <w:szCs w:val="16"/>
                <w:lang w:eastAsia="en-US"/>
              </w:rPr>
            </w:pPr>
          </w:p>
        </w:tc>
        <w:tc>
          <w:tcPr>
            <w:tcW w:w="493"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766BC33D" w14:textId="77777777">
            <w:pPr>
              <w:spacing w:line="276" w:lineRule="auto"/>
              <w:ind w:firstLine="0"/>
              <w:jc w:val="center"/>
              <w:rPr>
                <w:rFonts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B65B22" w:rsidR="00521456" w:rsidP="00DE65D1" w:rsidRDefault="00521456" w14:paraId="1F2DEC01" w14:textId="77777777">
            <w:pPr>
              <w:spacing w:line="276" w:lineRule="auto"/>
              <w:ind w:firstLine="0"/>
              <w:jc w:val="center"/>
              <w:rPr>
                <w:rFonts w:eastAsia="Calibri" w:cs="Arial"/>
                <w:b/>
                <w:color w:val="007BC7"/>
                <w:sz w:val="16"/>
                <w:szCs w:val="16"/>
                <w:lang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CF0A8D" w:rsidR="00521456" w:rsidP="00DE65D1" w:rsidRDefault="00521456" w14:paraId="3FC3AB1E" w14:textId="77777777">
            <w:pPr>
              <w:spacing w:line="276" w:lineRule="auto"/>
              <w:ind w:firstLine="0"/>
              <w:jc w:val="center"/>
              <w:rPr>
                <w:rFonts w:eastAsia="Calibri" w:cs="Arial"/>
                <w:b/>
                <w:color w:val="007BC7"/>
                <w:sz w:val="16"/>
                <w:szCs w:val="16"/>
                <w:lang w:eastAsia="en-US"/>
              </w:rPr>
            </w:pPr>
            <w:r w:rsidRPr="00CF0A8D">
              <w:rPr>
                <w:rFonts w:eastAsia="Calibri" w:cs="Arial"/>
                <w:b/>
                <w:color w:val="007BC7"/>
                <w:sz w:val="16"/>
                <w:szCs w:val="16"/>
                <w:lang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111169" w:rsidR="00521456" w:rsidP="00DE65D1" w:rsidRDefault="00521456" w14:paraId="5088860C" w14:textId="77777777">
            <w:pPr>
              <w:spacing w:line="276" w:lineRule="auto"/>
              <w:ind w:firstLine="0"/>
              <w:rPr>
                <w:rFonts w:eastAsia="Calibri" w:cs="Arial"/>
                <w:sz w:val="16"/>
                <w:szCs w:val="16"/>
                <w:lang w:eastAsia="en-US"/>
              </w:rPr>
            </w:pPr>
          </w:p>
        </w:tc>
      </w:tr>
    </w:tbl>
    <w:p w:rsidRPr="00B65B22" w:rsidR="00521456" w:rsidP="00521456" w:rsidRDefault="00521456" w14:paraId="1EED1A63" w14:textId="77777777">
      <w:pPr>
        <w:pBdr>
          <w:top w:val="single" w:color="auto" w:sz="4" w:space="1"/>
          <w:left w:val="single" w:color="auto" w:sz="4" w:space="0"/>
          <w:bottom w:val="single" w:color="auto" w:sz="4" w:space="1"/>
          <w:right w:val="single" w:color="auto" w:sz="4" w:space="4"/>
        </w:pBdr>
        <w:rPr>
          <w:b/>
        </w:rPr>
      </w:pPr>
      <w:r w:rsidRPr="00B65B22">
        <w:rPr>
          <w:b/>
          <w:sz w:val="16"/>
          <w:szCs w:val="16"/>
        </w:rPr>
        <w:t>Toelichting</w:t>
      </w:r>
      <w:r w:rsidRPr="00B65B22">
        <w:rPr>
          <w:sz w:val="16"/>
          <w:szCs w:val="16"/>
        </w:rPr>
        <w:br/>
        <w:t>In bovenstaand toetsschema met standaardcriteria voor het sluiten van belastingverdragen zijn de standaardcriteria opgenomen zoals geformuleerd en toegelicht in de NFV 2011.</w:t>
      </w:r>
      <w:r w:rsidR="009C6DBA">
        <w:rPr>
          <w:rStyle w:val="Voetnootmarkering"/>
          <w:sz w:val="16"/>
          <w:szCs w:val="16"/>
        </w:rPr>
        <w:footnoteReference w:id="14"/>
      </w:r>
      <w:r w:rsidRPr="00B65B22">
        <w:rPr>
          <w:sz w:val="16"/>
          <w:szCs w:val="16"/>
        </w:rPr>
        <w:t xml:space="preserve"> Dit schema biedt tevens uitvoering aan de motie-Van Vliet</w:t>
      </w:r>
      <w:r w:rsidRPr="00CF0A8D">
        <w:rPr>
          <w:rStyle w:val="Voetnootmarkering"/>
          <w:sz w:val="16"/>
          <w:szCs w:val="16"/>
        </w:rPr>
        <w:footnoteReference w:id="15"/>
      </w:r>
      <w:r w:rsidRPr="00B65B22">
        <w:rPr>
          <w:sz w:val="16"/>
          <w:szCs w:val="16"/>
        </w:rPr>
        <w:t xml:space="preserve"> en </w:t>
      </w:r>
      <w:r w:rsidRPr="00B65B22" w:rsidR="00842F98">
        <w:rPr>
          <w:sz w:val="16"/>
          <w:szCs w:val="16"/>
        </w:rPr>
        <w:t xml:space="preserve">wordt </w:t>
      </w:r>
      <w:r w:rsidRPr="00B65B22">
        <w:rPr>
          <w:sz w:val="16"/>
          <w:szCs w:val="16"/>
        </w:rPr>
        <w:t xml:space="preserve">gevoegd bij elke toelichting bij nieuwe belastingverdragen. Per onderdeel </w:t>
      </w:r>
      <w:r w:rsidRPr="00B65B22" w:rsidR="00466DAD">
        <w:rPr>
          <w:sz w:val="16"/>
          <w:szCs w:val="16"/>
        </w:rPr>
        <w:t>wordt</w:t>
      </w:r>
      <w:r w:rsidRPr="00B65B22">
        <w:rPr>
          <w:sz w:val="16"/>
          <w:szCs w:val="16"/>
        </w:rPr>
        <w:t xml:space="preserve"> aangegeven of de inzet geconcretiseerd is in het </w:t>
      </w:r>
      <w:r w:rsidRPr="00B65B22" w:rsidR="00466DAD">
        <w:rPr>
          <w:sz w:val="16"/>
          <w:szCs w:val="16"/>
        </w:rPr>
        <w:t xml:space="preserve">Verdrag </w:t>
      </w:r>
      <w:r w:rsidRPr="00B65B22">
        <w:rPr>
          <w:sz w:val="16"/>
          <w:szCs w:val="16"/>
        </w:rPr>
        <w:t xml:space="preserve">en </w:t>
      </w:r>
      <w:r w:rsidRPr="00B65B22" w:rsidR="00466DAD">
        <w:rPr>
          <w:sz w:val="16"/>
          <w:szCs w:val="16"/>
        </w:rPr>
        <w:t>wordt</w:t>
      </w:r>
      <w:r w:rsidRPr="00B65B22">
        <w:rPr>
          <w:sz w:val="16"/>
          <w:szCs w:val="16"/>
        </w:rPr>
        <w:t xml:space="preserve"> verwezen naar de relevante passage in de toelichting.</w:t>
      </w:r>
    </w:p>
    <w:p w:rsidRPr="00CF0A8D" w:rsidR="00642FF9" w:rsidRDefault="00642FF9" w14:paraId="091A1106" w14:textId="77777777">
      <w:pPr>
        <w:spacing w:line="240" w:lineRule="auto"/>
        <w:ind w:firstLine="0"/>
        <w:rPr>
          <w:rFonts w:cs="Arial"/>
        </w:rPr>
      </w:pPr>
    </w:p>
    <w:p w:rsidRPr="00CF0A8D" w:rsidR="00521456" w:rsidP="00521456" w:rsidRDefault="00521456" w14:paraId="480BCA7A" w14:textId="77777777">
      <w:pPr>
        <w:rPr>
          <w:rFonts w:cs="Arial"/>
        </w:rPr>
      </w:pPr>
    </w:p>
    <w:p w:rsidRPr="00CF0A8D" w:rsidR="00521456" w:rsidP="00521456" w:rsidRDefault="00521456" w14:paraId="0763861C" w14:textId="77777777">
      <w:pPr>
        <w:pStyle w:val="Kop1"/>
        <w:numPr>
          <w:ilvl w:val="0"/>
          <w:numId w:val="0"/>
        </w:numPr>
      </w:pPr>
      <w:r w:rsidRPr="00CF0A8D">
        <w:t>II.</w:t>
      </w:r>
      <w:r w:rsidRPr="00CF0A8D">
        <w:tab/>
        <w:t>ARTIKELSGEWIJZE TOELICHTING</w:t>
      </w:r>
    </w:p>
    <w:p w:rsidRPr="00B65B22" w:rsidR="007B6437" w:rsidP="00901C1E" w:rsidRDefault="007B6437" w14:paraId="101CA735" w14:textId="77777777">
      <w:pPr>
        <w:pStyle w:val="Kop2"/>
        <w:numPr>
          <w:ilvl w:val="1"/>
          <w:numId w:val="4"/>
        </w:numPr>
        <w:rPr>
          <w:b w:val="0"/>
          <w:i/>
        </w:rPr>
      </w:pPr>
      <w:r w:rsidRPr="00B65B22">
        <w:rPr>
          <w:b w:val="0"/>
          <w:i/>
        </w:rPr>
        <w:t>Titel en preambule</w:t>
      </w:r>
    </w:p>
    <w:p w:rsidRPr="00B65B22" w:rsidR="00C9001B" w:rsidP="00C9001B" w:rsidRDefault="00DA5473" w14:paraId="36475739" w14:textId="77777777">
      <w:pPr>
        <w:ind w:firstLine="708"/>
      </w:pPr>
      <w:r w:rsidRPr="00B65B22">
        <w:t>In de titel en de preambule wordt tot uitdrukking gebracht dat het Verdrag ertoe strekt om dubbele belasting op inkomen te vermijden, zonder daarmee mogelijkheden te creëren voor dubbele niet-heffing of verlaagde heffing door belastingontduiking of belastingontwijking. Daarbij wordt expliciet verwezen naar treaty-shopping-constructies. Dit stemt overeen met de titel en de preambule van het OESO-modelverdrag en is in lijn met de aan</w:t>
      </w:r>
      <w:r w:rsidRPr="00CF0A8D">
        <w:t xml:space="preserve">beveling uit </w:t>
      </w:r>
      <w:r w:rsidRPr="00CF0A8D" w:rsidR="008E36A2">
        <w:t xml:space="preserve">het rapport </w:t>
      </w:r>
      <w:r w:rsidRPr="00CF0A8D" w:rsidR="00D846B9">
        <w:t>bij</w:t>
      </w:r>
      <w:r w:rsidRPr="00CF0A8D" w:rsidR="008E36A2">
        <w:t xml:space="preserve"> a</w:t>
      </w:r>
      <w:r w:rsidRPr="00875B2B" w:rsidR="009B34AF">
        <w:t>ctiepunt</w:t>
      </w:r>
      <w:r w:rsidRPr="009C6DBA" w:rsidR="009B34AF">
        <w:t xml:space="preserve"> 6 van het BEPS-project </w:t>
      </w:r>
      <w:r w:rsidRPr="009C6DBA" w:rsidR="008E36A2">
        <w:t>met de titel</w:t>
      </w:r>
      <w:r w:rsidRPr="009C6DBA" w:rsidR="009B34AF">
        <w:t xml:space="preserve"> “</w:t>
      </w:r>
      <w:r w:rsidRPr="009C6DBA" w:rsidR="002D7BD5">
        <w:rPr>
          <w:i/>
        </w:rPr>
        <w:t>Preventing the Granting of Treaty Benefits in Inappropriate Circumstances</w:t>
      </w:r>
      <w:r w:rsidRPr="009C6DBA" w:rsidR="009B34AF">
        <w:t>”</w:t>
      </w:r>
      <w:r w:rsidRPr="00B65B22" w:rsidR="00D846B9">
        <w:rPr>
          <w:rStyle w:val="Voetnootmarkering"/>
        </w:rPr>
        <w:footnoteReference w:id="16"/>
      </w:r>
      <w:r w:rsidRPr="00B65B22">
        <w:t>.</w:t>
      </w:r>
      <w:r w:rsidRPr="00B65B22" w:rsidR="009B34AF">
        <w:t xml:space="preserve"> </w:t>
      </w:r>
    </w:p>
    <w:p w:rsidRPr="00B65B22" w:rsidR="007B6437" w:rsidP="00F5785D" w:rsidRDefault="00B5695C" w14:paraId="69E9FDAC" w14:textId="77777777">
      <w:pPr>
        <w:ind w:firstLine="720"/>
        <w:rPr>
          <w:rFonts w:cs="Arial"/>
          <w:szCs w:val="20"/>
        </w:rPr>
      </w:pPr>
      <w:r w:rsidRPr="00B65B22">
        <w:rPr>
          <w:rFonts w:cs="Arial"/>
          <w:szCs w:val="20"/>
        </w:rPr>
        <w:t xml:space="preserve">Zoals uit de titel en de preambule blijkt, geldt dit Verdrag alleen voor belastingen naar het inkomen en niet – zoals bij het OESO-modelverdrag wel het geval is – voor belastingen naar het vermogen. </w:t>
      </w:r>
    </w:p>
    <w:p w:rsidRPr="00CF0A8D" w:rsidR="007B6437" w:rsidP="00901C1E" w:rsidRDefault="006E1112" w14:paraId="50B592C3" w14:textId="77777777">
      <w:pPr>
        <w:pStyle w:val="Kop2"/>
        <w:numPr>
          <w:ilvl w:val="1"/>
          <w:numId w:val="1"/>
        </w:numPr>
        <w:rPr>
          <w:b w:val="0"/>
          <w:i/>
        </w:rPr>
      </w:pPr>
      <w:r w:rsidRPr="00B65B22">
        <w:rPr>
          <w:b w:val="0"/>
          <w:i/>
        </w:rPr>
        <w:t>Personen op wie het Verdrag van toepassing is (artikel 1</w:t>
      </w:r>
      <w:r w:rsidRPr="00B65B22" w:rsidR="00F05AE9">
        <w:rPr>
          <w:b w:val="0"/>
          <w:i/>
        </w:rPr>
        <w:t xml:space="preserve"> van het Verdrag</w:t>
      </w:r>
      <w:r w:rsidRPr="002A5A61">
        <w:rPr>
          <w:b w:val="0"/>
          <w:i/>
        </w:rPr>
        <w:t>)</w:t>
      </w:r>
    </w:p>
    <w:p w:rsidRPr="00111169" w:rsidR="002B532A" w:rsidP="00E60712" w:rsidRDefault="00D122CA" w14:paraId="60CC3687" w14:textId="77777777">
      <w:pPr>
        <w:ind w:firstLine="720"/>
        <w:rPr>
          <w:rFonts w:cs="Arial"/>
          <w:szCs w:val="20"/>
        </w:rPr>
      </w:pPr>
      <w:r w:rsidRPr="00CF0A8D">
        <w:rPr>
          <w:rFonts w:cs="Arial"/>
          <w:szCs w:val="20"/>
        </w:rPr>
        <w:t xml:space="preserve">Artikel 1 </w:t>
      </w:r>
      <w:r w:rsidRPr="00CF0A8D" w:rsidR="006D6E8D">
        <w:rPr>
          <w:rFonts w:cs="Arial"/>
          <w:bCs/>
          <w:iCs/>
          <w:szCs w:val="20"/>
        </w:rPr>
        <w:t xml:space="preserve">van het Verdrag </w:t>
      </w:r>
      <w:r w:rsidRPr="00875B2B">
        <w:rPr>
          <w:rFonts w:cs="Arial"/>
          <w:szCs w:val="20"/>
        </w:rPr>
        <w:t>beschrijft de personele werkingssfeer van het Verdrag. Het</w:t>
      </w:r>
      <w:r w:rsidRPr="009C6DBA">
        <w:rPr>
          <w:rFonts w:cs="Arial"/>
          <w:szCs w:val="20"/>
        </w:rPr>
        <w:t xml:space="preserve"> Verdrag geldt ten aanzien van personen die inwoner zijn van een verdragsluitende staat of van beide verdragsluitende staten. De uitdrukkingen </w:t>
      </w:r>
      <w:r w:rsidRPr="009C6DBA" w:rsidR="00E60712">
        <w:rPr>
          <w:rFonts w:cs="Arial"/>
          <w:szCs w:val="20"/>
        </w:rPr>
        <w:t>“</w:t>
      </w:r>
      <w:r w:rsidRPr="009C6DBA">
        <w:rPr>
          <w:rFonts w:cs="Arial"/>
          <w:szCs w:val="20"/>
        </w:rPr>
        <w:t>verdragsluitende staat</w:t>
      </w:r>
      <w:r w:rsidRPr="009C6DBA" w:rsidR="00E60712">
        <w:rPr>
          <w:rFonts w:cs="Arial"/>
          <w:szCs w:val="20"/>
        </w:rPr>
        <w:t>”</w:t>
      </w:r>
      <w:r w:rsidRPr="009C6DBA">
        <w:rPr>
          <w:rFonts w:cs="Arial"/>
          <w:szCs w:val="20"/>
        </w:rPr>
        <w:t xml:space="preserve"> en </w:t>
      </w:r>
      <w:r w:rsidRPr="009C6DBA" w:rsidR="00E60712">
        <w:rPr>
          <w:rFonts w:cs="Arial"/>
          <w:szCs w:val="20"/>
        </w:rPr>
        <w:t>“</w:t>
      </w:r>
      <w:r w:rsidRPr="009C6DBA">
        <w:rPr>
          <w:rFonts w:cs="Arial"/>
          <w:szCs w:val="20"/>
        </w:rPr>
        <w:t>persoon</w:t>
      </w:r>
      <w:r w:rsidRPr="009C6DBA" w:rsidR="00E60712">
        <w:rPr>
          <w:rFonts w:cs="Arial"/>
          <w:szCs w:val="20"/>
        </w:rPr>
        <w:t>”</w:t>
      </w:r>
      <w:r w:rsidRPr="009C6DBA">
        <w:rPr>
          <w:rFonts w:cs="Arial"/>
          <w:szCs w:val="20"/>
        </w:rPr>
        <w:t xml:space="preserve"> worden omschreven in artikel 3</w:t>
      </w:r>
      <w:r w:rsidRPr="009C6DBA" w:rsidR="006E1112">
        <w:rPr>
          <w:rFonts w:cs="Arial"/>
          <w:szCs w:val="20"/>
        </w:rPr>
        <w:t>, eerste lid, onderdelen a</w:t>
      </w:r>
      <w:r w:rsidRPr="009C6DBA" w:rsidR="00F825BE">
        <w:rPr>
          <w:rFonts w:cs="Arial"/>
          <w:szCs w:val="20"/>
        </w:rPr>
        <w:t>, respectievelijk</w:t>
      </w:r>
      <w:r w:rsidRPr="009C6DBA" w:rsidR="0040681D">
        <w:rPr>
          <w:rFonts w:cs="Arial"/>
          <w:szCs w:val="20"/>
        </w:rPr>
        <w:t xml:space="preserve"> </w:t>
      </w:r>
      <w:r w:rsidRPr="009C6DBA">
        <w:rPr>
          <w:rFonts w:cs="Arial"/>
          <w:szCs w:val="20"/>
        </w:rPr>
        <w:t xml:space="preserve">d, en het begrip </w:t>
      </w:r>
      <w:r w:rsidRPr="009C6DBA" w:rsidR="00E60712">
        <w:rPr>
          <w:rFonts w:cs="Arial"/>
          <w:szCs w:val="20"/>
        </w:rPr>
        <w:t>“</w:t>
      </w:r>
      <w:r w:rsidRPr="009C6DBA">
        <w:rPr>
          <w:rFonts w:cs="Arial"/>
          <w:szCs w:val="20"/>
        </w:rPr>
        <w:t>inwoner</w:t>
      </w:r>
      <w:r w:rsidRPr="009C6DBA" w:rsidR="00E60712">
        <w:rPr>
          <w:rFonts w:cs="Arial"/>
          <w:szCs w:val="20"/>
        </w:rPr>
        <w:t>”</w:t>
      </w:r>
      <w:r w:rsidRPr="009C6DBA">
        <w:rPr>
          <w:rFonts w:cs="Arial"/>
          <w:szCs w:val="20"/>
        </w:rPr>
        <w:t xml:space="preserve"> </w:t>
      </w:r>
      <w:r w:rsidRPr="009C6DBA" w:rsidR="000F3002">
        <w:rPr>
          <w:rFonts w:cs="Arial"/>
          <w:szCs w:val="20"/>
        </w:rPr>
        <w:t xml:space="preserve">wordt omschreven </w:t>
      </w:r>
      <w:r w:rsidRPr="009C6DBA">
        <w:rPr>
          <w:rFonts w:cs="Arial"/>
          <w:szCs w:val="20"/>
        </w:rPr>
        <w:t xml:space="preserve">in artikel 4 van het Verdrag. </w:t>
      </w:r>
    </w:p>
    <w:p w:rsidRPr="00B65B22" w:rsidR="00217ED3" w:rsidRDefault="009E2E01" w14:paraId="1554C445" w14:textId="77777777">
      <w:pPr>
        <w:ind w:firstLine="720"/>
      </w:pPr>
      <w:r w:rsidRPr="00363E1C">
        <w:rPr>
          <w:rFonts w:cs="Arial"/>
          <w:szCs w:val="20"/>
        </w:rPr>
        <w:t xml:space="preserve">Het tweede lid heeft betrekking op entiteiten die in de ene </w:t>
      </w:r>
      <w:r w:rsidRPr="00363E1C" w:rsidR="00420573">
        <w:rPr>
          <w:rFonts w:cs="Arial"/>
          <w:szCs w:val="20"/>
        </w:rPr>
        <w:t xml:space="preserve">verdragsluitende </w:t>
      </w:r>
      <w:r w:rsidRPr="00363E1C">
        <w:rPr>
          <w:rFonts w:cs="Arial"/>
          <w:szCs w:val="20"/>
        </w:rPr>
        <w:t xml:space="preserve">staat volgens nationaal recht worden aangemerkt als een fiscaal zelfstandig lichaam, maar </w:t>
      </w:r>
      <w:r w:rsidRPr="00363E1C" w:rsidR="00B73174">
        <w:rPr>
          <w:rFonts w:cs="Arial"/>
          <w:szCs w:val="20"/>
        </w:rPr>
        <w:t xml:space="preserve">die </w:t>
      </w:r>
      <w:r w:rsidRPr="00363E1C">
        <w:rPr>
          <w:rFonts w:cs="Arial"/>
          <w:szCs w:val="20"/>
        </w:rPr>
        <w:t xml:space="preserve">volgens het nationale recht van de andere </w:t>
      </w:r>
      <w:r w:rsidRPr="00363E1C" w:rsidR="00411766">
        <w:rPr>
          <w:rFonts w:cs="Arial"/>
          <w:szCs w:val="20"/>
        </w:rPr>
        <w:t xml:space="preserve">verdragsluitende </w:t>
      </w:r>
      <w:r w:rsidRPr="000F52B8">
        <w:rPr>
          <w:rFonts w:cs="Arial"/>
          <w:szCs w:val="20"/>
        </w:rPr>
        <w:t>staat als fiscaal transparant worden beschouwd. Men spreekt in dit verband wel van hybride entiteiten. D</w:t>
      </w:r>
      <w:r w:rsidRPr="00B65B22" w:rsidR="002E6482">
        <w:rPr>
          <w:rFonts w:cs="Arial"/>
          <w:szCs w:val="20"/>
        </w:rPr>
        <w:t>i</w:t>
      </w:r>
      <w:r w:rsidRPr="00B65B22">
        <w:rPr>
          <w:rFonts w:cs="Arial"/>
          <w:szCs w:val="20"/>
        </w:rPr>
        <w:t>e andere staat ziet dan geen zelfstandig belastingplichtig lichaam maar kijkt voor de belastingheffing naar de achterliggende personen die in de desbetreffende entiteit deelnemen. Dat betekent dat die andere staat de inkomsten fiscaal niet toerekent aan de entiteit, maar aan de daarin deelnemende, achterliggende personen. Een dergelijk verschil in kwalificatie van entiteiten leidt tot vragen over de verdragsgerechtigdheid van de entiteit of van de daarin deelnemende personen, en kan leiden tot dubbele vrijstelling of dubbele belasting van inkomsten</w:t>
      </w:r>
      <w:r w:rsidRPr="00B65B22" w:rsidR="00BD165E">
        <w:t>.</w:t>
      </w:r>
      <w:r w:rsidRPr="00B65B22" w:rsidR="00B73174">
        <w:t xml:space="preserve"> </w:t>
      </w:r>
    </w:p>
    <w:p w:rsidRPr="00363E1C" w:rsidR="00850AD8" w:rsidRDefault="00BD165E" w14:paraId="6FFA3BC4" w14:textId="77777777">
      <w:pPr>
        <w:ind w:firstLine="720"/>
      </w:pPr>
      <w:r w:rsidRPr="00B65B22">
        <w:rPr>
          <w:rFonts w:cs="Arial"/>
          <w:szCs w:val="20"/>
        </w:rPr>
        <w:t>In</w:t>
      </w:r>
      <w:r w:rsidRPr="00B65B22" w:rsidR="00F13B70">
        <w:rPr>
          <w:rFonts w:cs="Arial"/>
          <w:szCs w:val="20"/>
        </w:rPr>
        <w:t xml:space="preserve"> paragraa</w:t>
      </w:r>
      <w:r w:rsidRPr="00B65B22" w:rsidR="00AC51EF">
        <w:rPr>
          <w:rFonts w:cs="Arial"/>
          <w:szCs w:val="20"/>
        </w:rPr>
        <w:t>f 435</w:t>
      </w:r>
      <w:r w:rsidRPr="00B65B22" w:rsidR="00F13B70">
        <w:rPr>
          <w:rFonts w:cs="Arial"/>
          <w:szCs w:val="20"/>
        </w:rPr>
        <w:t xml:space="preserve"> van</w:t>
      </w:r>
      <w:r w:rsidRPr="00B65B22">
        <w:rPr>
          <w:rFonts w:cs="Arial"/>
          <w:szCs w:val="20"/>
        </w:rPr>
        <w:t xml:space="preserve"> </w:t>
      </w:r>
      <w:r w:rsidRPr="00B65B22" w:rsidR="00217ED3">
        <w:rPr>
          <w:rFonts w:cs="Arial"/>
          <w:szCs w:val="20"/>
        </w:rPr>
        <w:t>het rapport bij actiepunt 2 van het BEPS-project</w:t>
      </w:r>
      <w:r w:rsidRPr="00B65B22" w:rsidR="00217ED3">
        <w:rPr>
          <w:rStyle w:val="Voetnootmarkering"/>
          <w:rFonts w:cs="Arial"/>
          <w:szCs w:val="20"/>
        </w:rPr>
        <w:footnoteReference w:id="17"/>
      </w:r>
      <w:r w:rsidRPr="00B65B22" w:rsidR="00217ED3">
        <w:rPr>
          <w:rFonts w:cs="Arial"/>
          <w:szCs w:val="20"/>
        </w:rPr>
        <w:t xml:space="preserve"> </w:t>
      </w:r>
      <w:r w:rsidRPr="00B65B22" w:rsidR="00F13B70">
        <w:rPr>
          <w:rFonts w:cs="Arial"/>
          <w:szCs w:val="20"/>
        </w:rPr>
        <w:t xml:space="preserve">is een </w:t>
      </w:r>
      <w:r w:rsidRPr="00B65B22" w:rsidR="00F13B70">
        <w:t>specifieke verdragsbepaling met betrekking tot deze problematiek</w:t>
      </w:r>
      <w:r w:rsidRPr="00B65B22" w:rsidR="000F3002">
        <w:t xml:space="preserve"> opgenomen</w:t>
      </w:r>
      <w:r w:rsidRPr="00B65B22" w:rsidR="00F13B70">
        <w:t>. D</w:t>
      </w:r>
      <w:r w:rsidRPr="00B65B22" w:rsidR="000F3002">
        <w:t>i</w:t>
      </w:r>
      <w:r w:rsidRPr="00B65B22" w:rsidR="00F13B70">
        <w:t xml:space="preserve">e bepaling heeft </w:t>
      </w:r>
      <w:r w:rsidRPr="00B65B22" w:rsidR="002E6482">
        <w:t xml:space="preserve">haar </w:t>
      </w:r>
      <w:r w:rsidRPr="00B65B22" w:rsidR="00F13B70">
        <w:t xml:space="preserve">weg gevonden naar </w:t>
      </w:r>
      <w:r w:rsidRPr="00B65B22" w:rsidR="00490510">
        <w:t xml:space="preserve">het </w:t>
      </w:r>
      <w:r w:rsidRPr="002A5A61" w:rsidR="00411766">
        <w:t>MLI</w:t>
      </w:r>
      <w:r w:rsidRPr="00CF0A8D" w:rsidDel="004B0492" w:rsidR="00490510">
        <w:t xml:space="preserve"> </w:t>
      </w:r>
      <w:r w:rsidRPr="00CF0A8D" w:rsidR="00850AD8">
        <w:t xml:space="preserve">(artikel </w:t>
      </w:r>
      <w:r w:rsidRPr="00CF0A8D" w:rsidR="0059121D">
        <w:t>3</w:t>
      </w:r>
      <w:r w:rsidRPr="00CF0A8D" w:rsidR="00850AD8">
        <w:t xml:space="preserve"> daarvan) </w:t>
      </w:r>
      <w:r w:rsidRPr="00875B2B" w:rsidR="00F13B70">
        <w:t xml:space="preserve">en is inmiddels ook opgenomen in </w:t>
      </w:r>
      <w:r w:rsidRPr="009C6DBA" w:rsidR="00850AD8">
        <w:t xml:space="preserve">artikel 1 van </w:t>
      </w:r>
      <w:r w:rsidRPr="009C6DBA" w:rsidR="00F13B70">
        <w:t xml:space="preserve">het op </w:t>
      </w:r>
      <w:r w:rsidRPr="009C6DBA" w:rsidR="00BF3839">
        <w:t>21 november 2017</w:t>
      </w:r>
      <w:r w:rsidRPr="009C6DBA" w:rsidR="00F13B70">
        <w:t xml:space="preserve"> gewijzigde </w:t>
      </w:r>
      <w:r w:rsidRPr="009C6DBA" w:rsidR="00850AD8">
        <w:t>OESO-modelverdrag.</w:t>
      </w:r>
      <w:r w:rsidRPr="009C6DBA" w:rsidR="0059121D">
        <w:t xml:space="preserve"> Het tweede lid </w:t>
      </w:r>
      <w:r w:rsidRPr="009C6DBA" w:rsidR="00F5332A">
        <w:t xml:space="preserve">van </w:t>
      </w:r>
      <w:r w:rsidRPr="009C6DBA" w:rsidR="00DD608E">
        <w:t>a</w:t>
      </w:r>
      <w:r w:rsidRPr="009C6DBA" w:rsidR="00F5332A">
        <w:t xml:space="preserve">rtikel 1 van het </w:t>
      </w:r>
      <w:r w:rsidRPr="009C6DBA" w:rsidR="004278E8">
        <w:t>V</w:t>
      </w:r>
      <w:r w:rsidRPr="009C6DBA" w:rsidR="00F5332A">
        <w:t xml:space="preserve">erdrag </w:t>
      </w:r>
      <w:r w:rsidRPr="009C6DBA" w:rsidR="0059121D">
        <w:t xml:space="preserve">sluit hierbij aan, en </w:t>
      </w:r>
      <w:r w:rsidRPr="009C6DBA" w:rsidR="00235C60">
        <w:t xml:space="preserve">het opnemen van deze bepaling </w:t>
      </w:r>
      <w:r w:rsidRPr="009C6DBA" w:rsidR="0059121D">
        <w:t>is ook in overeenstemming met het Nederlandse verdrag</w:t>
      </w:r>
      <w:r w:rsidRPr="009C6DBA" w:rsidR="002D1C37">
        <w:t>s</w:t>
      </w:r>
      <w:r w:rsidRPr="009C6DBA" w:rsidR="0059121D">
        <w:t xml:space="preserve">beleid </w:t>
      </w:r>
      <w:r w:rsidRPr="009C6DBA" w:rsidR="00235C60">
        <w:t xml:space="preserve">op dit punt </w:t>
      </w:r>
      <w:r w:rsidRPr="009C6DBA" w:rsidR="0059121D">
        <w:t xml:space="preserve">(zoals verwoord in paragraaf </w:t>
      </w:r>
      <w:r w:rsidRPr="009C6DBA" w:rsidR="00235C60">
        <w:t xml:space="preserve">2.2.6. van </w:t>
      </w:r>
      <w:r w:rsidRPr="009C6DBA" w:rsidR="0022067F">
        <w:t xml:space="preserve">de </w:t>
      </w:r>
      <w:r w:rsidRPr="009C6DBA" w:rsidR="00235C60">
        <w:t>reeds in punt I.</w:t>
      </w:r>
      <w:r w:rsidRPr="009C6DBA" w:rsidR="008A4DFD">
        <w:t>0</w:t>
      </w:r>
      <w:r w:rsidRPr="009C6DBA" w:rsidR="00235C60">
        <w:t>. genoemde brie</w:t>
      </w:r>
      <w:r w:rsidRPr="00111169" w:rsidR="00235C60">
        <w:t xml:space="preserve">f van 28 oktober 2016 </w:t>
      </w:r>
      <w:r w:rsidRPr="00111169" w:rsidR="0022067F">
        <w:t xml:space="preserve">over </w:t>
      </w:r>
      <w:r w:rsidRPr="00363E1C" w:rsidR="00490510">
        <w:t xml:space="preserve">het </w:t>
      </w:r>
      <w:r w:rsidRPr="00363E1C" w:rsidR="00B31084">
        <w:t>MLI</w:t>
      </w:r>
      <w:r w:rsidRPr="00363E1C" w:rsidR="0022067F">
        <w:t>).</w:t>
      </w:r>
    </w:p>
    <w:p w:rsidRPr="00B65B22" w:rsidR="00F04622" w:rsidP="00F04622" w:rsidRDefault="00F532B0" w14:paraId="6DD3D0F3" w14:textId="77777777">
      <w:pPr>
        <w:ind w:firstLine="720"/>
        <w:rPr>
          <w:rFonts w:cs="Arial"/>
          <w:szCs w:val="20"/>
        </w:rPr>
      </w:pPr>
      <w:r w:rsidRPr="00363E1C">
        <w:t>H</w:t>
      </w:r>
      <w:r w:rsidRPr="00363E1C" w:rsidR="00C25184">
        <w:t xml:space="preserve">et </w:t>
      </w:r>
      <w:r w:rsidRPr="00363E1C" w:rsidR="009B713D">
        <w:t xml:space="preserve">tweede lid </w:t>
      </w:r>
      <w:r w:rsidRPr="000F52B8" w:rsidR="0022067F">
        <w:t xml:space="preserve">bepaalt </w:t>
      </w:r>
      <w:r w:rsidRPr="000F52B8" w:rsidR="009B713D">
        <w:t xml:space="preserve">dat </w:t>
      </w:r>
      <w:r w:rsidRPr="000F52B8" w:rsidR="00E573B0">
        <w:rPr>
          <w:rFonts w:cs="Arial"/>
          <w:szCs w:val="20"/>
        </w:rPr>
        <w:t xml:space="preserve">als een verdragsluitende staat </w:t>
      </w:r>
      <w:r w:rsidRPr="000F52B8" w:rsidR="0022067F">
        <w:rPr>
          <w:rFonts w:cs="Arial"/>
          <w:szCs w:val="20"/>
        </w:rPr>
        <w:t xml:space="preserve">het </w:t>
      </w:r>
      <w:r w:rsidRPr="000F52B8" w:rsidR="00E573B0">
        <w:rPr>
          <w:rFonts w:cs="Arial"/>
          <w:szCs w:val="20"/>
        </w:rPr>
        <w:t>door of via een hybride entiteit verkregen inkomen in aanmerking neemt als inkomen van een inwoner</w:t>
      </w:r>
      <w:r w:rsidRPr="00B65B22" w:rsidR="0022067F">
        <w:rPr>
          <w:rFonts w:cs="Arial"/>
          <w:szCs w:val="20"/>
        </w:rPr>
        <w:t xml:space="preserve"> van die staat</w:t>
      </w:r>
      <w:r w:rsidRPr="00B65B22" w:rsidR="00E573B0">
        <w:rPr>
          <w:rFonts w:cs="Arial"/>
          <w:szCs w:val="20"/>
        </w:rPr>
        <w:t xml:space="preserve">, dit inkomen ook voor de toepassing van het Verdrag als zodanig moet worden behandeld. De bepaling voorkomt daarmee dat </w:t>
      </w:r>
      <w:r w:rsidRPr="00B65B22" w:rsidR="00F04622">
        <w:rPr>
          <w:rFonts w:cs="Arial"/>
          <w:szCs w:val="20"/>
        </w:rPr>
        <w:t xml:space="preserve">de inwoner van de ene </w:t>
      </w:r>
      <w:r w:rsidRPr="00B65B22" w:rsidR="003828EF">
        <w:rPr>
          <w:rFonts w:cs="Arial"/>
          <w:szCs w:val="20"/>
        </w:rPr>
        <w:t xml:space="preserve">verdragsluitende </w:t>
      </w:r>
      <w:r w:rsidRPr="00B65B22" w:rsidR="00F04622">
        <w:rPr>
          <w:rFonts w:cs="Arial"/>
          <w:szCs w:val="20"/>
        </w:rPr>
        <w:t xml:space="preserve">staat </w:t>
      </w:r>
      <w:r w:rsidRPr="00B65B22" w:rsidR="00417C0E">
        <w:t xml:space="preserve">geen aanspraak zou kunnen maken op </w:t>
      </w:r>
      <w:r w:rsidRPr="00B65B22" w:rsidR="00F04622">
        <w:rPr>
          <w:rFonts w:cs="Arial"/>
          <w:szCs w:val="20"/>
        </w:rPr>
        <w:t xml:space="preserve">de verdragsvoordelen met betrekking tot dat inkomen omdat de andere </w:t>
      </w:r>
      <w:r w:rsidRPr="00B65B22" w:rsidR="003828EF">
        <w:rPr>
          <w:rFonts w:cs="Arial"/>
          <w:szCs w:val="20"/>
        </w:rPr>
        <w:t xml:space="preserve">verdragsluitende </w:t>
      </w:r>
      <w:r w:rsidRPr="00B65B22" w:rsidR="00F04622">
        <w:rPr>
          <w:rFonts w:cs="Arial"/>
          <w:szCs w:val="20"/>
        </w:rPr>
        <w:t>staat (de bronstaat) dat inkomen, volgens de eigen kwalificatie van de hybride entiteit, aan een andere persoon zou toerekenen.</w:t>
      </w:r>
      <w:r w:rsidRPr="00B65B22" w:rsidR="00972705">
        <w:rPr>
          <w:rFonts w:cs="Arial"/>
          <w:szCs w:val="20"/>
        </w:rPr>
        <w:t xml:space="preserve"> Aan de andere kant </w:t>
      </w:r>
      <w:r w:rsidRPr="00B65B22" w:rsidR="00EF4DB7">
        <w:rPr>
          <w:rFonts w:cs="Arial"/>
          <w:szCs w:val="20"/>
        </w:rPr>
        <w:t xml:space="preserve">stelt de </w:t>
      </w:r>
      <w:r w:rsidRPr="00B65B22" w:rsidR="00972705">
        <w:rPr>
          <w:rFonts w:cs="Arial"/>
          <w:szCs w:val="20"/>
        </w:rPr>
        <w:t xml:space="preserve">bepaling ook </w:t>
      </w:r>
      <w:r w:rsidRPr="00B65B22" w:rsidR="00EF4DB7">
        <w:rPr>
          <w:rFonts w:cs="Arial"/>
          <w:szCs w:val="20"/>
        </w:rPr>
        <w:t xml:space="preserve">buiten twijfel </w:t>
      </w:r>
      <w:r w:rsidRPr="00B65B22" w:rsidR="00972705">
        <w:rPr>
          <w:rFonts w:cs="Arial"/>
          <w:szCs w:val="20"/>
        </w:rPr>
        <w:t xml:space="preserve">dat </w:t>
      </w:r>
      <w:r w:rsidRPr="00B65B22" w:rsidR="00EF4DB7">
        <w:rPr>
          <w:rFonts w:cs="Arial"/>
          <w:szCs w:val="20"/>
        </w:rPr>
        <w:t xml:space="preserve">er geen </w:t>
      </w:r>
      <w:r w:rsidRPr="00B65B22" w:rsidR="00972705">
        <w:rPr>
          <w:rFonts w:cs="Arial"/>
          <w:szCs w:val="20"/>
        </w:rPr>
        <w:t>verdragsvoordelen worden verleend voor inkom</w:t>
      </w:r>
      <w:r w:rsidRPr="00B65B22" w:rsidR="00EF4DB7">
        <w:rPr>
          <w:rFonts w:cs="Arial"/>
          <w:szCs w:val="20"/>
        </w:rPr>
        <w:t>sten</w:t>
      </w:r>
      <w:r w:rsidRPr="00B65B22" w:rsidR="00972705">
        <w:rPr>
          <w:rFonts w:cs="Arial"/>
          <w:szCs w:val="20"/>
        </w:rPr>
        <w:t xml:space="preserve"> d</w:t>
      </w:r>
      <w:r w:rsidRPr="00B65B22" w:rsidR="00EF4DB7">
        <w:rPr>
          <w:rFonts w:cs="Arial"/>
          <w:szCs w:val="20"/>
        </w:rPr>
        <w:t>ie</w:t>
      </w:r>
      <w:r w:rsidRPr="00B65B22" w:rsidR="00972705">
        <w:rPr>
          <w:rFonts w:cs="Arial"/>
          <w:szCs w:val="20"/>
        </w:rPr>
        <w:t xml:space="preserve"> bij geen van de verdragsluitende staten in aanmerking word</w:t>
      </w:r>
      <w:r w:rsidRPr="00B65B22" w:rsidR="00EF4DB7">
        <w:rPr>
          <w:rFonts w:cs="Arial"/>
          <w:szCs w:val="20"/>
        </w:rPr>
        <w:t>en</w:t>
      </w:r>
      <w:r w:rsidRPr="00B65B22" w:rsidR="00972705">
        <w:rPr>
          <w:rFonts w:cs="Arial"/>
          <w:szCs w:val="20"/>
        </w:rPr>
        <w:t xml:space="preserve"> genomen als inkomen van een inwoner.</w:t>
      </w:r>
    </w:p>
    <w:p w:rsidRPr="00B65B22" w:rsidR="00F50AF1" w:rsidP="00F04622" w:rsidRDefault="00E35864" w14:paraId="7203F921" w14:textId="77777777">
      <w:pPr>
        <w:ind w:firstLine="720"/>
        <w:rPr>
          <w:rFonts w:cs="Arial"/>
          <w:szCs w:val="20"/>
        </w:rPr>
      </w:pPr>
      <w:r w:rsidRPr="00B65B22">
        <w:t>Volgens h</w:t>
      </w:r>
      <w:r w:rsidRPr="00B65B22" w:rsidR="00F532B0">
        <w:t xml:space="preserve">et derde lid </w:t>
      </w:r>
      <w:r w:rsidRPr="00B65B22">
        <w:t xml:space="preserve">heeft </w:t>
      </w:r>
      <w:r w:rsidRPr="00B65B22" w:rsidR="00C25184">
        <w:rPr>
          <w:rFonts w:cs="Arial"/>
          <w:szCs w:val="20"/>
        </w:rPr>
        <w:t>het bepaalde in</w:t>
      </w:r>
      <w:r w:rsidRPr="00B65B22" w:rsidR="006B7A7F">
        <w:rPr>
          <w:rFonts w:cs="Arial"/>
          <w:szCs w:val="20"/>
        </w:rPr>
        <w:t xml:space="preserve"> </w:t>
      </w:r>
      <w:r w:rsidRPr="00B65B22" w:rsidR="00F532B0">
        <w:rPr>
          <w:rFonts w:cs="Arial"/>
          <w:szCs w:val="20"/>
        </w:rPr>
        <w:t xml:space="preserve">het tweede lid </w:t>
      </w:r>
      <w:r w:rsidRPr="00B65B22" w:rsidR="006B7A7F">
        <w:rPr>
          <w:rFonts w:cs="Arial"/>
          <w:szCs w:val="20"/>
        </w:rPr>
        <w:t>niet tot gevolg</w:t>
      </w:r>
      <w:r w:rsidRPr="00B65B22" w:rsidR="00F532B0">
        <w:rPr>
          <w:rFonts w:cs="Arial"/>
          <w:szCs w:val="20"/>
        </w:rPr>
        <w:t xml:space="preserve"> </w:t>
      </w:r>
      <w:r w:rsidRPr="00B65B22" w:rsidR="006B7A7F">
        <w:rPr>
          <w:rFonts w:cs="Arial"/>
          <w:szCs w:val="20"/>
        </w:rPr>
        <w:t xml:space="preserve">dat een verdragsluitende staat wordt beperkt in het belasten van </w:t>
      </w:r>
      <w:r w:rsidRPr="00B65B22" w:rsidR="00B73EC4">
        <w:rPr>
          <w:rFonts w:cs="Arial"/>
          <w:szCs w:val="20"/>
        </w:rPr>
        <w:t xml:space="preserve">zijn </w:t>
      </w:r>
      <w:r w:rsidRPr="00B65B22" w:rsidR="006B7A7F">
        <w:rPr>
          <w:rFonts w:cs="Arial"/>
          <w:szCs w:val="20"/>
        </w:rPr>
        <w:t xml:space="preserve">eigen inwoners. Dit </w:t>
      </w:r>
      <w:r w:rsidRPr="00B65B22" w:rsidR="006E7C7A">
        <w:rPr>
          <w:rFonts w:cs="Arial"/>
          <w:szCs w:val="20"/>
        </w:rPr>
        <w:t xml:space="preserve">ziet </w:t>
      </w:r>
      <w:r w:rsidRPr="00B65B22" w:rsidR="007E51C6">
        <w:rPr>
          <w:rFonts w:cs="Arial"/>
          <w:szCs w:val="20"/>
        </w:rPr>
        <w:t xml:space="preserve">bijvoorbeeld </w:t>
      </w:r>
      <w:r w:rsidRPr="00B65B22" w:rsidR="006E7C7A">
        <w:rPr>
          <w:rFonts w:cs="Arial"/>
          <w:szCs w:val="20"/>
        </w:rPr>
        <w:t xml:space="preserve">op de situatie dat de hybride entiteit </w:t>
      </w:r>
      <w:r w:rsidRPr="00B65B22" w:rsidR="007E51C6">
        <w:rPr>
          <w:rFonts w:cs="Arial"/>
          <w:szCs w:val="20"/>
        </w:rPr>
        <w:t xml:space="preserve">als inwoner </w:t>
      </w:r>
      <w:r w:rsidRPr="00B65B22" w:rsidR="00C749C3">
        <w:rPr>
          <w:rFonts w:cs="Arial"/>
          <w:szCs w:val="20"/>
        </w:rPr>
        <w:t>belastingplichtig is</w:t>
      </w:r>
      <w:r w:rsidRPr="00B65B22" w:rsidR="006E7C7A">
        <w:rPr>
          <w:rFonts w:cs="Arial"/>
          <w:szCs w:val="20"/>
        </w:rPr>
        <w:t xml:space="preserve"> in de verdragsluitende staat </w:t>
      </w:r>
      <w:r w:rsidRPr="00B65B22" w:rsidR="00C749C3">
        <w:rPr>
          <w:rFonts w:cs="Arial"/>
          <w:szCs w:val="20"/>
        </w:rPr>
        <w:t xml:space="preserve">waar het inkomen </w:t>
      </w:r>
      <w:r w:rsidRPr="00B65B22" w:rsidR="007E51C6">
        <w:rPr>
          <w:rFonts w:cs="Arial"/>
          <w:szCs w:val="20"/>
        </w:rPr>
        <w:t xml:space="preserve">van die entiteit </w:t>
      </w:r>
      <w:r w:rsidRPr="00B65B22" w:rsidR="00C749C3">
        <w:rPr>
          <w:rFonts w:cs="Arial"/>
          <w:szCs w:val="20"/>
        </w:rPr>
        <w:t>opkomt</w:t>
      </w:r>
      <w:r w:rsidRPr="00B65B22" w:rsidR="006E7C7A">
        <w:rPr>
          <w:rFonts w:cs="Arial"/>
          <w:szCs w:val="20"/>
        </w:rPr>
        <w:t xml:space="preserve">. </w:t>
      </w:r>
      <w:r w:rsidRPr="00B65B22" w:rsidR="00C749C3">
        <w:rPr>
          <w:rFonts w:cs="Arial"/>
          <w:szCs w:val="20"/>
        </w:rPr>
        <w:t xml:space="preserve">Vanuit deze staat bezien is dan sprake van een zuiver binnenlandse situatie. </w:t>
      </w:r>
      <w:r w:rsidRPr="00B65B22" w:rsidR="006E7C7A">
        <w:rPr>
          <w:rFonts w:cs="Arial"/>
          <w:szCs w:val="20"/>
        </w:rPr>
        <w:t xml:space="preserve">In </w:t>
      </w:r>
      <w:r w:rsidRPr="00B65B22" w:rsidR="00950B3C">
        <w:rPr>
          <w:rFonts w:cs="Arial"/>
          <w:szCs w:val="20"/>
        </w:rPr>
        <w:t xml:space="preserve">dat geval hoeft de verdragsluitende staat waar het inkomen opkomt het Verdrag </w:t>
      </w:r>
      <w:r w:rsidRPr="00B65B22" w:rsidR="00C749C3">
        <w:rPr>
          <w:rFonts w:cs="Arial"/>
          <w:szCs w:val="20"/>
        </w:rPr>
        <w:t>niet</w:t>
      </w:r>
      <w:r w:rsidRPr="00B65B22" w:rsidR="00950B3C">
        <w:rPr>
          <w:rFonts w:cs="Arial"/>
          <w:szCs w:val="20"/>
        </w:rPr>
        <w:t xml:space="preserve"> toe te passen.</w:t>
      </w:r>
      <w:r w:rsidRPr="00B65B22" w:rsidR="006E7C7A">
        <w:rPr>
          <w:rFonts w:cs="Arial"/>
          <w:szCs w:val="20"/>
        </w:rPr>
        <w:t xml:space="preserve"> </w:t>
      </w:r>
      <w:r w:rsidRPr="00B65B22" w:rsidR="00C749C3">
        <w:rPr>
          <w:rFonts w:cs="Arial"/>
          <w:szCs w:val="20"/>
        </w:rPr>
        <w:t>O</w:t>
      </w:r>
      <w:r w:rsidRPr="00B65B22" w:rsidR="00D122CA">
        <w:rPr>
          <w:rFonts w:cs="Arial"/>
          <w:szCs w:val="20"/>
        </w:rPr>
        <w:t xml:space="preserve">p deze manier wordt voorkomen </w:t>
      </w:r>
      <w:r w:rsidRPr="00B65B22" w:rsidR="006E1112">
        <w:rPr>
          <w:rFonts w:cs="Arial"/>
          <w:szCs w:val="20"/>
        </w:rPr>
        <w:t xml:space="preserve">dat de heffingsrechten van een </w:t>
      </w:r>
      <w:r w:rsidRPr="00B65B22" w:rsidR="00C749C3">
        <w:rPr>
          <w:rFonts w:cs="Arial"/>
          <w:szCs w:val="20"/>
        </w:rPr>
        <w:t>v</w:t>
      </w:r>
      <w:r w:rsidRPr="00B65B22" w:rsidR="00D122CA">
        <w:rPr>
          <w:rFonts w:cs="Arial"/>
          <w:szCs w:val="20"/>
        </w:rPr>
        <w:t>erdragsluitende</w:t>
      </w:r>
      <w:r w:rsidRPr="00B65B22" w:rsidR="00C749C3">
        <w:rPr>
          <w:rFonts w:cs="Arial"/>
          <w:szCs w:val="20"/>
        </w:rPr>
        <w:t xml:space="preserve"> staat</w:t>
      </w:r>
      <w:r w:rsidRPr="00B65B22" w:rsidR="00D122CA">
        <w:rPr>
          <w:rFonts w:cs="Arial"/>
          <w:szCs w:val="20"/>
        </w:rPr>
        <w:t xml:space="preserve"> beperkt zou</w:t>
      </w:r>
      <w:r w:rsidRPr="00B65B22" w:rsidR="00C749C3">
        <w:rPr>
          <w:rFonts w:cs="Arial"/>
          <w:szCs w:val="20"/>
        </w:rPr>
        <w:t>den</w:t>
      </w:r>
      <w:r w:rsidRPr="00B65B22" w:rsidR="00D122CA">
        <w:rPr>
          <w:rFonts w:cs="Arial"/>
          <w:szCs w:val="20"/>
        </w:rPr>
        <w:t xml:space="preserve"> worden voor </w:t>
      </w:r>
      <w:r w:rsidRPr="00B65B22" w:rsidR="006E1112">
        <w:rPr>
          <w:rFonts w:cs="Arial"/>
          <w:szCs w:val="20"/>
        </w:rPr>
        <w:t xml:space="preserve">inkomen van een eigen inwoner (niet-transparante entiteit) omdat </w:t>
      </w:r>
      <w:r w:rsidRPr="00B65B22" w:rsidR="00C749C3">
        <w:rPr>
          <w:rFonts w:cs="Arial"/>
          <w:szCs w:val="20"/>
        </w:rPr>
        <w:t xml:space="preserve">de andere verdragsluitende staat </w:t>
      </w:r>
      <w:r w:rsidRPr="00B65B22" w:rsidR="00D122CA">
        <w:rPr>
          <w:rFonts w:cs="Arial"/>
          <w:szCs w:val="20"/>
        </w:rPr>
        <w:t>deze entiteit als transparant aanmerkt (en inkomen bij de achterliggende partners/deelnemers in aanmerking neemt).</w:t>
      </w:r>
    </w:p>
    <w:p w:rsidRPr="00CF0A8D" w:rsidR="00430D64" w:rsidP="00430D64" w:rsidRDefault="00CD1A4F" w14:paraId="1D7954C3" w14:textId="77777777">
      <w:pPr>
        <w:ind w:firstLine="720"/>
        <w:rPr>
          <w:rFonts w:cs="Arial"/>
          <w:szCs w:val="20"/>
        </w:rPr>
      </w:pPr>
      <w:r w:rsidRPr="00B65B22">
        <w:rPr>
          <w:rFonts w:cs="Arial"/>
          <w:szCs w:val="20"/>
        </w:rPr>
        <w:t xml:space="preserve"> </w:t>
      </w:r>
      <w:r w:rsidRPr="00B65B22" w:rsidR="00225027">
        <w:rPr>
          <w:rFonts w:cs="Arial"/>
          <w:szCs w:val="20"/>
        </w:rPr>
        <w:t xml:space="preserve">Wat betreft de kwalificatie van hybride entiteiten door Nederland </w:t>
      </w:r>
      <w:r w:rsidRPr="00B65B22" w:rsidR="008E36A2">
        <w:rPr>
          <w:rFonts w:cs="Arial"/>
          <w:szCs w:val="20"/>
        </w:rPr>
        <w:t>wordt</w:t>
      </w:r>
      <w:r w:rsidRPr="00B65B22" w:rsidR="00225027">
        <w:rPr>
          <w:rFonts w:cs="Arial"/>
          <w:szCs w:val="20"/>
        </w:rPr>
        <w:t xml:space="preserve"> verwezen naar het Besluit van de Staatssecretaris van Financiën van 11 december 2009, nr. CPP 2009/519M (</w:t>
      </w:r>
      <w:r w:rsidRPr="00B65B22" w:rsidR="00EC6801">
        <w:rPr>
          <w:rFonts w:cs="Arial"/>
          <w:i/>
          <w:szCs w:val="20"/>
        </w:rPr>
        <w:t>Stcrt.</w:t>
      </w:r>
      <w:r w:rsidRPr="00B65B22" w:rsidR="00225027">
        <w:rPr>
          <w:rFonts w:cs="Arial"/>
          <w:szCs w:val="20"/>
        </w:rPr>
        <w:t xml:space="preserve"> 2009, 19749). Daarin zijn criteria opgenomen voor</w:t>
      </w:r>
      <w:r w:rsidRPr="00B65B22" w:rsidR="002038F1">
        <w:rPr>
          <w:rFonts w:cs="Arial"/>
          <w:szCs w:val="20"/>
        </w:rPr>
        <w:t xml:space="preserve">, kort gezegd, </w:t>
      </w:r>
      <w:r w:rsidRPr="00B65B22" w:rsidR="008E36A2">
        <w:rPr>
          <w:rFonts w:cs="Arial"/>
          <w:szCs w:val="20"/>
        </w:rPr>
        <w:t>de kwalificatie van</w:t>
      </w:r>
      <w:r w:rsidRPr="00B65B22" w:rsidR="00225027">
        <w:rPr>
          <w:rFonts w:cs="Arial"/>
          <w:szCs w:val="20"/>
        </w:rPr>
        <w:t xml:space="preserve"> buitenlands</w:t>
      </w:r>
      <w:r w:rsidRPr="00B65B22" w:rsidR="00C62E48">
        <w:rPr>
          <w:rFonts w:cs="Arial"/>
          <w:szCs w:val="20"/>
        </w:rPr>
        <w:t>e</w:t>
      </w:r>
      <w:r w:rsidRPr="00B65B22" w:rsidR="00225027">
        <w:rPr>
          <w:rFonts w:cs="Arial"/>
          <w:szCs w:val="20"/>
        </w:rPr>
        <w:t xml:space="preserve"> samenwerkingsverband</w:t>
      </w:r>
      <w:r w:rsidRPr="00B65B22" w:rsidR="00C62E48">
        <w:rPr>
          <w:rFonts w:cs="Arial"/>
          <w:szCs w:val="20"/>
        </w:rPr>
        <w:t>en</w:t>
      </w:r>
      <w:r w:rsidRPr="00B65B22" w:rsidR="00225027">
        <w:rPr>
          <w:rFonts w:cs="Arial"/>
          <w:szCs w:val="20"/>
        </w:rPr>
        <w:t xml:space="preserve"> voor de toepassing van de </w:t>
      </w:r>
      <w:r w:rsidRPr="00B65B22" w:rsidR="002038F1">
        <w:rPr>
          <w:rFonts w:cs="Arial"/>
          <w:szCs w:val="20"/>
        </w:rPr>
        <w:t>Wet op de vennootschapsbelasting 1969, de W</w:t>
      </w:r>
      <w:r w:rsidRPr="00CF0A8D" w:rsidR="002038F1">
        <w:rPr>
          <w:rFonts w:cs="Arial"/>
          <w:szCs w:val="20"/>
        </w:rPr>
        <w:t>et inkomstenbelasting 2001 en de Wet op de dividendbelasting 1965</w:t>
      </w:r>
      <w:r w:rsidRPr="00CF0A8D" w:rsidR="008E36A2">
        <w:rPr>
          <w:rFonts w:cs="Arial"/>
          <w:szCs w:val="20"/>
        </w:rPr>
        <w:t>.</w:t>
      </w:r>
    </w:p>
    <w:p w:rsidRPr="009C6DBA" w:rsidR="007B6437" w:rsidP="00901C1E" w:rsidRDefault="007B6437" w14:paraId="52B5745C" w14:textId="77777777">
      <w:pPr>
        <w:pStyle w:val="Kop2"/>
        <w:numPr>
          <w:ilvl w:val="1"/>
          <w:numId w:val="1"/>
        </w:numPr>
        <w:rPr>
          <w:b w:val="0"/>
          <w:i/>
        </w:rPr>
      </w:pPr>
      <w:r w:rsidRPr="009C6DBA">
        <w:rPr>
          <w:b w:val="0"/>
          <w:i/>
        </w:rPr>
        <w:t>Belastingen waarop het Verdrag van toepassing is (artikel 2</w:t>
      </w:r>
      <w:r w:rsidRPr="009C6DBA" w:rsidR="00F05AE9">
        <w:rPr>
          <w:b w:val="0"/>
          <w:i/>
        </w:rPr>
        <w:t xml:space="preserve"> van het Verdrag</w:t>
      </w:r>
      <w:r w:rsidRPr="009C6DBA">
        <w:rPr>
          <w:b w:val="0"/>
          <w:i/>
        </w:rPr>
        <w:t>)</w:t>
      </w:r>
    </w:p>
    <w:p w:rsidRPr="00363E1C" w:rsidR="00621CD7" w:rsidP="007B6437" w:rsidRDefault="00621CD7" w14:paraId="163DDE1E" w14:textId="77777777">
      <w:r w:rsidRPr="009C6DBA">
        <w:t xml:space="preserve">In artikel 2 </w:t>
      </w:r>
      <w:r w:rsidRPr="009C6DBA" w:rsidR="006D6E8D">
        <w:rPr>
          <w:rFonts w:cs="Arial"/>
          <w:bCs/>
          <w:iCs/>
          <w:szCs w:val="20"/>
        </w:rPr>
        <w:t xml:space="preserve">van het Verdrag </w:t>
      </w:r>
      <w:r w:rsidRPr="009C6DBA">
        <w:t xml:space="preserve">is neergelegd op welke belastingen het Verdrag ziet, waarmee de materiële werkingssfeer van het Verdrag is vastgesteld. Het eerste, tweede en vierde lid van dit artikel </w:t>
      </w:r>
      <w:r w:rsidRPr="00111169" w:rsidR="003365B4">
        <w:t>stemmen</w:t>
      </w:r>
      <w:r w:rsidRPr="00111169" w:rsidR="004277FC">
        <w:rPr>
          <w:rFonts w:cs="Arial"/>
          <w:szCs w:val="20"/>
        </w:rPr>
        <w:t>, afgezien van het ontbreken van een verwijzing naar de vermogensbelasting</w:t>
      </w:r>
      <w:r w:rsidRPr="00111169" w:rsidR="003365B4">
        <w:t xml:space="preserve">, </w:t>
      </w:r>
      <w:r w:rsidRPr="00363E1C" w:rsidR="003365B4">
        <w:rPr>
          <w:rFonts w:cs="Arial"/>
          <w:szCs w:val="20"/>
        </w:rPr>
        <w:t xml:space="preserve">overeen </w:t>
      </w:r>
      <w:r w:rsidRPr="00363E1C">
        <w:t>met het eerste, tweede en vierde lid van artikel 2 van het OESO-modelverdrag.</w:t>
      </w:r>
    </w:p>
    <w:p w:rsidRPr="00B65B22" w:rsidR="004B454B" w:rsidP="004B454B" w:rsidRDefault="003365B4" w14:paraId="5E7EDF91" w14:textId="77777777">
      <w:r w:rsidRPr="00363E1C">
        <w:t xml:space="preserve">Het derde lid bevat een opsomming van </w:t>
      </w:r>
      <w:r w:rsidRPr="00363E1C" w:rsidR="007B6437">
        <w:t xml:space="preserve">de huidige Nederlandse en </w:t>
      </w:r>
      <w:r w:rsidRPr="00363E1C" w:rsidR="004B454B">
        <w:t>Cypriotische</w:t>
      </w:r>
      <w:r w:rsidRPr="00363E1C" w:rsidR="007B6437">
        <w:t xml:space="preserve"> belastingen waarop</w:t>
      </w:r>
      <w:r w:rsidRPr="000F52B8" w:rsidR="00621CD7">
        <w:t xml:space="preserve"> de bepalingen van het Verdrag van toepassing zijn</w:t>
      </w:r>
      <w:r w:rsidRPr="000F52B8" w:rsidR="006E1112">
        <w:t xml:space="preserve">. </w:t>
      </w:r>
      <w:r w:rsidRPr="000F52B8" w:rsidR="00D122CA">
        <w:rPr>
          <w:rFonts w:cs="Arial"/>
          <w:szCs w:val="20"/>
        </w:rPr>
        <w:t>Voor Nederland zijn</w:t>
      </w:r>
      <w:r w:rsidRPr="000F52B8" w:rsidR="004277FC">
        <w:rPr>
          <w:rFonts w:cs="Arial"/>
          <w:szCs w:val="20"/>
        </w:rPr>
        <w:t xml:space="preserve"> zowel de (van natuurlijke personen en van lichamen geheven) belastingen naar het inkomen o</w:t>
      </w:r>
      <w:r w:rsidRPr="00B65B22" w:rsidR="004277FC">
        <w:rPr>
          <w:rFonts w:cs="Arial"/>
          <w:szCs w:val="20"/>
        </w:rPr>
        <w:t>pgenomen die van toepassing zijn in het Europese deel van Nederland als de belastingen naar het inkomen die worden geheven in het Caribische deel van Nederland</w:t>
      </w:r>
      <w:r w:rsidRPr="00B65B22" w:rsidR="006E1112">
        <w:rPr>
          <w:rFonts w:cs="Arial"/>
          <w:szCs w:val="20"/>
        </w:rPr>
        <w:t xml:space="preserve">. </w:t>
      </w:r>
    </w:p>
    <w:p w:rsidRPr="00B65B22" w:rsidR="00430D64" w:rsidP="00430D64" w:rsidRDefault="006E1112" w14:paraId="4453A022" w14:textId="77777777">
      <w:pPr>
        <w:rPr>
          <w:rFonts w:cs="Arial"/>
          <w:szCs w:val="20"/>
        </w:rPr>
      </w:pPr>
      <w:r w:rsidRPr="00B65B22">
        <w:t xml:space="preserve">Het vierde lid bepaalt </w:t>
      </w:r>
      <w:r w:rsidRPr="00B65B22" w:rsidR="00D122CA">
        <w:rPr>
          <w:rFonts w:cs="Arial"/>
          <w:szCs w:val="20"/>
        </w:rPr>
        <w:t>dat het Verdrag ook van toepassing is op alle gelijke of in wezen gelijksoortige belastingen die na de datum van ondertekening van het Verdrag naast of in de plaats van de in het derde lid opgesomde belastingen worden geheven, alsmede op andere toekomstige belastingen in de z</w:t>
      </w:r>
      <w:r w:rsidRPr="00B65B22" w:rsidR="000F2A73">
        <w:rPr>
          <w:rFonts w:cs="Arial"/>
          <w:szCs w:val="20"/>
        </w:rPr>
        <w:t>in van het eerste en tweede lid</w:t>
      </w:r>
      <w:r w:rsidRPr="00B65B22" w:rsidR="00D122CA">
        <w:rPr>
          <w:rFonts w:cs="Arial"/>
          <w:szCs w:val="20"/>
        </w:rPr>
        <w:t>. De bevoegde autoriteiten van de verdragsluitende staten zijn gehouden elkaar te informeren over relevante wijzigingen in h</w:t>
      </w:r>
      <w:r w:rsidRPr="00B65B22" w:rsidR="00430D64">
        <w:rPr>
          <w:rFonts w:cs="Arial"/>
          <w:szCs w:val="20"/>
        </w:rPr>
        <w:t>un nationale belastingwetgeving.</w:t>
      </w:r>
    </w:p>
    <w:p w:rsidRPr="00B65B22" w:rsidR="007B6437" w:rsidP="00901C1E" w:rsidRDefault="007B6437" w14:paraId="573305C0" w14:textId="77777777">
      <w:pPr>
        <w:pStyle w:val="Kop2"/>
        <w:numPr>
          <w:ilvl w:val="1"/>
          <w:numId w:val="1"/>
        </w:numPr>
        <w:rPr>
          <w:b w:val="0"/>
          <w:i/>
        </w:rPr>
      </w:pPr>
      <w:r w:rsidRPr="00B65B22">
        <w:rPr>
          <w:b w:val="0"/>
          <w:i/>
        </w:rPr>
        <w:t>Algemene begripsbepalingen (artikel 3</w:t>
      </w:r>
      <w:r w:rsidRPr="00B65B22" w:rsidR="00F05AE9">
        <w:rPr>
          <w:b w:val="0"/>
          <w:i/>
        </w:rPr>
        <w:t xml:space="preserve"> van het Verdrag</w:t>
      </w:r>
      <w:r w:rsidRPr="00B65B22">
        <w:rPr>
          <w:b w:val="0"/>
          <w:i/>
        </w:rPr>
        <w:t>)</w:t>
      </w:r>
    </w:p>
    <w:p w:rsidRPr="00B65B22" w:rsidR="007B6437" w:rsidP="00430D64" w:rsidRDefault="007B6437" w14:paraId="5B7088F0" w14:textId="77777777">
      <w:pPr>
        <w:ind w:left="708" w:firstLine="0"/>
      </w:pPr>
      <w:r w:rsidRPr="00B65B22">
        <w:t xml:space="preserve">Artikel 3 </w:t>
      </w:r>
      <w:r w:rsidRPr="00B65B22" w:rsidR="006D6E8D">
        <w:rPr>
          <w:rFonts w:cs="Arial"/>
          <w:bCs/>
          <w:iCs/>
          <w:szCs w:val="20"/>
        </w:rPr>
        <w:t xml:space="preserve">van het Verdrag </w:t>
      </w:r>
      <w:r w:rsidRPr="00B65B22">
        <w:t>bevat definities voor uitdrukkingen die in het Verdrag voorkomen.</w:t>
      </w:r>
    </w:p>
    <w:p w:rsidRPr="00B65B22" w:rsidR="00F50AF1" w:rsidRDefault="007B6437" w14:paraId="07425880" w14:textId="77777777">
      <w:r w:rsidRPr="00B65B22">
        <w:t>Volgens het</w:t>
      </w:r>
      <w:r w:rsidRPr="00B65B22" w:rsidR="0079179B">
        <w:t xml:space="preserve"> eerste lid, onderdeel a</w:t>
      </w:r>
      <w:r w:rsidRPr="00B65B22" w:rsidR="00413354">
        <w:t>,</w:t>
      </w:r>
      <w:r w:rsidRPr="00B65B22" w:rsidR="0079179B">
        <w:t xml:space="preserve"> wordt</w:t>
      </w:r>
      <w:r w:rsidRPr="00B65B22">
        <w:t xml:space="preserve"> onder de uitdrukkingen </w:t>
      </w:r>
      <w:r w:rsidRPr="00B65B22" w:rsidR="00413354">
        <w:t>“</w:t>
      </w:r>
      <w:r w:rsidRPr="00B65B22">
        <w:t xml:space="preserve">een </w:t>
      </w:r>
      <w:r w:rsidRPr="00B65B22" w:rsidR="00AF2710">
        <w:t>verdragsluitende</w:t>
      </w:r>
      <w:r w:rsidRPr="00B65B22">
        <w:t xml:space="preserve"> </w:t>
      </w:r>
      <w:r w:rsidRPr="00B65B22" w:rsidR="00AF2710">
        <w:t>staat</w:t>
      </w:r>
      <w:r w:rsidRPr="00B65B22" w:rsidR="00413354">
        <w:t>”</w:t>
      </w:r>
      <w:r w:rsidRPr="00B65B22">
        <w:t xml:space="preserve"> en </w:t>
      </w:r>
      <w:r w:rsidRPr="00B65B22" w:rsidR="00413354">
        <w:t>“</w:t>
      </w:r>
      <w:r w:rsidRPr="00B65B22">
        <w:t xml:space="preserve">de andere </w:t>
      </w:r>
      <w:r w:rsidRPr="00B65B22" w:rsidR="00AF2710">
        <w:t>verdragsluitende</w:t>
      </w:r>
      <w:r w:rsidRPr="00B65B22">
        <w:t xml:space="preserve"> </w:t>
      </w:r>
      <w:r w:rsidRPr="00B65B22" w:rsidR="00AF2710">
        <w:t>staat</w:t>
      </w:r>
      <w:r w:rsidRPr="00B65B22" w:rsidR="00413354">
        <w:t>”</w:t>
      </w:r>
      <w:r w:rsidRPr="00B65B22">
        <w:t xml:space="preserve"> afhankelijk van de context</w:t>
      </w:r>
      <w:r w:rsidRPr="00B65B22" w:rsidR="00413354">
        <w:t>,</w:t>
      </w:r>
      <w:r w:rsidRPr="00B65B22">
        <w:t xml:space="preserve"> het Koninkrijk der Nederlanden</w:t>
      </w:r>
      <w:r w:rsidRPr="00B65B22" w:rsidR="00DD1131">
        <w:t>,</w:t>
      </w:r>
      <w:r w:rsidRPr="00B65B22">
        <w:t xml:space="preserve"> met betrekking tot Nederland</w:t>
      </w:r>
      <w:r w:rsidRPr="00B65B22" w:rsidR="00DD1131">
        <w:t>,</w:t>
      </w:r>
      <w:r w:rsidRPr="00B65B22">
        <w:t xml:space="preserve"> of </w:t>
      </w:r>
      <w:r w:rsidRPr="00B65B22" w:rsidR="00C72FF2">
        <w:t xml:space="preserve">de Republiek Cyprus </w:t>
      </w:r>
      <w:r w:rsidRPr="00B65B22" w:rsidR="00FE6CC0">
        <w:t xml:space="preserve">(Cyprus) </w:t>
      </w:r>
      <w:r w:rsidRPr="00B65B22" w:rsidR="00413354">
        <w:t>verstaan</w:t>
      </w:r>
      <w:r w:rsidRPr="00B65B22">
        <w:t>.</w:t>
      </w:r>
      <w:r w:rsidRPr="00B65B22" w:rsidR="00413354">
        <w:t xml:space="preserve"> </w:t>
      </w:r>
      <w:r w:rsidRPr="00B65B22">
        <w:t xml:space="preserve">In </w:t>
      </w:r>
      <w:r w:rsidRPr="00B65B22" w:rsidR="00ED5663">
        <w:t xml:space="preserve">het eerste lid, </w:t>
      </w:r>
      <w:r w:rsidRPr="00B65B22">
        <w:t>onderdelen b en c</w:t>
      </w:r>
      <w:r w:rsidRPr="00B65B22" w:rsidR="000D4327">
        <w:t>,</w:t>
      </w:r>
      <w:r w:rsidRPr="00B65B22" w:rsidR="00413354">
        <w:t xml:space="preserve"> </w:t>
      </w:r>
      <w:r w:rsidRPr="00B65B22" w:rsidR="00ED5663">
        <w:t>worden</w:t>
      </w:r>
      <w:r w:rsidRPr="00B65B22" w:rsidR="00413354">
        <w:t xml:space="preserve"> </w:t>
      </w:r>
      <w:r w:rsidRPr="00B65B22" w:rsidR="00A011CC">
        <w:t xml:space="preserve">vervolgens </w:t>
      </w:r>
      <w:r w:rsidRPr="00B65B22" w:rsidR="00413354">
        <w:t xml:space="preserve">de </w:t>
      </w:r>
      <w:r w:rsidRPr="00B65B22" w:rsidR="00ED5663">
        <w:t>begrippen</w:t>
      </w:r>
      <w:r w:rsidRPr="00B65B22">
        <w:t xml:space="preserve"> </w:t>
      </w:r>
      <w:r w:rsidRPr="00B65B22" w:rsidR="00413354">
        <w:t>“</w:t>
      </w:r>
      <w:r w:rsidRPr="00B65B22">
        <w:t>Nederland</w:t>
      </w:r>
      <w:r w:rsidRPr="00B65B22" w:rsidR="00413354">
        <w:t>”</w:t>
      </w:r>
      <w:r w:rsidRPr="00B65B22">
        <w:t xml:space="preserve"> en </w:t>
      </w:r>
      <w:r w:rsidRPr="00B65B22" w:rsidR="00413354">
        <w:t>“</w:t>
      </w:r>
      <w:r w:rsidRPr="00B65B22" w:rsidR="00C72FF2">
        <w:t>Cyprus</w:t>
      </w:r>
      <w:r w:rsidRPr="00B65B22" w:rsidR="00413354">
        <w:t>”</w:t>
      </w:r>
      <w:r w:rsidRPr="00B65B22">
        <w:t xml:space="preserve"> </w:t>
      </w:r>
      <w:r w:rsidRPr="00B65B22" w:rsidR="00A011CC">
        <w:t xml:space="preserve">voor de </w:t>
      </w:r>
      <w:r w:rsidRPr="00B65B22" w:rsidR="0011244C">
        <w:t>toepassing</w:t>
      </w:r>
      <w:r w:rsidRPr="00B65B22" w:rsidR="00A011CC">
        <w:t xml:space="preserve"> van </w:t>
      </w:r>
      <w:r w:rsidRPr="00B65B22" w:rsidR="00546E61">
        <w:t>het V</w:t>
      </w:r>
      <w:r w:rsidRPr="00B65B22" w:rsidR="00A011CC">
        <w:t xml:space="preserve">erdrag </w:t>
      </w:r>
      <w:r w:rsidRPr="00B65B22">
        <w:t xml:space="preserve">gedefinieerd. </w:t>
      </w:r>
      <w:r w:rsidRPr="00B65B22" w:rsidR="000B4AF1">
        <w:t xml:space="preserve">Voor de uitdrukking “Nederland” is van belang dat daaronder zowel het Europese deel als het Caribische deel van Nederland wordt verstaan. </w:t>
      </w:r>
    </w:p>
    <w:p w:rsidRPr="00B65B22" w:rsidR="00C20E68" w:rsidRDefault="007B6437" w14:paraId="1749DCE7" w14:textId="77777777">
      <w:pPr>
        <w:ind w:firstLine="720"/>
      </w:pPr>
      <w:r w:rsidRPr="00B65B22">
        <w:t>Voor de algemene uitdrukkingen van het eerste lid, onderdel</w:t>
      </w:r>
      <w:r w:rsidRPr="00B65B22" w:rsidR="00450EF4">
        <w:t>en</w:t>
      </w:r>
      <w:r w:rsidRPr="00B65B22">
        <w:t xml:space="preserve"> d tot en met </w:t>
      </w:r>
      <w:r w:rsidRPr="00B65B22" w:rsidR="00D24D2E">
        <w:t>l</w:t>
      </w:r>
      <w:r w:rsidRPr="00B65B22">
        <w:t>,</w:t>
      </w:r>
      <w:r w:rsidRPr="00B65B22" w:rsidR="0074219E">
        <w:t xml:space="preserve"> met uitzondering van onderdeel h,</w:t>
      </w:r>
      <w:r w:rsidRPr="00B65B22">
        <w:t xml:space="preserve"> is aangesloten bij de</w:t>
      </w:r>
      <w:r w:rsidRPr="00B65B22" w:rsidR="00CA783B">
        <w:t xml:space="preserve"> overeenkomstige</w:t>
      </w:r>
      <w:r w:rsidRPr="00B65B22">
        <w:t xml:space="preserve"> definities</w:t>
      </w:r>
      <w:r w:rsidRPr="00B65B22" w:rsidR="00CA783B">
        <w:t xml:space="preserve"> van het </w:t>
      </w:r>
      <w:r w:rsidRPr="00B65B22">
        <w:t>OESO-modelverdrag</w:t>
      </w:r>
      <w:r w:rsidRPr="00B65B22" w:rsidR="00E909DC">
        <w:t>.</w:t>
      </w:r>
    </w:p>
    <w:p w:rsidRPr="00B65B22" w:rsidR="001E093C" w:rsidRDefault="0074219E" w14:paraId="07AC3874" w14:textId="77777777">
      <w:pPr>
        <w:ind w:firstLine="720"/>
      </w:pPr>
      <w:r w:rsidRPr="00B65B22">
        <w:t>In onderdeel h wordt het begrip ‘internationaal verkeer’ omschreven als alle vervoer met een schip of luchtvaartuig</w:t>
      </w:r>
      <w:r w:rsidRPr="00B65B22" w:rsidR="00546E61">
        <w:t>,</w:t>
      </w:r>
      <w:r w:rsidRPr="00B65B22">
        <w:t xml:space="preserve"> geëxploiteerd door een onderneming </w:t>
      </w:r>
      <w:r w:rsidRPr="00B65B22" w:rsidR="004B6A92">
        <w:t xml:space="preserve">met de feitelijke leiding in een </w:t>
      </w:r>
      <w:r w:rsidRPr="00B65B22">
        <w:t xml:space="preserve">van </w:t>
      </w:r>
      <w:r w:rsidRPr="00B65B22" w:rsidR="004B6A92">
        <w:t>de</w:t>
      </w:r>
      <w:r w:rsidRPr="00B65B22">
        <w:t xml:space="preserve"> verdragsluitende stat</w:t>
      </w:r>
      <w:r w:rsidRPr="00B65B22" w:rsidR="004B6A92">
        <w:t>en</w:t>
      </w:r>
      <w:r w:rsidRPr="00B65B22">
        <w:t>, behalve wanneer het schip of luchtvaartuig uitsluitend wordt geëxploiteerd tussen plaatsen die in de andere verdragsluitende staat zijn gelegen.</w:t>
      </w:r>
      <w:r w:rsidRPr="00B65B22" w:rsidDel="006A6BA5" w:rsidR="006A6BA5">
        <w:t xml:space="preserve"> </w:t>
      </w:r>
      <w:r w:rsidRPr="00B65B22">
        <w:t>Deze bepaling hangt samen met artikel 8</w:t>
      </w:r>
      <w:r w:rsidRPr="00B65B22" w:rsidR="00546E61">
        <w:t xml:space="preserve"> (</w:t>
      </w:r>
      <w:r w:rsidRPr="00B65B22" w:rsidR="004B6A92">
        <w:t xml:space="preserve">Internationale </w:t>
      </w:r>
      <w:r w:rsidRPr="00B65B22" w:rsidR="005E4D58">
        <w:t>zee</w:t>
      </w:r>
      <w:r w:rsidRPr="00B65B22" w:rsidR="00546E61">
        <w:t>- en luchtvaart)</w:t>
      </w:r>
      <w:r w:rsidRPr="00B65B22" w:rsidR="004B6A92">
        <w:t xml:space="preserve"> en artikel 14 (Inkomsten uit dienstbetrekking) van het Verdrag (zie </w:t>
      </w:r>
      <w:r w:rsidRPr="00B65B22" w:rsidR="00EF4F41">
        <w:t xml:space="preserve">de </w:t>
      </w:r>
      <w:r w:rsidRPr="00B65B22" w:rsidR="004B6A92">
        <w:t>paragraf</w:t>
      </w:r>
      <w:r w:rsidRPr="00B65B22" w:rsidR="00EF4F41">
        <w:t>en</w:t>
      </w:r>
      <w:r w:rsidRPr="00B65B22" w:rsidR="004B6A92">
        <w:t xml:space="preserve"> II.8 en II.14 van deze toelichtende nota)</w:t>
      </w:r>
      <w:r w:rsidRPr="00B65B22">
        <w:t xml:space="preserve">. Ingevolge </w:t>
      </w:r>
      <w:r w:rsidRPr="00B65B22" w:rsidR="00546E61">
        <w:t xml:space="preserve">artikel </w:t>
      </w:r>
      <w:r w:rsidRPr="00B65B22" w:rsidR="000F4F7F">
        <w:t xml:space="preserve">8 van het Verdrag </w:t>
      </w:r>
      <w:r w:rsidRPr="00B65B22">
        <w:t xml:space="preserve">worden de heffingsrechten over winsten uit internationale lucht- en </w:t>
      </w:r>
      <w:r w:rsidRPr="00B65B22" w:rsidR="008A3594">
        <w:t>zee</w:t>
      </w:r>
      <w:r w:rsidRPr="00B65B22">
        <w:t xml:space="preserve">vaartactiviteiten </w:t>
      </w:r>
      <w:r w:rsidRPr="00B65B22" w:rsidR="00546E61">
        <w:t xml:space="preserve">toebedeeld </w:t>
      </w:r>
      <w:r w:rsidRPr="00B65B22">
        <w:t xml:space="preserve">aan </w:t>
      </w:r>
      <w:r w:rsidRPr="00B65B22" w:rsidR="00294846">
        <w:t>de verdragsluitende staat</w:t>
      </w:r>
      <w:r w:rsidRPr="00B65B22">
        <w:t xml:space="preserve"> waar</w:t>
      </w:r>
      <w:r w:rsidRPr="00B65B22" w:rsidR="00294846">
        <w:t>in</w:t>
      </w:r>
      <w:r w:rsidRPr="00B65B22">
        <w:t xml:space="preserve"> de </w:t>
      </w:r>
      <w:r w:rsidRPr="00B65B22" w:rsidR="003776C6">
        <w:t xml:space="preserve">feitelijke leiding van de onderneming </w:t>
      </w:r>
      <w:r w:rsidRPr="00B65B22">
        <w:t xml:space="preserve">is </w:t>
      </w:r>
      <w:r w:rsidRPr="00B65B22" w:rsidR="00010D88">
        <w:t>gelegen</w:t>
      </w:r>
      <w:r w:rsidRPr="00B65B22">
        <w:t>.</w:t>
      </w:r>
    </w:p>
    <w:p w:rsidRPr="00B65B22" w:rsidR="00F94102" w:rsidP="0091571E" w:rsidRDefault="00854138" w14:paraId="74FE65E5" w14:textId="77777777">
      <w:r w:rsidRPr="00B65B22">
        <w:t xml:space="preserve">Aangezien voor </w:t>
      </w:r>
      <w:r w:rsidRPr="00B65B22" w:rsidR="007B6437">
        <w:t xml:space="preserve">de uitdrukking </w:t>
      </w:r>
      <w:r w:rsidRPr="00B65B22" w:rsidR="00242652">
        <w:t>“</w:t>
      </w:r>
      <w:r w:rsidRPr="00B65B22" w:rsidR="00EC07E6">
        <w:t xml:space="preserve">erkend </w:t>
      </w:r>
      <w:r w:rsidRPr="00B65B22" w:rsidR="007B6437">
        <w:t>pensioenfonds</w:t>
      </w:r>
      <w:r w:rsidRPr="00B65B22" w:rsidR="00242652">
        <w:t>”</w:t>
      </w:r>
      <w:r w:rsidRPr="00B65B22" w:rsidR="001702F3">
        <w:t xml:space="preserve"> </w:t>
      </w:r>
      <w:r w:rsidRPr="00B65B22" w:rsidR="00C84317">
        <w:t xml:space="preserve">van een verdragsluitende staat </w:t>
      </w:r>
      <w:r w:rsidRPr="00B65B22" w:rsidR="00BA73B3">
        <w:t xml:space="preserve">in onderdeel l </w:t>
      </w:r>
      <w:r w:rsidRPr="00B65B22">
        <w:t xml:space="preserve">wordt aangesloten bij </w:t>
      </w:r>
      <w:r w:rsidRPr="00B65B22" w:rsidR="00BA73B3">
        <w:t xml:space="preserve">het OESO-modelverdrag, is niet vereist dat een dergelijk pensioenfonds moet </w:t>
      </w:r>
      <w:r w:rsidRPr="00B65B22" w:rsidR="00577564">
        <w:t xml:space="preserve">zijn </w:t>
      </w:r>
      <w:r w:rsidRPr="00B65B22" w:rsidR="00BA73B3">
        <w:t xml:space="preserve">vrijgesteld voor de vennootschapsbelasting. Op verzoek van Nederland is dit vereiste wel opgenomen </w:t>
      </w:r>
      <w:r w:rsidRPr="00B65B22" w:rsidR="007B6437">
        <w:t>in artikel 10, derde lid, onderdeel b, van het Verdrag</w:t>
      </w:r>
      <w:r w:rsidRPr="00B65B22" w:rsidR="0091571E">
        <w:t xml:space="preserve"> zodat voor de toepassing van de vrijstelling van bronbelasting op dividenden de uiteindelijk gerechtigde tot die inkomsten een erkend pensioenfonds moet zijn dat is vrijgesteld voor de vennootschapsbelasting</w:t>
      </w:r>
      <w:r w:rsidRPr="00B65B22" w:rsidR="007B6437">
        <w:t xml:space="preserve">. </w:t>
      </w:r>
    </w:p>
    <w:p w:rsidRPr="00B65B22" w:rsidR="0091571E" w:rsidP="00430D64" w:rsidRDefault="00E225F6" w14:paraId="5E980564" w14:textId="77777777">
      <w:r w:rsidRPr="00B65B22">
        <w:t xml:space="preserve">Het tweede lid bevat een algemene regel voor de uitleg van uitdrukkingen die niet in het Verdrag zijn omschreven. Aan die uitdrukkingen wordt de betekenis toegekend die zij hebben volgens de wetgeving van de </w:t>
      </w:r>
      <w:r w:rsidRPr="00B65B22" w:rsidR="00AF2710">
        <w:t>verdragsluitende</w:t>
      </w:r>
      <w:r w:rsidRPr="00B65B22">
        <w:t xml:space="preserve"> </w:t>
      </w:r>
      <w:r w:rsidRPr="00B65B22" w:rsidR="00AF2710">
        <w:t>staat</w:t>
      </w:r>
      <w:r w:rsidRPr="00B65B22">
        <w:t xml:space="preserve"> die het Verdrag toepast, tenzij de context van het Verdrag anders vereist</w:t>
      </w:r>
      <w:r w:rsidRPr="00B65B22" w:rsidR="0091571E">
        <w:t>.</w:t>
      </w:r>
      <w:r w:rsidRPr="00B65B22">
        <w:t xml:space="preserve"> </w:t>
      </w:r>
      <w:r w:rsidRPr="00B65B22" w:rsidR="0091571E">
        <w:t xml:space="preserve">Daarbij gaat </w:t>
      </w:r>
      <w:r w:rsidRPr="00B65B22">
        <w:t xml:space="preserve">de betekenis in de belastingwetgeving </w:t>
      </w:r>
      <w:r w:rsidRPr="00B65B22" w:rsidR="0091571E">
        <w:t xml:space="preserve">van een </w:t>
      </w:r>
      <w:r w:rsidRPr="00B65B22" w:rsidR="00676055">
        <w:t>verdragsluitende</w:t>
      </w:r>
      <w:r w:rsidRPr="00B65B22" w:rsidR="0091571E">
        <w:t xml:space="preserve"> staat voor</w:t>
      </w:r>
      <w:r w:rsidRPr="00B65B22">
        <w:t xml:space="preserve"> op de betekenis in andere wetgeving. </w:t>
      </w:r>
    </w:p>
    <w:p w:rsidRPr="00B65B22" w:rsidR="004D0E95" w:rsidP="00901C1E" w:rsidRDefault="007B6437" w14:paraId="0913A945" w14:textId="77777777">
      <w:pPr>
        <w:pStyle w:val="Kop2"/>
        <w:numPr>
          <w:ilvl w:val="1"/>
          <w:numId w:val="1"/>
        </w:numPr>
        <w:rPr>
          <w:b w:val="0"/>
          <w:i/>
        </w:rPr>
      </w:pPr>
      <w:r w:rsidRPr="00B65B22">
        <w:rPr>
          <w:b w:val="0"/>
          <w:i/>
        </w:rPr>
        <w:t xml:space="preserve">Inwoner (artikel 4 </w:t>
      </w:r>
      <w:r w:rsidRPr="00B65B22" w:rsidR="00F05AE9">
        <w:rPr>
          <w:b w:val="0"/>
          <w:i/>
        </w:rPr>
        <w:t xml:space="preserve">van het Verdrag </w:t>
      </w:r>
      <w:r w:rsidRPr="00B65B22">
        <w:rPr>
          <w:b w:val="0"/>
          <w:i/>
        </w:rPr>
        <w:t xml:space="preserve">en </w:t>
      </w:r>
      <w:r w:rsidRPr="00B65B22" w:rsidR="00FE529A">
        <w:rPr>
          <w:b w:val="0"/>
          <w:i/>
        </w:rPr>
        <w:t>artikel</w:t>
      </w:r>
      <w:r w:rsidRPr="00B65B22" w:rsidR="00153F39">
        <w:rPr>
          <w:b w:val="0"/>
          <w:i/>
        </w:rPr>
        <w:t xml:space="preserve"> 1</w:t>
      </w:r>
      <w:r w:rsidRPr="00B65B22" w:rsidR="00F14F91">
        <w:rPr>
          <w:b w:val="0"/>
          <w:i/>
        </w:rPr>
        <w:t xml:space="preserve"> </w:t>
      </w:r>
      <w:r w:rsidRPr="00B65B22" w:rsidR="00F05AE9">
        <w:rPr>
          <w:b w:val="0"/>
          <w:i/>
        </w:rPr>
        <w:t>van het Protocol</w:t>
      </w:r>
      <w:r w:rsidRPr="00B65B22">
        <w:rPr>
          <w:b w:val="0"/>
          <w:i/>
        </w:rPr>
        <w:t>)</w:t>
      </w:r>
    </w:p>
    <w:p w:rsidRPr="00B65B22" w:rsidR="007B6437" w:rsidP="00430D64" w:rsidRDefault="007B6437" w14:paraId="52516AAC" w14:textId="77777777">
      <w:pPr>
        <w:ind w:left="567" w:firstLine="0"/>
      </w:pPr>
      <w:r w:rsidRPr="00B65B22">
        <w:t xml:space="preserve">Artikel 4 </w:t>
      </w:r>
      <w:r w:rsidRPr="00B65B22" w:rsidR="006D6E8D">
        <w:rPr>
          <w:rFonts w:cs="Arial"/>
          <w:bCs/>
          <w:iCs/>
          <w:szCs w:val="20"/>
        </w:rPr>
        <w:t xml:space="preserve">van het Verdrag </w:t>
      </w:r>
      <w:r w:rsidRPr="00B65B22">
        <w:t xml:space="preserve">bevat bepalingen ter invulling van het begrip </w:t>
      </w:r>
      <w:r w:rsidRPr="00B65B22" w:rsidR="00AC691C">
        <w:t>inwoner. Hiervoor is aangesloten bij artikel 4 van het OESO-modelverdrag</w:t>
      </w:r>
      <w:r w:rsidRPr="00B65B22" w:rsidR="006E1112">
        <w:t>.</w:t>
      </w:r>
    </w:p>
    <w:p w:rsidRPr="009C6DBA" w:rsidR="00430D64" w:rsidP="00430D64" w:rsidRDefault="00D122CA" w14:paraId="18762194" w14:textId="12394B2F">
      <w:pPr>
        <w:ind w:firstLine="567"/>
      </w:pPr>
      <w:r w:rsidRPr="00B65B22">
        <w:rPr>
          <w:rFonts w:cs="Arial"/>
          <w:szCs w:val="20"/>
        </w:rPr>
        <w:t>In het eerste lid is omschreven wie voor de toepassing van het Verdrag geacht wordt inwoner te zijn van een verdragsluitende staat. Een persoon is inwoner van een verdragsluitende staat indien hij aldaar is onderworpen aan belastingheffing op grond van zijn woonplaats, verblijf, plaats van leiding of enige andere soortgelijke omstandigheid.</w:t>
      </w:r>
      <w:r w:rsidRPr="00B65B22" w:rsidR="006E1112">
        <w:rPr>
          <w:rFonts w:cs="Arial"/>
          <w:szCs w:val="20"/>
        </w:rPr>
        <w:t xml:space="preserve"> Teneinde zeker te stellen dat de staat en onderdelen daarvan aanspraak kunnen maken op de voordelen van het Verdrag (ondanks dat zij in beginsel niet zijn onderworpen aan de belastingheffing) zijn zij uitdrukkelijk aangemerkt als inwoner voor de toepassing van het Verdrag.</w:t>
      </w:r>
      <w:r w:rsidRPr="00B65B22" w:rsidR="004D0E95">
        <w:rPr>
          <w:rFonts w:cs="Arial"/>
          <w:szCs w:val="20"/>
        </w:rPr>
        <w:t xml:space="preserve"> Ook erkende pensioenfondsen (in de zin van artikel 3, eerste lid, onderdeel l, van het Verdrag) zijn uitdrukkelijk aangemerkt als inwoner voor de toepassing van het Verdrag</w:t>
      </w:r>
      <w:r w:rsidRPr="00B65B22" w:rsidR="00547229">
        <w:rPr>
          <w:rFonts w:cs="Arial"/>
          <w:szCs w:val="20"/>
        </w:rPr>
        <w:t>.</w:t>
      </w:r>
      <w:r w:rsidRPr="00B65B22" w:rsidR="004D0E95">
        <w:rPr>
          <w:rFonts w:cs="Arial"/>
          <w:szCs w:val="20"/>
        </w:rPr>
        <w:t xml:space="preserve"> Gelet op het arrest van de Hoge Raad van 4 december 2009</w:t>
      </w:r>
      <w:r w:rsidRPr="00B65B22" w:rsidR="00641598">
        <w:rPr>
          <w:rFonts w:cs="Arial"/>
          <w:szCs w:val="20"/>
        </w:rPr>
        <w:t>,</w:t>
      </w:r>
      <w:r w:rsidRPr="00B65B22" w:rsidR="004D0E95">
        <w:rPr>
          <w:rFonts w:cs="Arial"/>
          <w:szCs w:val="20"/>
        </w:rPr>
        <w:t xml:space="preserve"> ECLI:NL:HR:2009:BI7301, vloeit hieruit voort dat andere van belastingheffing naar het inkomen vrijgestelde personen niet als verdragsinwoner worden aangemerkt. Dit betekent ook dat, onder andere, de vrijgestelde beleggingsinstelling in de zin van artikel 6a van de Wet op de vennootschapsbelasting 1969</w:t>
      </w:r>
      <w:r w:rsidRPr="00B65B22" w:rsidDel="00414388" w:rsidR="004D0E95">
        <w:rPr>
          <w:rFonts w:cs="Arial"/>
          <w:szCs w:val="20"/>
        </w:rPr>
        <w:t xml:space="preserve"> </w:t>
      </w:r>
      <w:r w:rsidRPr="00B65B22" w:rsidR="004D0E95">
        <w:rPr>
          <w:rFonts w:cs="Arial"/>
          <w:szCs w:val="20"/>
        </w:rPr>
        <w:t>(hierna: Wet Vpb 1969) niet in aanmerking komt voor de verdragsvoordelen, hetgeen in lijn is met het verdragsbeleid zoals verwoord in onderdeel 2.2.1 van de NFV 2011 en met de motie-Omtzigt/Van Vliet.</w:t>
      </w:r>
      <w:r w:rsidRPr="00B65B22" w:rsidR="004D0E95">
        <w:rPr>
          <w:rStyle w:val="Voetnootmarkering"/>
          <w:rFonts w:cs="Arial"/>
          <w:szCs w:val="20"/>
        </w:rPr>
        <w:footnoteReference w:id="18"/>
      </w:r>
      <w:r w:rsidRPr="00B65B22" w:rsidR="004D0E95">
        <w:rPr>
          <w:rFonts w:cs="Arial"/>
          <w:szCs w:val="20"/>
        </w:rPr>
        <w:t xml:space="preserve"> Voor de goede orde </w:t>
      </w:r>
      <w:r w:rsidRPr="00B65B22" w:rsidR="00596093">
        <w:rPr>
          <w:rFonts w:cs="Arial"/>
          <w:szCs w:val="20"/>
        </w:rPr>
        <w:t xml:space="preserve">wordt </w:t>
      </w:r>
      <w:r w:rsidRPr="00B65B22" w:rsidR="004D0E95">
        <w:rPr>
          <w:rFonts w:cs="Arial"/>
          <w:szCs w:val="20"/>
        </w:rPr>
        <w:t>nog opgemerkt dat de fiscale beleggingsinstelling in de zin van artikel 28 Wet Vpb 1969 wél als inwoner voor de toepassing van het Verdrag wordt aangemerkt</w:t>
      </w:r>
      <w:r w:rsidRPr="00B65B22" w:rsidR="00F44316">
        <w:rPr>
          <w:rFonts w:cs="Arial"/>
          <w:szCs w:val="20"/>
        </w:rPr>
        <w:t xml:space="preserve">, hetgeen ook blijkt uit artikel 2, </w:t>
      </w:r>
      <w:r w:rsidRPr="00B65B22" w:rsidR="0071756C">
        <w:rPr>
          <w:rFonts w:cs="Arial"/>
          <w:szCs w:val="20"/>
        </w:rPr>
        <w:t>derde lid</w:t>
      </w:r>
      <w:r w:rsidRPr="00B65B22" w:rsidR="00F44316">
        <w:rPr>
          <w:rFonts w:cs="Arial"/>
          <w:szCs w:val="20"/>
        </w:rPr>
        <w:t>, van het Protocol</w:t>
      </w:r>
      <w:r w:rsidRPr="00B65B22" w:rsidR="004D0E95">
        <w:rPr>
          <w:rFonts w:cs="Arial"/>
          <w:szCs w:val="20"/>
        </w:rPr>
        <w:t>.</w:t>
      </w:r>
      <w:r w:rsidRPr="00B65B22" w:rsidR="00430D64">
        <w:rPr>
          <w:rFonts w:cs="Arial"/>
          <w:szCs w:val="20"/>
        </w:rPr>
        <w:t xml:space="preserve"> </w:t>
      </w:r>
      <w:r w:rsidRPr="002A5A61" w:rsidR="006E1112">
        <w:t>De tweede zin van het eerste lid maakt duidelijk dat een persoon geen inwoner van een verdragsluitende staat is, wanneer hij in die staat slechts belastingplichtig is voor</w:t>
      </w:r>
      <w:r w:rsidRPr="00CF0A8D" w:rsidR="00FB05BA">
        <w:t xml:space="preserve"> </w:t>
      </w:r>
      <w:r w:rsidRPr="00CF0A8D" w:rsidR="007B6437">
        <w:t>inkomen</w:t>
      </w:r>
      <w:r w:rsidRPr="00CF0A8D" w:rsidR="00135519">
        <w:t xml:space="preserve"> </w:t>
      </w:r>
      <w:r w:rsidRPr="009C6DBA" w:rsidR="007B6437">
        <w:t>verkregen uit bronnen</w:t>
      </w:r>
      <w:r w:rsidRPr="009C6DBA" w:rsidR="003A3AC0">
        <w:t xml:space="preserve"> in die </w:t>
      </w:r>
      <w:r w:rsidRPr="009C6DBA" w:rsidR="00382354">
        <w:t>staat</w:t>
      </w:r>
      <w:r w:rsidRPr="009C6DBA" w:rsidR="007B6437">
        <w:t>.</w:t>
      </w:r>
      <w:r w:rsidRPr="009C6DBA" w:rsidR="003A4AE0">
        <w:t xml:space="preserve"> </w:t>
      </w:r>
    </w:p>
    <w:p w:rsidRPr="002006EE" w:rsidR="003E1ACA" w:rsidP="00430D64" w:rsidRDefault="003A3AC0" w14:paraId="06F2DD1F" w14:textId="77777777">
      <w:pPr>
        <w:ind w:firstLine="567"/>
        <w:rPr>
          <w:rFonts w:cs="Arial"/>
          <w:szCs w:val="20"/>
        </w:rPr>
      </w:pPr>
      <w:r w:rsidRPr="009C6DBA">
        <w:t xml:space="preserve">Het tweede lid bevat regels om de woonstaat van een natuurlijke persoon voor de toepassing van het Verdrag vast te stellen </w:t>
      </w:r>
      <w:r w:rsidRPr="009C6DBA" w:rsidR="00FB05BA">
        <w:t xml:space="preserve">in het geval </w:t>
      </w:r>
      <w:r w:rsidRPr="009C6DBA" w:rsidR="00596093">
        <w:t xml:space="preserve">dat </w:t>
      </w:r>
      <w:r w:rsidRPr="009C6DBA">
        <w:t xml:space="preserve">deze persoon volgens de nationale wetgevingen </w:t>
      </w:r>
      <w:r w:rsidRPr="009C6DBA" w:rsidR="00FB05BA">
        <w:t xml:space="preserve">van beide </w:t>
      </w:r>
      <w:r w:rsidRPr="00111169" w:rsidR="00F03EC9">
        <w:t xml:space="preserve">verdragsluitende </w:t>
      </w:r>
      <w:r w:rsidRPr="00111169" w:rsidR="00FB05BA">
        <w:t>s</w:t>
      </w:r>
      <w:r w:rsidRPr="00363E1C" w:rsidR="00FB05BA">
        <w:t xml:space="preserve">taten </w:t>
      </w:r>
      <w:r w:rsidRPr="00363E1C" w:rsidR="00F03EC9">
        <w:t xml:space="preserve">wordt aangemerkt als </w:t>
      </w:r>
      <w:r w:rsidRPr="00363E1C">
        <w:t>inwoner. Aangesloten wordt achtereenvolgens bij de beschikbaarheid van een duurzaam tehuis, het middelpunt van de levensbelangen, het gewoonlijk</w:t>
      </w:r>
      <w:r w:rsidRPr="00363E1C" w:rsidR="00D13830">
        <w:t>e</w:t>
      </w:r>
      <w:r w:rsidRPr="00363E1C">
        <w:t xml:space="preserve"> verblijf of de nationaliteit. Indien op grond van deze factoren de woonplaats niet kan worden vastgesteld, zullen de bevoegde autoriteiten in onderling overleg bepalen van welke </w:t>
      </w:r>
      <w:r w:rsidRPr="00363E1C" w:rsidR="00AF2710">
        <w:t>verdragsluitende</w:t>
      </w:r>
      <w:r w:rsidRPr="000F52B8">
        <w:t xml:space="preserve"> </w:t>
      </w:r>
      <w:r w:rsidRPr="000F52B8" w:rsidR="00382354">
        <w:t>staat</w:t>
      </w:r>
      <w:r w:rsidRPr="000F52B8">
        <w:t xml:space="preserve"> </w:t>
      </w:r>
      <w:r w:rsidRPr="002006EE" w:rsidR="0039025D">
        <w:t xml:space="preserve">een persoon uitsluitend inwoner is </w:t>
      </w:r>
      <w:r w:rsidRPr="002006EE" w:rsidR="00D122CA">
        <w:rPr>
          <w:rFonts w:cs="Arial"/>
          <w:szCs w:val="20"/>
        </w:rPr>
        <w:t>voor de toepassing van het Verdrag</w:t>
      </w:r>
      <w:r w:rsidRPr="002006EE" w:rsidR="001171CD">
        <w:rPr>
          <w:rFonts w:cs="Arial"/>
          <w:szCs w:val="20"/>
        </w:rPr>
        <w:t>.</w:t>
      </w:r>
    </w:p>
    <w:p w:rsidRPr="00B65B22" w:rsidR="0054479C" w:rsidP="00BE7EAC" w:rsidRDefault="00D122CA" w14:paraId="2E19A423" w14:textId="77777777">
      <w:pPr>
        <w:autoSpaceDE w:val="0"/>
        <w:autoSpaceDN w:val="0"/>
        <w:adjustRightInd w:val="0"/>
        <w:ind w:firstLine="708"/>
        <w:rPr>
          <w:rFonts w:cs="Arial"/>
          <w:szCs w:val="20"/>
        </w:rPr>
      </w:pPr>
      <w:r w:rsidRPr="002006EE">
        <w:rPr>
          <w:rFonts w:cs="Arial"/>
          <w:szCs w:val="20"/>
        </w:rPr>
        <w:t xml:space="preserve">Het </w:t>
      </w:r>
      <w:r w:rsidRPr="002006EE" w:rsidR="000F2A73">
        <w:rPr>
          <w:rFonts w:cs="Arial"/>
          <w:szCs w:val="20"/>
        </w:rPr>
        <w:t>derde</w:t>
      </w:r>
      <w:r w:rsidRPr="002006EE">
        <w:rPr>
          <w:rFonts w:cs="Arial"/>
          <w:szCs w:val="20"/>
        </w:rPr>
        <w:t xml:space="preserve"> lid bevat de zogenoemde </w:t>
      </w:r>
      <w:r w:rsidRPr="002006EE">
        <w:rPr>
          <w:rFonts w:cs="Arial"/>
          <w:i/>
          <w:szCs w:val="20"/>
        </w:rPr>
        <w:t>’corporate tiebreaker’</w:t>
      </w:r>
      <w:r w:rsidRPr="002006EE">
        <w:rPr>
          <w:rFonts w:cs="Arial"/>
          <w:szCs w:val="20"/>
        </w:rPr>
        <w:t xml:space="preserve"> voor situaties waarin een lichaam op grond van de bepalingen van het eerste lid als inwoner van beide verdragsluitende staten wordt beschouwd. </w:t>
      </w:r>
      <w:r w:rsidRPr="00B65B22" w:rsidR="008D6646">
        <w:rPr>
          <w:rFonts w:cs="Arial"/>
          <w:szCs w:val="20"/>
        </w:rPr>
        <w:t>Met d</w:t>
      </w:r>
      <w:r w:rsidRPr="00B65B22" w:rsidR="002E5178">
        <w:rPr>
          <w:rFonts w:cs="Arial"/>
          <w:szCs w:val="20"/>
        </w:rPr>
        <w:t xml:space="preserve">eze bepaling </w:t>
      </w:r>
      <w:r w:rsidRPr="00B65B22" w:rsidR="008D6646">
        <w:rPr>
          <w:rFonts w:cs="Arial"/>
          <w:szCs w:val="20"/>
        </w:rPr>
        <w:t>wordt beoogd</w:t>
      </w:r>
      <w:r w:rsidRPr="00B65B22" w:rsidR="002E5178">
        <w:rPr>
          <w:rFonts w:cs="Arial"/>
          <w:szCs w:val="20"/>
        </w:rPr>
        <w:t xml:space="preserve"> het risico op </w:t>
      </w:r>
      <w:r w:rsidRPr="00B65B22" w:rsidR="002542BB">
        <w:rPr>
          <w:rFonts w:cs="Arial"/>
          <w:szCs w:val="20"/>
        </w:rPr>
        <w:t>onbedoelde</w:t>
      </w:r>
      <w:r w:rsidRPr="00B65B22" w:rsidR="002E5178">
        <w:rPr>
          <w:rFonts w:cs="Arial"/>
          <w:szCs w:val="20"/>
        </w:rPr>
        <w:t xml:space="preserve"> verdragstoepassing door een lichaam dat als inwoner van beide verdragsluitende staten wordt beschouwd te verkleinen. </w:t>
      </w:r>
      <w:r w:rsidRPr="00B65B22">
        <w:rPr>
          <w:rFonts w:cs="Arial"/>
          <w:szCs w:val="20"/>
        </w:rPr>
        <w:t>De bevoegde autoriteiten zullen in dergelijke situaties met elkaar in overleg treden om het inwonerschap van het lichaam</w:t>
      </w:r>
      <w:r w:rsidRPr="00B65B22" w:rsidR="009D03A0">
        <w:rPr>
          <w:rFonts w:cs="Arial"/>
          <w:szCs w:val="20"/>
        </w:rPr>
        <w:t xml:space="preserve"> voor de toepassing van het Verdrag</w:t>
      </w:r>
      <w:r w:rsidRPr="00B65B22">
        <w:rPr>
          <w:rFonts w:cs="Arial"/>
          <w:szCs w:val="20"/>
        </w:rPr>
        <w:t xml:space="preserve"> te bepalen. Daarbij zal rekening worden gehouden met de plaats van feitelijke leiding en de plaats van oprichting van dat lichaam, en alle andere relevante factoren, waaronder mede begrepen het (fiscale) motief van een lichaam voor vestiging in een verdragsluitende staat. Zolan</w:t>
      </w:r>
      <w:r w:rsidRPr="00B65B22" w:rsidR="00732F2A">
        <w:rPr>
          <w:rFonts w:cs="Arial"/>
          <w:szCs w:val="20"/>
        </w:rPr>
        <w:t xml:space="preserve">g de </w:t>
      </w:r>
      <w:r w:rsidRPr="00B65B22" w:rsidR="00AC7ADB">
        <w:rPr>
          <w:rFonts w:cs="Arial"/>
          <w:szCs w:val="20"/>
        </w:rPr>
        <w:t xml:space="preserve">bevoegde </w:t>
      </w:r>
      <w:r w:rsidRPr="00B65B22" w:rsidR="00732F2A">
        <w:rPr>
          <w:rFonts w:cs="Arial"/>
          <w:szCs w:val="20"/>
        </w:rPr>
        <w:t xml:space="preserve">autoriteiten </w:t>
      </w:r>
      <w:r w:rsidRPr="00B65B22">
        <w:rPr>
          <w:rFonts w:cs="Arial"/>
          <w:szCs w:val="20"/>
        </w:rPr>
        <w:t xml:space="preserve">niet hebben vastgesteld </w:t>
      </w:r>
      <w:r w:rsidRPr="00B65B22" w:rsidR="009D03A0">
        <w:rPr>
          <w:rFonts w:cs="Arial"/>
          <w:szCs w:val="20"/>
        </w:rPr>
        <w:t xml:space="preserve">van welke verdragsluitende staat het lichaam inwoner is voor de toepassing van het </w:t>
      </w:r>
      <w:r w:rsidRPr="00B65B22" w:rsidR="00AC7ADB">
        <w:rPr>
          <w:rFonts w:cs="Arial"/>
          <w:szCs w:val="20"/>
        </w:rPr>
        <w:t>V</w:t>
      </w:r>
      <w:r w:rsidRPr="00B65B22" w:rsidR="009D03A0">
        <w:rPr>
          <w:rFonts w:cs="Arial"/>
          <w:szCs w:val="20"/>
        </w:rPr>
        <w:t xml:space="preserve">erdrag </w:t>
      </w:r>
      <w:r w:rsidRPr="00B65B22">
        <w:rPr>
          <w:rFonts w:cs="Arial"/>
          <w:szCs w:val="20"/>
        </w:rPr>
        <w:t xml:space="preserve">of als hier geen overeenstemming over wordt bereikt, heeft het lichaam geen recht op een belastingvermindering of </w:t>
      </w:r>
      <w:r w:rsidRPr="00B65B22" w:rsidR="00CB1CDF">
        <w:rPr>
          <w:rFonts w:cs="Arial"/>
          <w:szCs w:val="20"/>
        </w:rPr>
        <w:t>-</w:t>
      </w:r>
      <w:r w:rsidRPr="00B65B22">
        <w:rPr>
          <w:rFonts w:cs="Arial"/>
          <w:szCs w:val="20"/>
        </w:rPr>
        <w:t>vrijstelling op grond van het Verdrag</w:t>
      </w:r>
      <w:r w:rsidRPr="00B65B22" w:rsidR="003C56DA">
        <w:rPr>
          <w:rFonts w:cs="Arial"/>
          <w:szCs w:val="20"/>
        </w:rPr>
        <w:t>, behalve de voordelen van de artikelen zoals door de bevoegde autoriteiten in onderlinge overeenstemming kan worden bepaald</w:t>
      </w:r>
      <w:r w:rsidRPr="00B65B22">
        <w:rPr>
          <w:rFonts w:cs="Arial"/>
          <w:szCs w:val="20"/>
        </w:rPr>
        <w:t xml:space="preserve">. </w:t>
      </w:r>
    </w:p>
    <w:p w:rsidRPr="00B65B22" w:rsidR="00383D2E" w:rsidP="006036C0" w:rsidRDefault="00680B67" w14:paraId="28BA9D32" w14:textId="77777777">
      <w:pPr>
        <w:ind w:firstLine="720"/>
      </w:pPr>
      <w:r w:rsidRPr="00B65B22">
        <w:rPr>
          <w:rFonts w:cs="Arial"/>
          <w:szCs w:val="20"/>
        </w:rPr>
        <w:t>Op verzoek van Cyprus is i</w:t>
      </w:r>
      <w:r w:rsidRPr="00B65B22" w:rsidR="009D6948">
        <w:rPr>
          <w:rFonts w:cs="Arial"/>
          <w:szCs w:val="20"/>
        </w:rPr>
        <w:t xml:space="preserve">n artikel </w:t>
      </w:r>
      <w:r w:rsidRPr="00B65B22">
        <w:rPr>
          <w:rFonts w:cs="Arial"/>
          <w:szCs w:val="20"/>
        </w:rPr>
        <w:t>1</w:t>
      </w:r>
      <w:r w:rsidRPr="00B65B22" w:rsidR="009D6948">
        <w:rPr>
          <w:rFonts w:cs="Arial"/>
          <w:szCs w:val="20"/>
        </w:rPr>
        <w:t xml:space="preserve"> van het Protocol </w:t>
      </w:r>
      <w:r w:rsidRPr="00B65B22" w:rsidR="00E55394">
        <w:rPr>
          <w:rFonts w:cs="Arial"/>
          <w:szCs w:val="20"/>
        </w:rPr>
        <w:t xml:space="preserve">nader uitgewerkt op basis van welke criteria </w:t>
      </w:r>
      <w:r w:rsidRPr="00B65B22" w:rsidR="00143CC2">
        <w:rPr>
          <w:rFonts w:cs="Arial"/>
          <w:szCs w:val="20"/>
        </w:rPr>
        <w:t xml:space="preserve">de bevoegde autoriteiten </w:t>
      </w:r>
      <w:r w:rsidRPr="00B65B22" w:rsidR="00E55394">
        <w:rPr>
          <w:rFonts w:cs="Arial"/>
          <w:szCs w:val="20"/>
        </w:rPr>
        <w:t xml:space="preserve">van Nederland en Cyprus </w:t>
      </w:r>
      <w:r w:rsidRPr="00B65B22" w:rsidR="008644FB">
        <w:rPr>
          <w:rFonts w:cs="Arial"/>
          <w:szCs w:val="20"/>
        </w:rPr>
        <w:t xml:space="preserve">de </w:t>
      </w:r>
      <w:r w:rsidRPr="00B65B22" w:rsidR="00E55394">
        <w:rPr>
          <w:rFonts w:cs="Arial"/>
          <w:szCs w:val="20"/>
        </w:rPr>
        <w:t xml:space="preserve">woonplaats </w:t>
      </w:r>
      <w:r w:rsidRPr="00B65B22" w:rsidR="00143CC2">
        <w:rPr>
          <w:rFonts w:cs="Arial"/>
          <w:szCs w:val="20"/>
        </w:rPr>
        <w:t xml:space="preserve">van </w:t>
      </w:r>
      <w:r w:rsidRPr="00B65B22" w:rsidR="008644FB">
        <w:rPr>
          <w:rFonts w:cs="Arial"/>
          <w:szCs w:val="20"/>
        </w:rPr>
        <w:t>een persoon (zijnde een</w:t>
      </w:r>
      <w:r w:rsidRPr="00B65B22" w:rsidR="00143CC2">
        <w:rPr>
          <w:rFonts w:cs="Arial"/>
          <w:szCs w:val="20"/>
        </w:rPr>
        <w:t xml:space="preserve"> lichaam</w:t>
      </w:r>
      <w:r w:rsidRPr="00B65B22" w:rsidR="008644FB">
        <w:rPr>
          <w:rFonts w:cs="Arial"/>
          <w:szCs w:val="20"/>
        </w:rPr>
        <w:t>)</w:t>
      </w:r>
      <w:r w:rsidRPr="00B65B22" w:rsidR="00143CC2">
        <w:rPr>
          <w:rFonts w:cs="Arial"/>
          <w:szCs w:val="20"/>
        </w:rPr>
        <w:t xml:space="preserve"> voor de toepassing</w:t>
      </w:r>
      <w:r w:rsidRPr="00B65B22" w:rsidR="00E55394">
        <w:rPr>
          <w:rFonts w:cs="Arial"/>
          <w:szCs w:val="20"/>
        </w:rPr>
        <w:t xml:space="preserve"> van het Verdrag zullen vaststellen</w:t>
      </w:r>
      <w:r w:rsidRPr="00B65B22" w:rsidR="00143CC2">
        <w:rPr>
          <w:rFonts w:cs="Arial"/>
          <w:szCs w:val="20"/>
        </w:rPr>
        <w:t xml:space="preserve">. </w:t>
      </w:r>
      <w:r w:rsidRPr="00B65B22" w:rsidR="009D6948">
        <w:t xml:space="preserve">Deze criteria zijn in </w:t>
      </w:r>
      <w:r w:rsidRPr="00B65B22" w:rsidR="00E55394">
        <w:t>overeenstemming</w:t>
      </w:r>
      <w:r w:rsidRPr="00B65B22" w:rsidR="009D6948">
        <w:t xml:space="preserve"> met het commentaar op </w:t>
      </w:r>
      <w:r w:rsidRPr="00B65B22" w:rsidR="00E55394">
        <w:t>artikel 4 van</w:t>
      </w:r>
      <w:r w:rsidRPr="00B65B22" w:rsidR="00143CC2">
        <w:t xml:space="preserve"> </w:t>
      </w:r>
      <w:r w:rsidRPr="00B65B22" w:rsidR="009D6948">
        <w:t>het OESO</w:t>
      </w:r>
      <w:r w:rsidRPr="00B65B22" w:rsidR="008A308E">
        <w:t>-m</w:t>
      </w:r>
      <w:r w:rsidRPr="00B65B22" w:rsidR="009D6948">
        <w:t xml:space="preserve">odelverdrag </w:t>
      </w:r>
      <w:r w:rsidRPr="00B65B22" w:rsidR="00E55394">
        <w:t xml:space="preserve">en betreffen </w:t>
      </w:r>
      <w:r w:rsidRPr="00B65B22" w:rsidR="008644FB">
        <w:t xml:space="preserve">daarmee </w:t>
      </w:r>
      <w:r w:rsidRPr="00B65B22" w:rsidR="00E55394">
        <w:t>slechts een</w:t>
      </w:r>
      <w:r w:rsidRPr="00B65B22" w:rsidR="00143CC2">
        <w:t xml:space="preserve"> verduidelijking.</w:t>
      </w:r>
      <w:r w:rsidRPr="00B65B22" w:rsidR="009D6948">
        <w:t xml:space="preserve"> </w:t>
      </w:r>
    </w:p>
    <w:p w:rsidRPr="00B65B22" w:rsidR="003E1ACA" w:rsidRDefault="00C2433D" w14:paraId="1A2D4FC6" w14:textId="77777777">
      <w:pPr>
        <w:pStyle w:val="Kop2"/>
        <w:rPr>
          <w:b w:val="0"/>
          <w:i/>
        </w:rPr>
      </w:pPr>
      <w:r w:rsidRPr="00B65B22">
        <w:rPr>
          <w:b w:val="0"/>
          <w:i/>
        </w:rPr>
        <w:t>Vaste inrichting (artikel 5</w:t>
      </w:r>
      <w:r w:rsidRPr="00B65B22" w:rsidR="00F05AE9">
        <w:rPr>
          <w:b w:val="0"/>
          <w:i/>
        </w:rPr>
        <w:t xml:space="preserve"> van het Verdrag</w:t>
      </w:r>
      <w:r w:rsidRPr="00B65B22">
        <w:rPr>
          <w:b w:val="0"/>
          <w:i/>
        </w:rPr>
        <w:t>)</w:t>
      </w:r>
    </w:p>
    <w:p w:rsidRPr="00B65B22" w:rsidR="008656B3" w:rsidP="008656B3" w:rsidRDefault="008656B3" w14:paraId="575A12C7" w14:textId="77777777">
      <w:pPr>
        <w:ind w:firstLine="708"/>
      </w:pPr>
      <w:r w:rsidRPr="00B65B22">
        <w:t xml:space="preserve">Artikel 5 </w:t>
      </w:r>
      <w:r w:rsidRPr="00B65B22" w:rsidR="006D6E8D">
        <w:rPr>
          <w:rFonts w:cs="Arial"/>
          <w:bCs/>
          <w:iCs/>
          <w:szCs w:val="20"/>
        </w:rPr>
        <w:t xml:space="preserve">van het Verdrag </w:t>
      </w:r>
      <w:r w:rsidRPr="00B65B22">
        <w:t>definieert het begrip “vaste inrichting”. Dit begrip is vooral van belang voor de verdeling van heffingsrechten over ondernemingswinsten volgens artikel 7 van het Verdrag.</w:t>
      </w:r>
      <w:r w:rsidRPr="00B65B22" w:rsidR="00843F32">
        <w:t xml:space="preserve"> </w:t>
      </w:r>
      <w:r w:rsidRPr="00B65B22">
        <w:t xml:space="preserve">Dit artikel is gebaseerd op artikel 5 van het OESO-modelverdrag. </w:t>
      </w:r>
    </w:p>
    <w:p w:rsidRPr="00B65B22" w:rsidR="008656B3" w:rsidP="008656B3" w:rsidRDefault="008656B3" w14:paraId="358F50CF" w14:textId="77777777">
      <w:r w:rsidRPr="00B65B22">
        <w:t xml:space="preserve">Volgens het eerste lid betekent de uitdrukking “vaste inrichting” voor de toepassing van het Verdrag een vaste bedrijfsinrichting met behulp waarvan de werkzaamheden van een onderneming geheel of gedeeltelijk worden uitgeoefend. </w:t>
      </w:r>
    </w:p>
    <w:p w:rsidRPr="00B65B22" w:rsidR="008656B3" w:rsidP="008656B3" w:rsidRDefault="008656B3" w14:paraId="561BD9FB" w14:textId="77777777">
      <w:r w:rsidRPr="00B65B22">
        <w:t xml:space="preserve">Het tweede lid bepaalt vervolgens dat de uitdrukking “vaste inrichting” in het bijzonder omvat een plaats waar leiding wordt gegeven, een filiaal, een kantoor, een fabriek, een werkplaats, een mijn, </w:t>
      </w:r>
      <w:r w:rsidRPr="00B65B22" w:rsidR="003233D6">
        <w:t xml:space="preserve">een </w:t>
      </w:r>
      <w:r w:rsidRPr="00B65B22">
        <w:t xml:space="preserve">olie- of gasbron, </w:t>
      </w:r>
      <w:r w:rsidRPr="00B65B22" w:rsidR="003233D6">
        <w:t xml:space="preserve">een </w:t>
      </w:r>
      <w:r w:rsidRPr="00B65B22">
        <w:t>groeve of enige andere plaats waar natuurlijke rijkdommen worden gewonnen.</w:t>
      </w:r>
    </w:p>
    <w:p w:rsidRPr="00B65B22" w:rsidR="00662B49" w:rsidP="00403D2F" w:rsidRDefault="008656B3" w14:paraId="058668A6" w14:textId="77777777">
      <w:pPr>
        <w:ind w:left="709" w:firstLine="0"/>
        <w:rPr>
          <w:rFonts w:cs="Arial"/>
          <w:szCs w:val="20"/>
        </w:rPr>
      </w:pPr>
      <w:r w:rsidRPr="00B65B22">
        <w:t>Ingevolge het derde lid vormt</w:t>
      </w:r>
      <w:r w:rsidRPr="00B65B22">
        <w:rPr>
          <w:rFonts w:cs="Arial"/>
          <w:szCs w:val="20"/>
        </w:rPr>
        <w:t xml:space="preserve"> een plaats van uitvoering van een bouwwerk of van constructie- </w:t>
      </w:r>
    </w:p>
    <w:p w:rsidRPr="00B65B22" w:rsidR="00662B49" w:rsidP="00403D2F" w:rsidRDefault="008656B3" w14:paraId="10696274" w14:textId="77777777">
      <w:pPr>
        <w:ind w:firstLine="0"/>
      </w:pPr>
      <w:r w:rsidRPr="00B65B22">
        <w:rPr>
          <w:rFonts w:cs="Arial"/>
          <w:szCs w:val="20"/>
        </w:rPr>
        <w:t xml:space="preserve">of installatiewerkzaamheden </w:t>
      </w:r>
      <w:r w:rsidRPr="00B65B22">
        <w:t xml:space="preserve">alleen dan een vaste inrichting als deze werkzaamheden langer duren dan </w:t>
      </w:r>
      <w:r w:rsidRPr="00B65B22" w:rsidR="002000D3">
        <w:t xml:space="preserve">twaalf </w:t>
      </w:r>
      <w:r w:rsidRPr="00B65B22">
        <w:t>maanden.</w:t>
      </w:r>
    </w:p>
    <w:p w:rsidRPr="009C6DBA" w:rsidR="007601D2" w:rsidP="007601D2" w:rsidRDefault="007601D2" w14:paraId="35F2ADD2" w14:textId="78DCF757">
      <w:pPr>
        <w:ind w:firstLine="720"/>
        <w:rPr>
          <w:rFonts w:cs="Arial"/>
          <w:szCs w:val="20"/>
        </w:rPr>
      </w:pPr>
      <w:r w:rsidRPr="00B65B22">
        <w:t xml:space="preserve">In het vierde lid is overeenkomstig </w:t>
      </w:r>
      <w:r w:rsidRPr="00B65B22" w:rsidR="00027571">
        <w:t xml:space="preserve">paragraaf 52 </w:t>
      </w:r>
      <w:r w:rsidRPr="00B65B22">
        <w:t xml:space="preserve">van het </w:t>
      </w:r>
      <w:r w:rsidRPr="00B65B22" w:rsidR="00027571">
        <w:t xml:space="preserve">commentaar op artikel 5 van het OESO-modelverdrag </w:t>
      </w:r>
      <w:r w:rsidRPr="00B65B22">
        <w:t xml:space="preserve">opgenomen dat voor de vaststelling of is voldaan aan de </w:t>
      </w:r>
      <w:r w:rsidRPr="00B65B22">
        <w:rPr>
          <w:rFonts w:cs="Arial"/>
          <w:szCs w:val="20"/>
        </w:rPr>
        <w:t>termijn voor het constateren van een vaste inrichtin</w:t>
      </w:r>
      <w:r w:rsidRPr="002A5A61">
        <w:rPr>
          <w:rFonts w:cs="Arial"/>
          <w:szCs w:val="20"/>
        </w:rPr>
        <w:t xml:space="preserve">g bij bouwwerk- of constructiewerkzaamheden in de zin van het derde lid </w:t>
      </w:r>
      <w:r w:rsidRPr="00CF0A8D">
        <w:t xml:space="preserve">de samenhangende activiteiten van nauw verbonden ondernemingen </w:t>
      </w:r>
      <w:r w:rsidR="008B1145">
        <w:t xml:space="preserve">die langer duren dan dertig dagen </w:t>
      </w:r>
      <w:r w:rsidRPr="00CF0A8D">
        <w:t xml:space="preserve">bij elkaar worden geteld. Met deze bepaling wordt </w:t>
      </w:r>
      <w:r w:rsidRPr="00CF0A8D" w:rsidR="006454AA">
        <w:t xml:space="preserve">beoogd te </w:t>
      </w:r>
      <w:r w:rsidRPr="00CF0A8D">
        <w:t xml:space="preserve">voorkomen dat de aanwezigheid van een vaste inrichting </w:t>
      </w:r>
      <w:r w:rsidRPr="009C6DBA">
        <w:rPr>
          <w:rFonts w:cs="Arial"/>
          <w:szCs w:val="20"/>
        </w:rPr>
        <w:t>bij bouwwerk- of constructiewerkzaamheden in de zin van het derde lid</w:t>
      </w:r>
      <w:r w:rsidRPr="009C6DBA">
        <w:t xml:space="preserve"> kan worden ontgaan door activiteiten te verdelen over verschillende verbonden ondernemingen. </w:t>
      </w:r>
    </w:p>
    <w:p w:rsidRPr="00363E1C" w:rsidR="008656B3" w:rsidP="000E4C65" w:rsidRDefault="008656B3" w14:paraId="3A03152D" w14:textId="77777777">
      <w:pPr>
        <w:ind w:firstLine="720"/>
        <w:rPr>
          <w:rFonts w:ascii="Verdana" w:hAnsi="Verdana"/>
          <w:sz w:val="18"/>
          <w:szCs w:val="18"/>
        </w:rPr>
      </w:pPr>
      <w:r w:rsidRPr="009C6DBA">
        <w:rPr>
          <w:rFonts w:cs="Arial"/>
          <w:szCs w:val="20"/>
        </w:rPr>
        <w:t xml:space="preserve">Het </w:t>
      </w:r>
      <w:r w:rsidRPr="009C6DBA" w:rsidR="002547A7">
        <w:rPr>
          <w:rFonts w:cs="Arial"/>
          <w:szCs w:val="20"/>
        </w:rPr>
        <w:t xml:space="preserve">vijfde </w:t>
      </w:r>
      <w:r w:rsidRPr="009C6DBA">
        <w:rPr>
          <w:rFonts w:cs="Arial"/>
          <w:szCs w:val="20"/>
        </w:rPr>
        <w:t xml:space="preserve">lid omschrijft een aantal situaties waarin geen vaste inrichting aanwezig wordt geacht. Het gemeenschappelijke kenmerk van deze situaties is dat het gaat om het aanhouden of gebruiken van een vaste bedrijfsinrichting voor uitsluitend activiteiten van voorbereidende aard of met </w:t>
      </w:r>
      <w:r w:rsidRPr="00111169">
        <w:rPr>
          <w:rFonts w:cs="Arial"/>
          <w:szCs w:val="20"/>
        </w:rPr>
        <w:t>een ondersteunend karakter.</w:t>
      </w:r>
      <w:r w:rsidRPr="00111169" w:rsidR="007601D2">
        <w:rPr>
          <w:rFonts w:cs="Arial"/>
          <w:szCs w:val="20"/>
        </w:rPr>
        <w:t xml:space="preserve"> In overeenstemming met he</w:t>
      </w:r>
      <w:r w:rsidRPr="00363E1C" w:rsidR="007601D2">
        <w:rPr>
          <w:rFonts w:cs="Arial"/>
          <w:szCs w:val="20"/>
        </w:rPr>
        <w:t>t OESO-modelverdrag is het voorbereidende en ondersteunende karakter voor al deze activiteiten als expliciete eis vastgelegd.</w:t>
      </w:r>
      <w:r w:rsidRPr="00363E1C">
        <w:rPr>
          <w:rFonts w:cs="Arial"/>
          <w:szCs w:val="20"/>
        </w:rPr>
        <w:t xml:space="preserve"> </w:t>
      </w:r>
    </w:p>
    <w:p w:rsidRPr="00B65B22" w:rsidR="008656B3" w:rsidP="008656B3" w:rsidRDefault="002547A7" w14:paraId="2350288E" w14:textId="77777777">
      <w:pPr>
        <w:tabs>
          <w:tab w:val="left" w:pos="709"/>
        </w:tabs>
        <w:ind w:firstLine="708"/>
      </w:pPr>
      <w:r w:rsidRPr="00363E1C">
        <w:rPr>
          <w:rFonts w:cs="Arial"/>
          <w:szCs w:val="20"/>
        </w:rPr>
        <w:t>H</w:t>
      </w:r>
      <w:r w:rsidRPr="00363E1C" w:rsidR="008656B3">
        <w:rPr>
          <w:rFonts w:cs="Arial"/>
          <w:szCs w:val="20"/>
        </w:rPr>
        <w:t xml:space="preserve">et </w:t>
      </w:r>
      <w:r w:rsidRPr="00363E1C">
        <w:rPr>
          <w:rFonts w:cs="Arial"/>
          <w:szCs w:val="20"/>
        </w:rPr>
        <w:t xml:space="preserve">zesde </w:t>
      </w:r>
      <w:r w:rsidRPr="000F52B8" w:rsidR="008656B3">
        <w:rPr>
          <w:rFonts w:cs="Arial"/>
          <w:szCs w:val="20"/>
        </w:rPr>
        <w:t xml:space="preserve">lid waarborgt </w:t>
      </w:r>
      <w:r w:rsidRPr="002006EE" w:rsidR="00F02A35">
        <w:rPr>
          <w:rFonts w:cs="Arial"/>
          <w:szCs w:val="20"/>
        </w:rPr>
        <w:t xml:space="preserve">in overeenstemming met het OESO-modelverdrag </w:t>
      </w:r>
      <w:r w:rsidRPr="002006EE" w:rsidR="008656B3">
        <w:rPr>
          <w:rFonts w:cs="Arial"/>
          <w:szCs w:val="20"/>
        </w:rPr>
        <w:t xml:space="preserve">dat de uitzonderingen van het </w:t>
      </w:r>
      <w:r w:rsidRPr="002006EE">
        <w:rPr>
          <w:rFonts w:cs="Arial"/>
          <w:szCs w:val="20"/>
        </w:rPr>
        <w:t>vijfde</w:t>
      </w:r>
      <w:r w:rsidRPr="002006EE" w:rsidR="008656B3">
        <w:rPr>
          <w:rFonts w:cs="Arial"/>
          <w:szCs w:val="20"/>
        </w:rPr>
        <w:t xml:space="preserve"> lid niet op kunstmatige wijze kunnen worden opgezocht. Volgens onderdeel a gelden de uitzonderingen van het </w:t>
      </w:r>
      <w:r w:rsidRPr="00B65B22" w:rsidR="000E4C65">
        <w:rPr>
          <w:rFonts w:cs="Arial"/>
          <w:szCs w:val="20"/>
        </w:rPr>
        <w:t>vijf</w:t>
      </w:r>
      <w:r w:rsidRPr="00B65B22" w:rsidR="008656B3">
        <w:rPr>
          <w:rFonts w:cs="Arial"/>
          <w:szCs w:val="20"/>
        </w:rPr>
        <w:t xml:space="preserve">de lid niet voor de desbetreffende activiteiten van een onderneming als die onderneming, of een daarmee nauw verbonden onderneming, in dezelfde staat samenhangende activiteiten uitoefent waarvoor een </w:t>
      </w:r>
      <w:r w:rsidRPr="00B65B22" w:rsidR="008656B3">
        <w:t xml:space="preserve">vaste inrichting aanwezig wordt geacht. Volgens onderdeel b </w:t>
      </w:r>
      <w:r w:rsidRPr="00B65B22" w:rsidR="008656B3">
        <w:rPr>
          <w:rFonts w:cs="Arial"/>
          <w:szCs w:val="20"/>
        </w:rPr>
        <w:t xml:space="preserve">gelden de uitzonderingen van het </w:t>
      </w:r>
      <w:r w:rsidRPr="00B65B22" w:rsidR="000E4C65">
        <w:rPr>
          <w:rFonts w:cs="Arial"/>
          <w:szCs w:val="20"/>
        </w:rPr>
        <w:t>vijf</w:t>
      </w:r>
      <w:r w:rsidRPr="00B65B22" w:rsidR="008656B3">
        <w:rPr>
          <w:rFonts w:cs="Arial"/>
          <w:szCs w:val="20"/>
        </w:rPr>
        <w:t>de lid voorts niet als de desbetreffende samenhangende activiteiten van een onderneming en een daarmee nauw verbonden onderneming tezamen genomen niet van voorbereidende aard of ondersteunend van karakter zijn.</w:t>
      </w:r>
      <w:r w:rsidRPr="00B65B22" w:rsidR="00F5785D">
        <w:rPr>
          <w:rFonts w:cs="Arial"/>
          <w:szCs w:val="20"/>
        </w:rPr>
        <w:t xml:space="preserve"> </w:t>
      </w:r>
    </w:p>
    <w:p w:rsidRPr="00B65B22" w:rsidR="00521FA4" w:rsidP="00521FA4" w:rsidRDefault="00521FA4" w14:paraId="553094D2" w14:textId="5009BC91">
      <w:pPr>
        <w:tabs>
          <w:tab w:val="left" w:pos="709"/>
        </w:tabs>
        <w:ind w:firstLine="567"/>
        <w:rPr>
          <w:color w:val="211D1F"/>
          <w:szCs w:val="18"/>
        </w:rPr>
      </w:pPr>
      <w:r w:rsidRPr="00B65B22">
        <w:rPr>
          <w:rFonts w:eastAsia="SimSun" w:cs="Arial"/>
          <w:kern w:val="3"/>
          <w:szCs w:val="20"/>
          <w:lang w:eastAsia="zh-CN" w:bidi="hi-IN"/>
        </w:rPr>
        <w:t xml:space="preserve">Het zevende lid </w:t>
      </w:r>
      <w:r w:rsidR="00F83EE2">
        <w:rPr>
          <w:rFonts w:eastAsia="SimSun" w:cs="Arial"/>
          <w:kern w:val="3"/>
          <w:szCs w:val="20"/>
          <w:lang w:eastAsia="zh-CN" w:bidi="hi-IN"/>
        </w:rPr>
        <w:t>ziet op</w:t>
      </w:r>
      <w:r w:rsidRPr="00F83EE2">
        <w:rPr>
          <w:rFonts w:eastAsia="SimSun" w:cs="Arial"/>
          <w:kern w:val="3"/>
          <w:szCs w:val="20"/>
          <w:lang w:eastAsia="zh-CN" w:bidi="hi-IN"/>
        </w:rPr>
        <w:t xml:space="preserve"> situaties waarin een persoon – die geen onafhankelijke vertegenwoordi</w:t>
      </w:r>
      <w:r w:rsidRPr="00B65B22">
        <w:rPr>
          <w:rFonts w:eastAsia="SimSun" w:cs="Arial"/>
          <w:kern w:val="3"/>
          <w:szCs w:val="20"/>
          <w:lang w:eastAsia="zh-CN" w:bidi="hi-IN"/>
        </w:rPr>
        <w:t xml:space="preserve">ger is als bedoeld in het achtste lid – uit de aard van zijn werkzaamheden de onderneming (principaal) in een bepaalde mate betrekt bij economische activiteiten in de betreffende verdragsluitende staat. Als een persoon gewoonlijk contracten afsluit of gewoonlijk de belangrijkste rol vervult bij het afsluiten van contracten die stelselmatig worden afgesloten zonder materiële aanpassing door de principaal, wordt niet alleen een vaste inrichting aanwezig geacht als de contracten op naam van de principaal worden afgesloten (onderdeel a), maar ook als deze contracten betrekking hebben op eigendomsoverdracht of het verlenen van een gebruiksrecht aan een klant van goederen die aan de principaal toebehoren of waarvan de onderneming het gebruiksrecht heeft (onderdeel b) of op het verstrekken van diensten aan een klant door de principaal (onderdeel c). Een vaste inrichting wordt echter niet aanwezig geacht als de activiteiten niet zouden leiden tot een vaste inrichting onder het Verdrag als deze activiteiten door de onderneming (principaal) zelf zouden worden uitgeoefend vanuit een vaste bedrijfsinrichting in de </w:t>
      </w:r>
      <w:r w:rsidRPr="00B65B22" w:rsidR="006454AA">
        <w:rPr>
          <w:rFonts w:eastAsia="SimSun" w:cs="Arial"/>
          <w:kern w:val="3"/>
          <w:szCs w:val="20"/>
          <w:lang w:eastAsia="zh-CN" w:bidi="hi-IN"/>
        </w:rPr>
        <w:t xml:space="preserve">betreffende </w:t>
      </w:r>
      <w:r w:rsidRPr="00B65B22">
        <w:rPr>
          <w:rFonts w:eastAsia="SimSun" w:cs="Arial"/>
          <w:kern w:val="3"/>
          <w:szCs w:val="20"/>
          <w:lang w:eastAsia="zh-CN" w:bidi="hi-IN"/>
        </w:rPr>
        <w:t>verdragsluitende staat.</w:t>
      </w:r>
      <w:r w:rsidRPr="00B65B22">
        <w:rPr>
          <w:color w:val="211D1F"/>
          <w:szCs w:val="18"/>
        </w:rPr>
        <w:t xml:space="preserve"> </w:t>
      </w:r>
    </w:p>
    <w:p w:rsidRPr="009C6DBA" w:rsidR="00361A9F" w:rsidP="00901C1E" w:rsidRDefault="00361A9F" w14:paraId="43CA0FD6" w14:textId="77777777">
      <w:pPr>
        <w:ind w:firstLine="720"/>
        <w:rPr>
          <w:rFonts w:cs="Arial"/>
          <w:szCs w:val="20"/>
        </w:rPr>
      </w:pPr>
      <w:r w:rsidRPr="00B65B22">
        <w:rPr>
          <w:rFonts w:cs="Arial"/>
          <w:szCs w:val="20"/>
        </w:rPr>
        <w:t>Gelet op het voorbehoud dat Nederland heeft gemaakt bij artikel XII van het MLI</w:t>
      </w:r>
      <w:r w:rsidRPr="00CF0A8D">
        <w:rPr>
          <w:rFonts w:cs="Arial"/>
          <w:szCs w:val="20"/>
          <w:vertAlign w:val="superscript"/>
        </w:rPr>
        <w:footnoteReference w:id="19"/>
      </w:r>
      <w:r w:rsidRPr="00B65B22">
        <w:rPr>
          <w:rFonts w:cs="Arial"/>
          <w:szCs w:val="20"/>
        </w:rPr>
        <w:t xml:space="preserve"> is hierbij van belang dat de bepaling in het Verdrag over de aan vaste inrichtingen toe te rekenen winst (artikel 7 van het Verdrag) in lijn is met de actuele bepaling van het OESO-modelverdrag en da</w:t>
      </w:r>
      <w:r w:rsidRPr="00B65B22" w:rsidR="000D7280">
        <w:rPr>
          <w:rFonts w:cs="Arial"/>
          <w:szCs w:val="20"/>
        </w:rPr>
        <w:t xml:space="preserve">t in </w:t>
      </w:r>
      <w:r w:rsidRPr="00B65B22">
        <w:rPr>
          <w:rFonts w:cs="Arial"/>
          <w:szCs w:val="20"/>
        </w:rPr>
        <w:t>artike</w:t>
      </w:r>
      <w:r w:rsidRPr="002A5A61" w:rsidR="000D7280">
        <w:rPr>
          <w:rFonts w:cs="Arial"/>
          <w:szCs w:val="20"/>
        </w:rPr>
        <w:t>l 23</w:t>
      </w:r>
      <w:r w:rsidRPr="00CF0A8D" w:rsidR="000963FE">
        <w:rPr>
          <w:rFonts w:cs="Arial"/>
          <w:szCs w:val="20"/>
        </w:rPr>
        <w:t>, vijfde lid,</w:t>
      </w:r>
      <w:r w:rsidRPr="00CF0A8D" w:rsidR="000D7280">
        <w:rPr>
          <w:rFonts w:cs="Arial"/>
          <w:szCs w:val="20"/>
        </w:rPr>
        <w:t xml:space="preserve"> van het Verdrag</w:t>
      </w:r>
      <w:r w:rsidRPr="00CF0A8D">
        <w:rPr>
          <w:rFonts w:cs="Arial"/>
          <w:szCs w:val="20"/>
        </w:rPr>
        <w:t xml:space="preserve"> </w:t>
      </w:r>
      <w:r w:rsidRPr="00CF0A8D" w:rsidR="005A4D4A">
        <w:rPr>
          <w:rFonts w:cs="Arial"/>
          <w:szCs w:val="20"/>
        </w:rPr>
        <w:t xml:space="preserve">een </w:t>
      </w:r>
      <w:r w:rsidRPr="009C6DBA" w:rsidR="000963FE">
        <w:rPr>
          <w:rFonts w:cs="Arial"/>
          <w:szCs w:val="20"/>
        </w:rPr>
        <w:t>regeling</w:t>
      </w:r>
      <w:r w:rsidRPr="009C6DBA" w:rsidR="005A4D4A">
        <w:rPr>
          <w:rFonts w:cs="Arial"/>
          <w:szCs w:val="20"/>
        </w:rPr>
        <w:t xml:space="preserve"> is opgenomen inzake </w:t>
      </w:r>
      <w:r w:rsidRPr="009C6DBA">
        <w:rPr>
          <w:rFonts w:cs="Arial"/>
          <w:szCs w:val="20"/>
        </w:rPr>
        <w:t>verplichte en bindende arbitrage als sluitstuk van de onderlinge overlegprocedure</w:t>
      </w:r>
      <w:r w:rsidRPr="009C6DBA" w:rsidR="000963FE">
        <w:rPr>
          <w:rFonts w:cs="Arial"/>
          <w:szCs w:val="20"/>
        </w:rPr>
        <w:t xml:space="preserve"> (zie verder de toelichting op de artikelen 23 en 28 van het Verdrag)</w:t>
      </w:r>
      <w:r w:rsidRPr="009C6DBA">
        <w:rPr>
          <w:rFonts w:cs="Arial"/>
          <w:szCs w:val="20"/>
        </w:rPr>
        <w:t xml:space="preserve">. </w:t>
      </w:r>
    </w:p>
    <w:p w:rsidRPr="00111169" w:rsidR="00521FA4" w:rsidP="00521FA4" w:rsidRDefault="00521FA4" w14:paraId="39CE4C86" w14:textId="77777777">
      <w:pPr>
        <w:tabs>
          <w:tab w:val="left" w:pos="709"/>
        </w:tabs>
        <w:ind w:firstLine="567"/>
        <w:rPr>
          <w:rFonts w:eastAsia="SimSun" w:cs="Arial"/>
          <w:kern w:val="3"/>
          <w:szCs w:val="20"/>
          <w:lang w:eastAsia="zh-CN" w:bidi="hi-IN"/>
        </w:rPr>
      </w:pPr>
      <w:r w:rsidRPr="009C6DBA">
        <w:rPr>
          <w:rFonts w:eastAsia="SimSun" w:cs="Arial"/>
          <w:kern w:val="3"/>
          <w:szCs w:val="20"/>
          <w:lang w:eastAsia="zh-CN" w:bidi="hi-IN"/>
        </w:rPr>
        <w:t>Het achtste lid geeft aan wanneer een persoon die handelt voor een onderneming niet als vaste inrichting moet worden aangemerkt. Daarbij wordt meer duiding gegeven aan het onafhankelijke karakter van d</w:t>
      </w:r>
      <w:r w:rsidRPr="00111169">
        <w:rPr>
          <w:rFonts w:eastAsia="SimSun" w:cs="Arial"/>
          <w:kern w:val="3"/>
          <w:szCs w:val="20"/>
          <w:lang w:eastAsia="zh-CN" w:bidi="hi-IN"/>
        </w:rPr>
        <w:t>e vertegenwoordiger die voor de onderneming handelt in de normale uitoefening van zijn bedrijf.</w:t>
      </w:r>
    </w:p>
    <w:p w:rsidRPr="00B65B22" w:rsidR="008656B3" w:rsidP="00521456" w:rsidRDefault="008656B3" w14:paraId="3A5A8AF8" w14:textId="77777777">
      <w:pPr>
        <w:outlineLvl w:val="2"/>
        <w:rPr>
          <w:rFonts w:cs="Arial"/>
          <w:i/>
          <w:iCs/>
          <w:szCs w:val="20"/>
        </w:rPr>
      </w:pPr>
      <w:r w:rsidRPr="00363E1C">
        <w:rPr>
          <w:rFonts w:eastAsia="SimSun" w:cs="Arial"/>
          <w:kern w:val="3"/>
          <w:szCs w:val="20"/>
          <w:lang w:eastAsia="zh-CN" w:bidi="hi-IN"/>
        </w:rPr>
        <w:t xml:space="preserve">In het </w:t>
      </w:r>
      <w:r w:rsidRPr="00363E1C" w:rsidR="008A7372">
        <w:rPr>
          <w:rFonts w:eastAsia="SimSun" w:cs="Arial"/>
          <w:kern w:val="3"/>
          <w:szCs w:val="20"/>
          <w:lang w:eastAsia="zh-CN" w:bidi="hi-IN"/>
        </w:rPr>
        <w:t>negende</w:t>
      </w:r>
      <w:r w:rsidRPr="00363E1C">
        <w:rPr>
          <w:rFonts w:eastAsia="SimSun" w:cs="Arial"/>
          <w:kern w:val="3"/>
          <w:szCs w:val="20"/>
          <w:lang w:eastAsia="zh-CN" w:bidi="hi-IN"/>
        </w:rPr>
        <w:t xml:space="preserve"> lid wordt omschreven wanneer een persoon voor de toepassing van artikel 5 nauw verbonden is met een onderneming. Dit is van belang voor de bepalingen van het zesde en van het achtste lid.</w:t>
      </w:r>
      <w:r w:rsidRPr="00363E1C" w:rsidR="00521456">
        <w:rPr>
          <w:rFonts w:eastAsia="SimSun" w:cs="Arial"/>
          <w:kern w:val="3"/>
          <w:szCs w:val="20"/>
          <w:lang w:eastAsia="zh-CN" w:bidi="hi-IN"/>
        </w:rPr>
        <w:t xml:space="preserve"> </w:t>
      </w:r>
      <w:r w:rsidRPr="00363E1C">
        <w:t xml:space="preserve">Een persoon wordt </w:t>
      </w:r>
      <w:r w:rsidRPr="000F52B8">
        <w:t xml:space="preserve">geacht nauw te zijn verbonden met een onderneming indien die persoon, gebaseerd op alle feiten en omstandigheden, </w:t>
      </w:r>
      <w:r w:rsidRPr="002006EE">
        <w:rPr>
          <w:rFonts w:cs="Arial"/>
          <w:szCs w:val="20"/>
        </w:rPr>
        <w:t xml:space="preserve">controle heeft over de onderneming of </w:t>
      </w:r>
      <w:r w:rsidRPr="002006EE" w:rsidR="00A53886">
        <w:rPr>
          <w:rFonts w:cs="Arial"/>
          <w:szCs w:val="20"/>
        </w:rPr>
        <w:t>omgekeerd</w:t>
      </w:r>
      <w:r w:rsidRPr="002006EE">
        <w:rPr>
          <w:rFonts w:cs="Arial"/>
          <w:szCs w:val="20"/>
        </w:rPr>
        <w:t>, of dat beiden</w:t>
      </w:r>
      <w:r w:rsidRPr="008B1145">
        <w:rPr>
          <w:rFonts w:cs="Arial"/>
          <w:szCs w:val="20"/>
        </w:rPr>
        <w:t xml:space="preserve"> onder controle staan van dezelfde personen of ondernemingen. Een persoon wordt in ieder geval aangemerkt als nauw verbonden met een onderneming als:</w:t>
      </w:r>
      <w:r w:rsidRPr="008B1145">
        <w:rPr>
          <w:rFonts w:cs="Arial"/>
          <w:i/>
          <w:iCs/>
          <w:szCs w:val="20"/>
        </w:rPr>
        <w:t xml:space="preserve"> </w:t>
      </w:r>
      <w:r w:rsidRPr="008B1145">
        <w:rPr>
          <w:rFonts w:cs="Arial"/>
          <w:i/>
          <w:iCs/>
          <w:szCs w:val="20"/>
        </w:rPr>
        <w:br/>
        <w:t xml:space="preserve">- </w:t>
      </w:r>
      <w:r w:rsidRPr="008B1145">
        <w:rPr>
          <w:rFonts w:cs="Arial"/>
          <w:szCs w:val="20"/>
        </w:rPr>
        <w:t>de een direct of indirect meer dan 50</w:t>
      </w:r>
      <w:r w:rsidRPr="00F83EE2">
        <w:rPr>
          <w:rFonts w:cs="Arial"/>
          <w:szCs w:val="20"/>
        </w:rPr>
        <w:t xml:space="preserve">% belang heeft in de ander (in het geval van een lichaam, meer dan 50% van het totale aantal stemmen en de waarde van de aandelen van het lichaam of meer dan 50% </w:t>
      </w:r>
      <w:r w:rsidRPr="006E2C98">
        <w:rPr>
          <w:rFonts w:cs="Arial"/>
          <w:szCs w:val="20"/>
        </w:rPr>
        <w:t>van het belang als uiteindelijk gerechtigde in het vermogen van het lichaam)</w:t>
      </w:r>
      <w:r w:rsidRPr="00B65B22">
        <w:rPr>
          <w:rFonts w:cs="Arial"/>
          <w:szCs w:val="20"/>
        </w:rPr>
        <w:t xml:space="preserve">; of </w:t>
      </w:r>
    </w:p>
    <w:p w:rsidRPr="00B65B22" w:rsidR="008656B3" w:rsidP="008656B3" w:rsidRDefault="008656B3" w14:paraId="3E922136" w14:textId="77777777">
      <w:pPr>
        <w:ind w:firstLine="0"/>
        <w:rPr>
          <w:rFonts w:cs="Arial"/>
          <w:szCs w:val="20"/>
        </w:rPr>
      </w:pPr>
      <w:r w:rsidRPr="00B65B22">
        <w:rPr>
          <w:rFonts w:cs="Arial"/>
          <w:szCs w:val="20"/>
        </w:rPr>
        <w:t>- een andere persoon direct of indirect meer dan 50% belang heeft in de persoon en in de onderneming.</w:t>
      </w:r>
    </w:p>
    <w:p w:rsidRPr="00B65B22" w:rsidR="008656B3" w:rsidP="008656B3" w:rsidRDefault="008656B3" w14:paraId="0710FBA6" w14:textId="77777777">
      <w:pPr>
        <w:ind w:firstLine="708"/>
        <w:rPr>
          <w:rFonts w:cs="Arial"/>
          <w:szCs w:val="20"/>
          <w:highlight w:val="yellow"/>
        </w:rPr>
      </w:pPr>
      <w:r w:rsidRPr="00B65B22">
        <w:rPr>
          <w:rFonts w:eastAsia="SimSun" w:cs="Arial"/>
          <w:kern w:val="3"/>
          <w:szCs w:val="20"/>
          <w:lang w:eastAsia="zh-CN" w:bidi="hi-IN"/>
        </w:rPr>
        <w:t xml:space="preserve">Het </w:t>
      </w:r>
      <w:r w:rsidRPr="00B65B22" w:rsidR="00100DFF">
        <w:rPr>
          <w:rFonts w:eastAsia="SimSun" w:cs="Arial"/>
          <w:kern w:val="3"/>
          <w:szCs w:val="20"/>
          <w:lang w:eastAsia="zh-CN" w:bidi="hi-IN"/>
        </w:rPr>
        <w:t xml:space="preserve">tiende </w:t>
      </w:r>
      <w:r w:rsidRPr="00B65B22">
        <w:rPr>
          <w:rFonts w:eastAsia="SimSun" w:cs="Arial"/>
          <w:kern w:val="3"/>
          <w:szCs w:val="20"/>
          <w:lang w:eastAsia="zh-CN" w:bidi="hi-IN"/>
        </w:rPr>
        <w:t xml:space="preserve">lid bepaalt dat de enkele omstandigheid dat een lichaam </w:t>
      </w:r>
      <w:r w:rsidRPr="00B65B22" w:rsidR="004735DE">
        <w:rPr>
          <w:rFonts w:eastAsia="SimSun" w:cs="Arial"/>
          <w:kern w:val="3"/>
          <w:szCs w:val="20"/>
          <w:lang w:eastAsia="zh-CN" w:bidi="hi-IN"/>
        </w:rPr>
        <w:t xml:space="preserve">dat </w:t>
      </w:r>
      <w:r w:rsidRPr="00B65B22">
        <w:rPr>
          <w:rFonts w:eastAsia="SimSun" w:cs="Arial"/>
          <w:kern w:val="3"/>
          <w:szCs w:val="20"/>
          <w:lang w:eastAsia="zh-CN" w:bidi="hi-IN"/>
        </w:rPr>
        <w:t xml:space="preserve">inwoner is van een verdragsluitende staat, een lichaam beheerst dat in de andere verdragsluitende staat is gevestigd, dan wel in die andere staat door middel van een vaste inrichting of anderszins </w:t>
      </w:r>
      <w:r w:rsidRPr="00B65B22" w:rsidR="00207868">
        <w:rPr>
          <w:rFonts w:eastAsia="SimSun" w:cs="Arial"/>
          <w:kern w:val="3"/>
          <w:szCs w:val="20"/>
          <w:lang w:eastAsia="zh-CN" w:bidi="hi-IN"/>
        </w:rPr>
        <w:t>zakendoet</w:t>
      </w:r>
      <w:r w:rsidRPr="00B65B22">
        <w:rPr>
          <w:rFonts w:eastAsia="SimSun" w:cs="Arial"/>
          <w:kern w:val="3"/>
          <w:szCs w:val="20"/>
          <w:lang w:eastAsia="zh-CN" w:bidi="hi-IN"/>
        </w:rPr>
        <w:t>, niet meebrengt dat een van deze lichamen een vaste inrichting vormt van het andere lichaam.</w:t>
      </w:r>
    </w:p>
    <w:p w:rsidRPr="00B65B22" w:rsidR="007B6437" w:rsidP="00901C1E" w:rsidRDefault="007B6437" w14:paraId="3192B96A" w14:textId="77777777">
      <w:pPr>
        <w:pStyle w:val="Kop2"/>
        <w:numPr>
          <w:ilvl w:val="1"/>
          <w:numId w:val="1"/>
        </w:numPr>
        <w:rPr>
          <w:b w:val="0"/>
          <w:i/>
        </w:rPr>
      </w:pPr>
      <w:r w:rsidRPr="00B65B22">
        <w:rPr>
          <w:b w:val="0"/>
          <w:i/>
        </w:rPr>
        <w:t>Inkomsten uit onroerende zaken (artikel 6</w:t>
      </w:r>
      <w:r w:rsidRPr="00B65B22" w:rsidR="00F05AE9">
        <w:rPr>
          <w:b w:val="0"/>
          <w:i/>
        </w:rPr>
        <w:t xml:space="preserve"> van het Verdrag</w:t>
      </w:r>
      <w:r w:rsidRPr="00B65B22">
        <w:rPr>
          <w:b w:val="0"/>
          <w:i/>
        </w:rPr>
        <w:t>)</w:t>
      </w:r>
    </w:p>
    <w:p w:rsidRPr="00B65B22" w:rsidR="00B35742" w:rsidP="00B35742" w:rsidRDefault="00B35742" w14:paraId="64DFF47E" w14:textId="77777777">
      <w:pPr>
        <w:ind w:firstLine="720"/>
      </w:pPr>
      <w:r w:rsidRPr="00B65B22">
        <w:t xml:space="preserve">Artikel 6 </w:t>
      </w:r>
      <w:r w:rsidRPr="00B65B22" w:rsidR="006D6E8D">
        <w:rPr>
          <w:rFonts w:cs="Arial"/>
          <w:bCs/>
          <w:iCs/>
          <w:szCs w:val="20"/>
        </w:rPr>
        <w:t xml:space="preserve">van het Verdrag </w:t>
      </w:r>
      <w:r w:rsidRPr="00B65B22">
        <w:t xml:space="preserve">ziet op inkomsten uit onroerende zaken. Deze bepaling stemt geheel overeen met artikel 6 van het OESO-modelverdrag. </w:t>
      </w:r>
    </w:p>
    <w:p w:rsidRPr="00B65B22" w:rsidR="007B6437" w:rsidP="007B6437" w:rsidRDefault="001E1968" w14:paraId="7EB36F92" w14:textId="77777777">
      <w:r w:rsidRPr="00B65B22">
        <w:t>In h</w:t>
      </w:r>
      <w:r w:rsidRPr="00B65B22" w:rsidR="00770EA0">
        <w:t>et eerste lid is bepaal</w:t>
      </w:r>
      <w:r w:rsidRPr="00B65B22">
        <w:t>d</w:t>
      </w:r>
      <w:r w:rsidRPr="00B65B22" w:rsidR="007B6437">
        <w:t xml:space="preserve"> dat inkomsten die een inwoner va</w:t>
      </w:r>
      <w:r w:rsidRPr="00B65B22" w:rsidR="00770EA0">
        <w:t xml:space="preserve">n een </w:t>
      </w:r>
      <w:r w:rsidRPr="00B65B22" w:rsidR="00AF2710">
        <w:t>verdragsluitende</w:t>
      </w:r>
      <w:r w:rsidRPr="00B65B22" w:rsidR="00770EA0">
        <w:t xml:space="preserve"> </w:t>
      </w:r>
      <w:r w:rsidRPr="00B65B22" w:rsidR="008319A7">
        <w:t>staat</w:t>
      </w:r>
      <w:r w:rsidRPr="00B65B22" w:rsidR="00770EA0">
        <w:t xml:space="preserve"> </w:t>
      </w:r>
      <w:r w:rsidRPr="00B65B22" w:rsidR="007B6437">
        <w:t xml:space="preserve">krijgt uit onroerende zaken (inkomsten uit landbouw- of bosbedrijven daaronder begrepen) </w:t>
      </w:r>
      <w:r w:rsidRPr="00B65B22" w:rsidR="00770EA0">
        <w:t>gelegen</w:t>
      </w:r>
      <w:r w:rsidRPr="00B65B22" w:rsidR="007B6437">
        <w:t xml:space="preserve"> in de andere </w:t>
      </w:r>
      <w:r w:rsidRPr="00B65B22" w:rsidR="00AF2710">
        <w:t>verdragsluitende</w:t>
      </w:r>
      <w:r w:rsidRPr="00B65B22" w:rsidR="007B6437">
        <w:t xml:space="preserve"> </w:t>
      </w:r>
      <w:r w:rsidRPr="00B65B22">
        <w:t>staat</w:t>
      </w:r>
      <w:r w:rsidRPr="00B65B22" w:rsidR="007B6437">
        <w:t xml:space="preserve">, in die andere </w:t>
      </w:r>
      <w:r w:rsidRPr="00B65B22">
        <w:t>staat</w:t>
      </w:r>
      <w:r w:rsidRPr="00B65B22" w:rsidR="007B6437">
        <w:t xml:space="preserve"> mogen worden belast. </w:t>
      </w:r>
    </w:p>
    <w:p w:rsidRPr="00B65B22" w:rsidR="00770EA0" w:rsidP="00770EA0" w:rsidRDefault="001E1968" w14:paraId="44CC2029" w14:textId="77777777">
      <w:pPr>
        <w:ind w:firstLine="720"/>
      </w:pPr>
      <w:r w:rsidRPr="00B65B22">
        <w:t xml:space="preserve">Volgens </w:t>
      </w:r>
      <w:r w:rsidRPr="00B65B22" w:rsidR="00770EA0">
        <w:t xml:space="preserve">het tweede lid heeft de uitdrukking </w:t>
      </w:r>
      <w:r w:rsidRPr="00B65B22" w:rsidR="00035271">
        <w:t>“</w:t>
      </w:r>
      <w:r w:rsidRPr="00B65B22" w:rsidR="00770EA0">
        <w:t>onroerende zaken</w:t>
      </w:r>
      <w:r w:rsidRPr="00B65B22" w:rsidR="00035271">
        <w:t>”</w:t>
      </w:r>
      <w:r w:rsidRPr="00B65B22" w:rsidR="00770EA0">
        <w:t xml:space="preserve"> de betekenis </w:t>
      </w:r>
      <w:r w:rsidRPr="00B65B22">
        <w:t xml:space="preserve">welke die uitdrukking heeft ingevolge </w:t>
      </w:r>
      <w:r w:rsidRPr="00B65B22" w:rsidR="00770EA0">
        <w:t xml:space="preserve">het recht van de </w:t>
      </w:r>
      <w:r w:rsidRPr="00B65B22" w:rsidR="00AF2710">
        <w:t>verdragsluitende</w:t>
      </w:r>
      <w:r w:rsidRPr="00B65B22" w:rsidR="00770EA0">
        <w:t xml:space="preserve"> </w:t>
      </w:r>
      <w:r w:rsidRPr="00B65B22">
        <w:t>staat</w:t>
      </w:r>
      <w:r w:rsidRPr="00B65B22" w:rsidR="00770EA0">
        <w:t xml:space="preserve"> waar de onroerende zaken zijn gelegen. Het tweede lid bepaalt verder dat de uitdrukking in </w:t>
      </w:r>
      <w:r w:rsidRPr="00B65B22" w:rsidR="00C5487C">
        <w:t xml:space="preserve">ieder </w:t>
      </w:r>
      <w:r w:rsidRPr="00B65B22" w:rsidR="00770EA0">
        <w:t>geval omvat zaken die bij de onroerende zaken behoren, levende en dode have van land</w:t>
      </w:r>
      <w:r w:rsidRPr="00B65B22">
        <w:t>bouw</w:t>
      </w:r>
      <w:r w:rsidRPr="00B65B22" w:rsidR="00770EA0">
        <w:t>- en bo</w:t>
      </w:r>
      <w:r w:rsidRPr="00B65B22">
        <w:t>s</w:t>
      </w:r>
      <w:r w:rsidRPr="00B65B22" w:rsidR="00770EA0">
        <w:t>bedrijven, rechten waarop de bepalingen van het privaatrecht betreffende de grondeigendom van toepassing zijn, vruchtgebruik van onroerende zaken en rechten op variabele of vaste vergoedingen ter zake van de exploitatie of het recht tot de exploitatie van minerale aardlagen, bronnen en andere natuurlijke rijkdommen. Schepen</w:t>
      </w:r>
      <w:r w:rsidRPr="00B65B22">
        <w:t xml:space="preserve"> en</w:t>
      </w:r>
      <w:r w:rsidRPr="00B65B22" w:rsidR="00770EA0">
        <w:t xml:space="preserve"> luchtvaartuigen worden </w:t>
      </w:r>
      <w:r w:rsidRPr="00B65B22" w:rsidR="001C3964">
        <w:t xml:space="preserve">daarentegen uitdrukkelijk </w:t>
      </w:r>
      <w:r w:rsidRPr="00B65B22" w:rsidR="00770EA0">
        <w:t xml:space="preserve">niet </w:t>
      </w:r>
      <w:r w:rsidRPr="00B65B22" w:rsidR="001C3964">
        <w:t xml:space="preserve">beschouwd </w:t>
      </w:r>
      <w:r w:rsidRPr="00B65B22" w:rsidR="00770EA0">
        <w:t xml:space="preserve">als onroerende zaken. </w:t>
      </w:r>
    </w:p>
    <w:p w:rsidRPr="00B65B22" w:rsidR="00770EA0" w:rsidP="00770EA0" w:rsidRDefault="001C3964" w14:paraId="65FAA2ED" w14:textId="77777777">
      <w:pPr>
        <w:ind w:firstLine="720"/>
      </w:pPr>
      <w:r w:rsidRPr="00B65B22">
        <w:t xml:space="preserve">Op grond van </w:t>
      </w:r>
      <w:r w:rsidRPr="00B65B22" w:rsidR="00770EA0">
        <w:t xml:space="preserve">het derde lid zijn de bepalingen van het eerste lid van toepassing op inkomsten verkregen uit de rechtstreekse exploitatie, het verhuren </w:t>
      </w:r>
      <w:r w:rsidRPr="00B65B22" w:rsidR="00035271">
        <w:t xml:space="preserve">of </w:t>
      </w:r>
      <w:r w:rsidRPr="00B65B22" w:rsidR="00B25E6B">
        <w:t xml:space="preserve">de </w:t>
      </w:r>
      <w:r w:rsidRPr="00B65B22" w:rsidR="00035271">
        <w:t>exploitatie in</w:t>
      </w:r>
      <w:r w:rsidRPr="00B65B22" w:rsidR="00770EA0">
        <w:t xml:space="preserve"> elke andere vorm van onroerende zaken.</w:t>
      </w:r>
    </w:p>
    <w:p w:rsidRPr="00B65B22" w:rsidR="00770EA0" w:rsidP="00840025" w:rsidRDefault="00770EA0" w14:paraId="5B495CBA" w14:textId="77777777">
      <w:pPr>
        <w:ind w:firstLine="720"/>
      </w:pPr>
      <w:r w:rsidRPr="00B65B22">
        <w:t xml:space="preserve">Ingevolge het vierde lid zijn de bepalingen van het eerste en derde lid ook van toepassing op inkomsten uit onroerende zaken van een onderneming. </w:t>
      </w:r>
    </w:p>
    <w:p w:rsidRPr="00B65B22" w:rsidR="007B6437" w:rsidP="00901C1E" w:rsidRDefault="007B6437" w14:paraId="2877245D" w14:textId="77777777">
      <w:pPr>
        <w:pStyle w:val="Kop2"/>
        <w:numPr>
          <w:ilvl w:val="1"/>
          <w:numId w:val="1"/>
        </w:numPr>
        <w:rPr>
          <w:b w:val="0"/>
          <w:i/>
        </w:rPr>
      </w:pPr>
      <w:r w:rsidRPr="00B65B22">
        <w:rPr>
          <w:b w:val="0"/>
          <w:i/>
        </w:rPr>
        <w:t>Winst uit onderneming (artikel 7</w:t>
      </w:r>
      <w:r w:rsidRPr="00B65B22" w:rsidR="00F05AE9">
        <w:rPr>
          <w:b w:val="0"/>
          <w:i/>
        </w:rPr>
        <w:t xml:space="preserve"> van het Verdrag</w:t>
      </w:r>
      <w:r w:rsidRPr="00B65B22" w:rsidR="00F33A47">
        <w:rPr>
          <w:b w:val="0"/>
          <w:i/>
        </w:rPr>
        <w:t>)</w:t>
      </w:r>
    </w:p>
    <w:p w:rsidRPr="00B65B22" w:rsidR="001E093C" w:rsidP="00F33A47" w:rsidRDefault="00F33A47" w14:paraId="7DBAC0A0" w14:textId="77777777">
      <w:r w:rsidRPr="00B65B22">
        <w:t xml:space="preserve">Artikel 7 van </w:t>
      </w:r>
      <w:r w:rsidRPr="00B65B22" w:rsidR="006D6E8D">
        <w:rPr>
          <w:rFonts w:cs="Arial"/>
          <w:bCs/>
          <w:iCs/>
          <w:szCs w:val="20"/>
        </w:rPr>
        <w:t xml:space="preserve">het Verdrag </w:t>
      </w:r>
      <w:r w:rsidRPr="00B65B22" w:rsidR="00725A1F">
        <w:rPr>
          <w:rFonts w:cs="Arial"/>
          <w:szCs w:val="20"/>
        </w:rPr>
        <w:t xml:space="preserve">betreft de verdeling van heffingsrechten over ondernemingswinsten. </w:t>
      </w:r>
      <w:r w:rsidRPr="00B65B22" w:rsidR="00E83765">
        <w:rPr>
          <w:rFonts w:cs="Arial"/>
          <w:szCs w:val="20"/>
        </w:rPr>
        <w:t>Deze bepaling stemt geheel overeen met artikel 7 van het OESO-modelverdrag</w:t>
      </w:r>
      <w:r w:rsidRPr="00B65B22" w:rsidR="00AF12DA">
        <w:rPr>
          <w:rFonts w:cs="Arial"/>
          <w:szCs w:val="20"/>
        </w:rPr>
        <w:t>.</w:t>
      </w:r>
    </w:p>
    <w:p w:rsidRPr="00B65B22" w:rsidR="001E093C" w:rsidRDefault="00355E88" w14:paraId="007CA6DA" w14:textId="77777777">
      <w:pPr>
        <w:ind w:firstLine="708"/>
      </w:pPr>
      <w:r w:rsidRPr="00B65B22">
        <w:rPr>
          <w:rFonts w:cs="Arial"/>
          <w:szCs w:val="20"/>
        </w:rPr>
        <w:t>Volgens het eerste lid zijn</w:t>
      </w:r>
      <w:r w:rsidRPr="00B65B22" w:rsidR="00076209">
        <w:t xml:space="preserve"> winsten van een onderneming van een </w:t>
      </w:r>
      <w:r w:rsidRPr="00B65B22">
        <w:t xml:space="preserve">verdragsluitende </w:t>
      </w:r>
      <w:r w:rsidRPr="00B65B22" w:rsidR="00076209">
        <w:t xml:space="preserve">staat slechts in </w:t>
      </w:r>
      <w:r w:rsidRPr="00B65B22" w:rsidR="0070604C">
        <w:t>die</w:t>
      </w:r>
      <w:r w:rsidRPr="00B65B22" w:rsidR="00076209">
        <w:t xml:space="preserve"> staat belastbaar, maar </w:t>
      </w:r>
      <w:r w:rsidRPr="00B65B22">
        <w:t>mag</w:t>
      </w:r>
      <w:r w:rsidRPr="00B65B22" w:rsidR="00076209">
        <w:t xml:space="preserve"> de andere </w:t>
      </w:r>
      <w:r w:rsidRPr="00B65B22" w:rsidR="004735DE">
        <w:t xml:space="preserve">verdragsluitende </w:t>
      </w:r>
      <w:r w:rsidRPr="00B65B22" w:rsidR="00076209">
        <w:t xml:space="preserve">staat de </w:t>
      </w:r>
      <w:r w:rsidRPr="00B65B22">
        <w:t xml:space="preserve">winsten van die onderneming ook </w:t>
      </w:r>
      <w:r w:rsidRPr="00B65B22" w:rsidR="00076209">
        <w:t xml:space="preserve">belasten voor zover de winsten zijn toe te rekenen aan een vaste inrichting </w:t>
      </w:r>
      <w:r w:rsidRPr="00B65B22">
        <w:t>in die staat.</w:t>
      </w:r>
    </w:p>
    <w:p w:rsidRPr="00B65B22" w:rsidR="001E093C" w:rsidRDefault="00076209" w14:paraId="49199BE3" w14:textId="77777777">
      <w:pPr>
        <w:ind w:firstLine="708"/>
      </w:pPr>
      <w:r w:rsidRPr="00B65B22">
        <w:t>In het tweede lid is bepaald dat de winst die aan de vaste inrichting wordt toegerekend de winst is die een zelfstandig lichaam geacht zou worden te maken als het onder vergelijkbare omstandigheden vergelijkbare activiteiten zou ontwikkelen</w:t>
      </w:r>
      <w:r w:rsidRPr="00B65B22" w:rsidR="00AF12DA">
        <w:t xml:space="preserve"> (de zogenoemde</w:t>
      </w:r>
      <w:r w:rsidRPr="00B65B22" w:rsidR="005515AE">
        <w:t xml:space="preserve"> </w:t>
      </w:r>
      <w:r w:rsidRPr="00B65B22" w:rsidR="00355E88">
        <w:t>‘</w:t>
      </w:r>
      <w:r w:rsidRPr="00B65B22" w:rsidR="00D122CA">
        <w:rPr>
          <w:i/>
        </w:rPr>
        <w:t>functionally separate entity approach</w:t>
      </w:r>
      <w:r w:rsidRPr="00B65B22" w:rsidR="00355E88">
        <w:t>’</w:t>
      </w:r>
      <w:r w:rsidRPr="00B65B22" w:rsidR="00224B74">
        <w:t>)</w:t>
      </w:r>
      <w:r w:rsidRPr="00B65B22">
        <w:t xml:space="preserve">. </w:t>
      </w:r>
    </w:p>
    <w:p w:rsidRPr="00B65B22" w:rsidR="001E093C" w:rsidRDefault="00076209" w14:paraId="767E3120" w14:textId="77777777">
      <w:pPr>
        <w:ind w:firstLine="708"/>
      </w:pPr>
      <w:r w:rsidRPr="00B65B22">
        <w:t xml:space="preserve">In het derde lid is vastgelegd dat ingeval een van de </w:t>
      </w:r>
      <w:r w:rsidRPr="00B65B22" w:rsidR="00355E88">
        <w:t>verdragsluitende</w:t>
      </w:r>
      <w:r w:rsidRPr="00B65B22">
        <w:t xml:space="preserve"> staten – in overeenstemming met het tweede lid – een winstcorrectie aanbrengt ter zake van aan een vaste inrichting toe te rekenen winst, de andere </w:t>
      </w:r>
      <w:r w:rsidRPr="00B65B22" w:rsidR="004735DE">
        <w:t xml:space="preserve">verdragsluitende </w:t>
      </w:r>
      <w:r w:rsidRPr="00B65B22">
        <w:t>staat, ter vermijding van dubbele belasting, een</w:t>
      </w:r>
      <w:r w:rsidRPr="00B65B22" w:rsidR="00B37363">
        <w:t xml:space="preserve"> passende </w:t>
      </w:r>
      <w:r w:rsidRPr="00B65B22">
        <w:t>correctie aanbrengt</w:t>
      </w:r>
      <w:r w:rsidRPr="00B65B22" w:rsidR="00F04CF2">
        <w:t>.</w:t>
      </w:r>
      <w:r w:rsidRPr="00B65B22">
        <w:t xml:space="preserve"> </w:t>
      </w:r>
    </w:p>
    <w:p w:rsidRPr="00B65B22" w:rsidR="001E093C" w:rsidRDefault="00076209" w14:paraId="622F7FE0" w14:textId="77777777">
      <w:pPr>
        <w:ind w:firstLine="708"/>
      </w:pPr>
      <w:r w:rsidRPr="00B65B22">
        <w:t>In het vierde lid is bepaald dat als winsten van een vaste inrichting ook o</w:t>
      </w:r>
      <w:r w:rsidRPr="00B65B22" w:rsidR="008C28A6">
        <w:t xml:space="preserve">nder een andere bepaling van het Verdrag </w:t>
      </w:r>
      <w:r w:rsidRPr="00B65B22">
        <w:t xml:space="preserve">vallen, </w:t>
      </w:r>
      <w:r w:rsidRPr="00B65B22" w:rsidR="00715B54">
        <w:t>die andere</w:t>
      </w:r>
      <w:r w:rsidRPr="00B65B22">
        <w:t xml:space="preserve"> bepaling </w:t>
      </w:r>
      <w:r w:rsidRPr="00B65B22" w:rsidR="00EF3288">
        <w:t>voorgaat</w:t>
      </w:r>
      <w:r w:rsidRPr="00B65B22" w:rsidR="008C28A6">
        <w:t>. T</w:t>
      </w:r>
      <w:r w:rsidRPr="00B65B22">
        <w:t xml:space="preserve">e denken valt aan </w:t>
      </w:r>
      <w:r w:rsidRPr="00B65B22" w:rsidR="004E0FF0">
        <w:t xml:space="preserve">de toepassing van </w:t>
      </w:r>
      <w:r w:rsidRPr="00B65B22">
        <w:t>artikel 10 (dividenden)</w:t>
      </w:r>
      <w:r w:rsidRPr="00B65B22" w:rsidR="004E0FF0">
        <w:t xml:space="preserve"> ter zake van dividenden die een onderneming van een verdragsluite</w:t>
      </w:r>
      <w:r w:rsidRPr="00B65B22" w:rsidR="00B6020E">
        <w:t>n</w:t>
      </w:r>
      <w:r w:rsidRPr="00B65B22" w:rsidR="004E0FF0">
        <w:t xml:space="preserve">de staat verkrijgt uit de andere </w:t>
      </w:r>
      <w:r w:rsidRPr="00B65B22" w:rsidR="004735DE">
        <w:t xml:space="preserve">verdragsluitende </w:t>
      </w:r>
      <w:r w:rsidRPr="00B65B22" w:rsidR="004E0FF0">
        <w:t>staat</w:t>
      </w:r>
      <w:r w:rsidRPr="00B65B22">
        <w:t>.</w:t>
      </w:r>
    </w:p>
    <w:p w:rsidRPr="00B65B22" w:rsidR="007B6437" w:rsidP="004735DE" w:rsidRDefault="004735DE" w14:paraId="534999E7" w14:textId="77777777">
      <w:pPr>
        <w:pStyle w:val="Kop2"/>
      </w:pPr>
      <w:r w:rsidRPr="00B65B22">
        <w:rPr>
          <w:b w:val="0"/>
          <w:i/>
        </w:rPr>
        <w:t xml:space="preserve">Internationale </w:t>
      </w:r>
      <w:r w:rsidRPr="00B65B22" w:rsidR="00540859">
        <w:rPr>
          <w:b w:val="0"/>
          <w:i/>
        </w:rPr>
        <w:t>zee</w:t>
      </w:r>
      <w:r w:rsidRPr="00B65B22" w:rsidR="006303C7">
        <w:rPr>
          <w:b w:val="0"/>
          <w:i/>
        </w:rPr>
        <w:t>- en luchtvaart</w:t>
      </w:r>
      <w:r w:rsidRPr="00B65B22" w:rsidR="007B6437">
        <w:rPr>
          <w:b w:val="0"/>
          <w:i/>
        </w:rPr>
        <w:t xml:space="preserve"> (artikel 8</w:t>
      </w:r>
      <w:r w:rsidRPr="00B65B22" w:rsidR="00F05AE9">
        <w:rPr>
          <w:b w:val="0"/>
          <w:i/>
        </w:rPr>
        <w:t xml:space="preserve"> van het Verdrag</w:t>
      </w:r>
      <w:r w:rsidRPr="00B65B22" w:rsidR="007B6437">
        <w:rPr>
          <w:b w:val="0"/>
          <w:i/>
        </w:rPr>
        <w:t>)</w:t>
      </w:r>
    </w:p>
    <w:p w:rsidRPr="00B65B22" w:rsidR="00670692" w:rsidP="00DF348A" w:rsidRDefault="00BE179F" w14:paraId="49A2117A" w14:textId="77777777">
      <w:pPr>
        <w:ind w:left="567" w:firstLine="0"/>
      </w:pPr>
      <w:r w:rsidRPr="00B65B22">
        <w:t xml:space="preserve">Artikel 8 </w:t>
      </w:r>
      <w:r w:rsidRPr="00B65B22" w:rsidR="006D6E8D">
        <w:rPr>
          <w:rFonts w:cs="Arial"/>
          <w:bCs/>
          <w:iCs/>
          <w:szCs w:val="20"/>
        </w:rPr>
        <w:t xml:space="preserve">van het Verdrag </w:t>
      </w:r>
      <w:r w:rsidRPr="00B65B22" w:rsidR="00670692">
        <w:t>bevat bepalingen voor de verdeling van heffingsrechten over wi</w:t>
      </w:r>
      <w:r w:rsidRPr="00B65B22" w:rsidR="00BC0411">
        <w:t>n</w:t>
      </w:r>
      <w:r w:rsidRPr="00B65B22" w:rsidR="00670692">
        <w:t xml:space="preserve">st </w:t>
      </w:r>
      <w:r w:rsidRPr="00B65B22" w:rsidR="00780F1C">
        <w:t xml:space="preserve">verkregen uit de exploitatie van schepen en luchtvaartuigen in </w:t>
      </w:r>
      <w:r w:rsidRPr="00B65B22" w:rsidR="000562CA">
        <w:t xml:space="preserve">het </w:t>
      </w:r>
      <w:r w:rsidRPr="00B65B22" w:rsidR="00780F1C">
        <w:t>international</w:t>
      </w:r>
      <w:r w:rsidRPr="00B65B22" w:rsidR="000562CA">
        <w:t>e</w:t>
      </w:r>
      <w:r w:rsidRPr="00B65B22" w:rsidR="00780F1C">
        <w:t xml:space="preserve"> verkeer</w:t>
      </w:r>
      <w:r w:rsidRPr="00B65B22" w:rsidR="00670692">
        <w:t>.</w:t>
      </w:r>
    </w:p>
    <w:p w:rsidRPr="00B65B22" w:rsidR="00D2257E" w:rsidP="00D2257E" w:rsidRDefault="00670692" w14:paraId="69855800" w14:textId="77777777">
      <w:pPr>
        <w:ind w:firstLine="567"/>
        <w:rPr>
          <w:szCs w:val="28"/>
        </w:rPr>
      </w:pPr>
      <w:r w:rsidRPr="00B65B22">
        <w:t xml:space="preserve">Het eerste lid </w:t>
      </w:r>
      <w:r w:rsidRPr="00B65B22" w:rsidR="00B0480D">
        <w:t>kent</w:t>
      </w:r>
      <w:r w:rsidRPr="00B65B22" w:rsidR="00CE725A">
        <w:t xml:space="preserve"> het heffingsrecht </w:t>
      </w:r>
      <w:r w:rsidRPr="00B65B22" w:rsidR="00BE179F">
        <w:t>over winst</w:t>
      </w:r>
      <w:r w:rsidRPr="00B65B22" w:rsidR="001171A3">
        <w:t xml:space="preserve"> </w:t>
      </w:r>
      <w:r w:rsidRPr="00B65B22" w:rsidR="00EE7B3F">
        <w:t xml:space="preserve">verkregen uit de exploitatie van schepen en luchtvaartuigen in </w:t>
      </w:r>
      <w:r w:rsidRPr="00B65B22" w:rsidR="00554474">
        <w:t xml:space="preserve">het </w:t>
      </w:r>
      <w:r w:rsidRPr="00B65B22" w:rsidR="00EE7B3F">
        <w:t>international</w:t>
      </w:r>
      <w:r w:rsidRPr="00B65B22" w:rsidR="00554474">
        <w:t>e</w:t>
      </w:r>
      <w:r w:rsidRPr="00B65B22" w:rsidR="00EE7B3F">
        <w:t xml:space="preserve"> verkeer </w:t>
      </w:r>
      <w:r w:rsidRPr="00B65B22" w:rsidR="00CE725A">
        <w:t xml:space="preserve">toe aan </w:t>
      </w:r>
      <w:r w:rsidRPr="00B65B22" w:rsidR="00BD29DD">
        <w:t xml:space="preserve">de </w:t>
      </w:r>
      <w:r w:rsidRPr="00B65B22" w:rsidR="00C564C5">
        <w:t>verdragsluitende s</w:t>
      </w:r>
      <w:r w:rsidRPr="00B65B22" w:rsidR="00BD29DD">
        <w:t xml:space="preserve">taat </w:t>
      </w:r>
      <w:r w:rsidRPr="00B65B22" w:rsidR="00CE725A">
        <w:t>waar</w:t>
      </w:r>
      <w:r w:rsidRPr="00B65B22" w:rsidR="00294846">
        <w:t>in</w:t>
      </w:r>
      <w:r w:rsidRPr="00B65B22" w:rsidR="00CE725A">
        <w:t xml:space="preserve"> de </w:t>
      </w:r>
      <w:r w:rsidRPr="00B65B22" w:rsidR="00BD29DD">
        <w:t xml:space="preserve">feitelijke leiding van de </w:t>
      </w:r>
      <w:r w:rsidRPr="00B65B22" w:rsidR="00C564C5">
        <w:t>(</w:t>
      </w:r>
      <w:r w:rsidRPr="00B65B22" w:rsidR="00706A52">
        <w:t>zee</w:t>
      </w:r>
      <w:r w:rsidRPr="00B65B22" w:rsidR="00294846">
        <w:t>- of luchtvaart</w:t>
      </w:r>
      <w:r w:rsidRPr="00B65B22" w:rsidR="00C564C5">
        <w:t>)</w:t>
      </w:r>
      <w:r w:rsidRPr="00B65B22" w:rsidR="00CE725A">
        <w:t xml:space="preserve">onderneming </w:t>
      </w:r>
      <w:r w:rsidRPr="00B65B22" w:rsidR="00C564C5">
        <w:t>zich bevindt</w:t>
      </w:r>
      <w:r w:rsidRPr="00B65B22" w:rsidR="00BD29DD">
        <w:t xml:space="preserve">. </w:t>
      </w:r>
      <w:r w:rsidRPr="00B65B22" w:rsidR="006D0705">
        <w:t>Hierbij is</w:t>
      </w:r>
      <w:r w:rsidRPr="00B65B22" w:rsidR="00E62BE1">
        <w:t xml:space="preserve"> op verzoek van Cyprus</w:t>
      </w:r>
      <w:r w:rsidRPr="00B65B22" w:rsidR="006D0705">
        <w:t xml:space="preserve"> aangesloten bij de tekst van het </w:t>
      </w:r>
      <w:r w:rsidRPr="00B65B22" w:rsidR="00C564C5">
        <w:t>vorige OESO</w:t>
      </w:r>
      <w:r w:rsidRPr="00B65B22">
        <w:t>-modelverdrag van 15 juli 2014.</w:t>
      </w:r>
      <w:r w:rsidRPr="00B65B22" w:rsidR="00C6748C">
        <w:rPr>
          <w:szCs w:val="28"/>
        </w:rPr>
        <w:t xml:space="preserve"> Sinds de update van 2017 </w:t>
      </w:r>
      <w:r w:rsidRPr="00B65B22" w:rsidR="00780F1C">
        <w:rPr>
          <w:szCs w:val="28"/>
        </w:rPr>
        <w:t xml:space="preserve">wordt </w:t>
      </w:r>
      <w:r w:rsidRPr="00B65B22" w:rsidR="00C6748C">
        <w:rPr>
          <w:szCs w:val="28"/>
        </w:rPr>
        <w:t xml:space="preserve">in het OESO-modelverdrag het heffingsrecht over winst </w:t>
      </w:r>
      <w:r w:rsidRPr="00B65B22" w:rsidR="00383ED2">
        <w:t xml:space="preserve">verkregen uit de exploitatie van schepen en luchtvaartuigen in </w:t>
      </w:r>
      <w:r w:rsidRPr="00B65B22" w:rsidR="00554474">
        <w:t xml:space="preserve">het </w:t>
      </w:r>
      <w:r w:rsidRPr="00B65B22" w:rsidR="00383ED2">
        <w:t>international</w:t>
      </w:r>
      <w:r w:rsidRPr="00B65B22" w:rsidR="00554474">
        <w:t>e</w:t>
      </w:r>
      <w:r w:rsidRPr="00B65B22" w:rsidR="00383ED2">
        <w:t xml:space="preserve"> verkeer </w:t>
      </w:r>
      <w:r w:rsidRPr="00B65B22" w:rsidR="00C6748C">
        <w:rPr>
          <w:szCs w:val="28"/>
        </w:rPr>
        <w:t>toegekend aan het land waarvan de onderneming die deze activiteit ontplooit inwoner is.</w:t>
      </w:r>
    </w:p>
    <w:p w:rsidRPr="00B65B22" w:rsidR="001E093C" w:rsidP="00B910DE" w:rsidRDefault="00D2257E" w14:paraId="3B8DDA4E" w14:textId="77777777">
      <w:r w:rsidRPr="00B65B22">
        <w:t xml:space="preserve">Ingevolge het tweede lid geldt het eerste lid ook voor winst verkregen uit de exploitatie van schepen en luchtvaartuigen in </w:t>
      </w:r>
      <w:r w:rsidRPr="00B65B22" w:rsidR="00624015">
        <w:t xml:space="preserve">het </w:t>
      </w:r>
      <w:r w:rsidRPr="00B65B22">
        <w:t>international</w:t>
      </w:r>
      <w:r w:rsidRPr="00B65B22" w:rsidR="00624015">
        <w:t>e</w:t>
      </w:r>
      <w:r w:rsidRPr="00B65B22">
        <w:t xml:space="preserve"> verkeer door middel van participatie in een poolovereenkomst of deelname in een </w:t>
      </w:r>
      <w:r w:rsidRPr="00B65B22" w:rsidR="007448FE">
        <w:t>gemeenschappelijke onderneming</w:t>
      </w:r>
      <w:r w:rsidRPr="00B65B22">
        <w:t xml:space="preserve"> of internationaal opererend agentschap. </w:t>
      </w:r>
    </w:p>
    <w:p w:rsidRPr="00B65B22" w:rsidR="007B6437" w:rsidP="00901C1E" w:rsidRDefault="007B6437" w14:paraId="4BFCC82A" w14:textId="77777777">
      <w:pPr>
        <w:pStyle w:val="Kop2"/>
        <w:numPr>
          <w:ilvl w:val="1"/>
          <w:numId w:val="1"/>
        </w:numPr>
        <w:rPr>
          <w:b w:val="0"/>
          <w:i/>
        </w:rPr>
      </w:pPr>
      <w:r w:rsidRPr="00B65B22">
        <w:rPr>
          <w:b w:val="0"/>
          <w:i/>
        </w:rPr>
        <w:t>Gelieerde ondernemingen (artikel 9</w:t>
      </w:r>
      <w:r w:rsidRPr="00B65B22" w:rsidR="00F05AE9">
        <w:rPr>
          <w:b w:val="0"/>
          <w:i/>
        </w:rPr>
        <w:t xml:space="preserve"> van het Verdrag</w:t>
      </w:r>
      <w:r w:rsidRPr="00B65B22">
        <w:rPr>
          <w:b w:val="0"/>
          <w:i/>
        </w:rPr>
        <w:t>)</w:t>
      </w:r>
    </w:p>
    <w:p w:rsidRPr="00B65B22" w:rsidR="003C62F9" w:rsidP="003C62F9" w:rsidRDefault="00D122CA" w14:paraId="3B97C754" w14:textId="77777777">
      <w:pPr>
        <w:ind w:firstLine="720"/>
        <w:rPr>
          <w:rFonts w:cs="Arial"/>
          <w:szCs w:val="20"/>
        </w:rPr>
      </w:pPr>
      <w:r w:rsidRPr="00B65B22">
        <w:rPr>
          <w:rFonts w:cs="Arial"/>
          <w:bCs/>
          <w:iCs/>
          <w:szCs w:val="20"/>
        </w:rPr>
        <w:t xml:space="preserve">Artikel 9 </w:t>
      </w:r>
      <w:r w:rsidRPr="00B65B22" w:rsidR="004559BA">
        <w:rPr>
          <w:rFonts w:cs="Arial"/>
          <w:bCs/>
          <w:iCs/>
          <w:szCs w:val="20"/>
        </w:rPr>
        <w:t xml:space="preserve">van het Verdrag </w:t>
      </w:r>
      <w:r w:rsidRPr="00B65B22">
        <w:rPr>
          <w:rFonts w:cs="Arial"/>
          <w:bCs/>
          <w:iCs/>
          <w:szCs w:val="20"/>
        </w:rPr>
        <w:t xml:space="preserve">bevat het zogenoemde </w:t>
      </w:r>
      <w:r w:rsidRPr="00B65B22" w:rsidR="002D7BD5">
        <w:rPr>
          <w:rFonts w:cs="Arial"/>
          <w:bCs/>
          <w:iCs/>
          <w:szCs w:val="20"/>
        </w:rPr>
        <w:t>arm’s-length</w:t>
      </w:r>
      <w:r w:rsidRPr="00B65B22">
        <w:rPr>
          <w:rFonts w:cs="Arial"/>
          <w:bCs/>
          <w:iCs/>
          <w:szCs w:val="20"/>
        </w:rPr>
        <w:t xml:space="preserve">-beginsel voor grensoverschrijdende transacties tussen gelieerde ondernemingen en </w:t>
      </w:r>
      <w:r w:rsidRPr="00B65B22" w:rsidR="004559BA">
        <w:rPr>
          <w:rFonts w:cs="Arial"/>
          <w:bCs/>
          <w:iCs/>
          <w:szCs w:val="20"/>
        </w:rPr>
        <w:t>komt</w:t>
      </w:r>
      <w:r w:rsidRPr="00B65B22">
        <w:rPr>
          <w:rFonts w:cs="Arial"/>
          <w:bCs/>
          <w:iCs/>
          <w:szCs w:val="20"/>
        </w:rPr>
        <w:t xml:space="preserve"> </w:t>
      </w:r>
      <w:r w:rsidRPr="00B65B22" w:rsidR="004559BA">
        <w:rPr>
          <w:rFonts w:cs="Arial"/>
          <w:bCs/>
          <w:iCs/>
          <w:szCs w:val="20"/>
        </w:rPr>
        <w:t xml:space="preserve">nagenoeg geheel </w:t>
      </w:r>
      <w:r w:rsidRPr="00B65B22">
        <w:rPr>
          <w:rFonts w:cs="Arial"/>
          <w:bCs/>
          <w:iCs/>
          <w:szCs w:val="20"/>
        </w:rPr>
        <w:t xml:space="preserve">overeen met </w:t>
      </w:r>
      <w:r w:rsidRPr="00B65B22" w:rsidR="004559BA">
        <w:rPr>
          <w:rFonts w:cs="Arial"/>
          <w:bCs/>
          <w:iCs/>
          <w:szCs w:val="20"/>
        </w:rPr>
        <w:t xml:space="preserve">artikel 9 van </w:t>
      </w:r>
      <w:r w:rsidRPr="00B65B22">
        <w:rPr>
          <w:rFonts w:cs="Arial"/>
          <w:bCs/>
          <w:iCs/>
          <w:szCs w:val="20"/>
        </w:rPr>
        <w:t xml:space="preserve">het OESO-modelverdrag. </w:t>
      </w:r>
      <w:r w:rsidRPr="00B65B22" w:rsidR="00732F2A">
        <w:rPr>
          <w:rFonts w:cs="Arial"/>
          <w:szCs w:val="20"/>
        </w:rPr>
        <w:t xml:space="preserve">Het </w:t>
      </w:r>
      <w:r w:rsidRPr="00B65B22" w:rsidR="002D7BD5">
        <w:rPr>
          <w:rFonts w:cs="Arial"/>
          <w:szCs w:val="20"/>
        </w:rPr>
        <w:t>arm’s</w:t>
      </w:r>
      <w:r w:rsidRPr="00B65B22" w:rsidR="00EC74EF">
        <w:rPr>
          <w:rFonts w:cs="Arial"/>
          <w:szCs w:val="20"/>
        </w:rPr>
        <w:t>-</w:t>
      </w:r>
      <w:r w:rsidRPr="00B65B22" w:rsidR="002D7BD5">
        <w:rPr>
          <w:rFonts w:cs="Arial"/>
          <w:szCs w:val="20"/>
        </w:rPr>
        <w:t>length</w:t>
      </w:r>
      <w:r w:rsidRPr="00B65B22" w:rsidR="00732F2A">
        <w:rPr>
          <w:rFonts w:cs="Arial"/>
          <w:szCs w:val="20"/>
        </w:rPr>
        <w:t>-beginsel houdt in dat transacties tussen gelieerde ondernemingen dienen te geschieden tegen dezelfde voorwaarden als transacties die onder dezelfde</w:t>
      </w:r>
      <w:r w:rsidRPr="00B65B22" w:rsidR="00073427">
        <w:rPr>
          <w:rFonts w:cs="Arial"/>
          <w:szCs w:val="20"/>
        </w:rPr>
        <w:t xml:space="preserve"> omstandigheden zouden zijn aangegaan tussen niet</w:t>
      </w:r>
      <w:r w:rsidRPr="00B65B22" w:rsidR="00322679">
        <w:rPr>
          <w:rFonts w:cs="Arial"/>
          <w:szCs w:val="20"/>
        </w:rPr>
        <w:t>-</w:t>
      </w:r>
      <w:r w:rsidRPr="00B65B22" w:rsidR="00073427">
        <w:rPr>
          <w:rFonts w:cs="Arial"/>
          <w:szCs w:val="20"/>
        </w:rPr>
        <w:t>gelieerde ondernemingen. Bij de vaststelling of sprake is van zakelijk correcte voorwaarden die ook zouden gelden tussen niet-gelieerde partijen, gelden als leidraad de door de OESO opgestelde ‘</w:t>
      </w:r>
      <w:r w:rsidRPr="00B65B22">
        <w:rPr>
          <w:rFonts w:cs="Arial"/>
          <w:i/>
          <w:szCs w:val="20"/>
        </w:rPr>
        <w:t>Transfer pricing guidelines for multinational enterprises and tax administrations</w:t>
      </w:r>
      <w:r w:rsidRPr="00B65B22" w:rsidR="00073427">
        <w:rPr>
          <w:rFonts w:cs="Arial"/>
          <w:szCs w:val="20"/>
        </w:rPr>
        <w:t xml:space="preserve">’, alsmede de administratieve praktijken van de verdragsluitende staten. Deze </w:t>
      </w:r>
      <w:r w:rsidRPr="00B65B22" w:rsidR="00B202C9">
        <w:rPr>
          <w:rFonts w:cs="Arial"/>
          <w:szCs w:val="20"/>
        </w:rPr>
        <w:t>richtsnoeren</w:t>
      </w:r>
      <w:r w:rsidRPr="00B65B22" w:rsidR="00073427">
        <w:rPr>
          <w:rFonts w:cs="Arial"/>
          <w:szCs w:val="20"/>
        </w:rPr>
        <w:t xml:space="preserve"> vormen een uitwerking van het </w:t>
      </w:r>
      <w:r w:rsidRPr="00B65B22" w:rsidR="002D7BD5">
        <w:rPr>
          <w:rFonts w:cs="Arial"/>
          <w:szCs w:val="20"/>
        </w:rPr>
        <w:t>arm’s</w:t>
      </w:r>
      <w:r w:rsidRPr="00B65B22" w:rsidR="00B202C9">
        <w:rPr>
          <w:rFonts w:cs="Arial"/>
          <w:szCs w:val="20"/>
        </w:rPr>
        <w:t>-</w:t>
      </w:r>
      <w:r w:rsidRPr="00B65B22" w:rsidR="002D7BD5">
        <w:rPr>
          <w:rFonts w:cs="Arial"/>
          <w:szCs w:val="20"/>
        </w:rPr>
        <w:t>length</w:t>
      </w:r>
      <w:r w:rsidRPr="00B65B22" w:rsidR="00073427">
        <w:rPr>
          <w:rFonts w:cs="Arial"/>
          <w:szCs w:val="20"/>
        </w:rPr>
        <w:t xml:space="preserve">-beginsel dat is neergelegd in artikel 9 van het OESO-modelverdrag en </w:t>
      </w:r>
      <w:r w:rsidRPr="00B65B22" w:rsidR="001B13A6">
        <w:rPr>
          <w:rFonts w:cs="Arial"/>
          <w:szCs w:val="20"/>
        </w:rPr>
        <w:t xml:space="preserve">dat nader </w:t>
      </w:r>
      <w:r w:rsidRPr="00B65B22" w:rsidR="00073427">
        <w:rPr>
          <w:rFonts w:cs="Arial"/>
          <w:szCs w:val="20"/>
        </w:rPr>
        <w:t xml:space="preserve">wordt toegelicht in het commentaar op dat artikel. </w:t>
      </w:r>
    </w:p>
    <w:p w:rsidRPr="00B65B22" w:rsidR="00197727" w:rsidP="00430D64" w:rsidRDefault="00D122CA" w14:paraId="48C6B3B6" w14:textId="77777777">
      <w:pPr>
        <w:rPr>
          <w:rFonts w:cs="Arial"/>
          <w:szCs w:val="20"/>
        </w:rPr>
      </w:pPr>
      <w:r w:rsidRPr="00B65B22">
        <w:rPr>
          <w:rFonts w:cs="Arial"/>
          <w:szCs w:val="20"/>
        </w:rPr>
        <w:t>Het eerste lid bevat de hoofdregel dat als tussen gelieerde ondernemingen in hun handelsbetrekkingen of financiële betrekkingen voorwaarden worden overeengekomen die afwijken van die welke tussen niet</w:t>
      </w:r>
      <w:r w:rsidRPr="00B65B22" w:rsidR="00322679">
        <w:rPr>
          <w:rFonts w:cs="Arial"/>
          <w:szCs w:val="20"/>
        </w:rPr>
        <w:t>-</w:t>
      </w:r>
      <w:r w:rsidRPr="00B65B22">
        <w:rPr>
          <w:rFonts w:cs="Arial"/>
          <w:szCs w:val="20"/>
        </w:rPr>
        <w:t>gelieerde ondernemingen zouden worden overeengekomen</w:t>
      </w:r>
      <w:r w:rsidRPr="00B65B22" w:rsidR="00F50A42">
        <w:rPr>
          <w:rFonts w:cs="Arial"/>
          <w:szCs w:val="20"/>
        </w:rPr>
        <w:t>,</w:t>
      </w:r>
      <w:r w:rsidRPr="00B65B22">
        <w:rPr>
          <w:rFonts w:cs="Arial"/>
          <w:szCs w:val="20"/>
        </w:rPr>
        <w:t xml:space="preserve"> de winst die één van de gelieerde ondernemingen als gevolg van die afwijkende voorwaarden niet heeft behaald in de winst van die onderneming </w:t>
      </w:r>
      <w:r w:rsidRPr="00B65B22" w:rsidR="003D43D8">
        <w:rPr>
          <w:rFonts w:cs="Arial"/>
          <w:szCs w:val="20"/>
        </w:rPr>
        <w:t xml:space="preserve">mag </w:t>
      </w:r>
      <w:r w:rsidRPr="00B65B22">
        <w:rPr>
          <w:rFonts w:cs="Arial"/>
          <w:szCs w:val="20"/>
        </w:rPr>
        <w:t>worden begrepen en dienovereenkomstig worden belast</w:t>
      </w:r>
      <w:r w:rsidRPr="00B65B22" w:rsidR="008C28A6">
        <w:rPr>
          <w:rFonts w:cs="Arial"/>
          <w:szCs w:val="20"/>
        </w:rPr>
        <w:t>.</w:t>
      </w:r>
      <w:r w:rsidRPr="00B65B22" w:rsidR="0069799C">
        <w:rPr>
          <w:rFonts w:cs="Arial"/>
          <w:szCs w:val="20"/>
        </w:rPr>
        <w:t xml:space="preserve"> </w:t>
      </w:r>
      <w:r w:rsidRPr="00B65B22" w:rsidR="00AB73A4">
        <w:rPr>
          <w:rFonts w:cs="Arial"/>
          <w:szCs w:val="20"/>
        </w:rPr>
        <w:t>Op verzoek van Nederland is, overeenkomstig Nederlands verdragsbeleid</w:t>
      </w:r>
      <w:r w:rsidRPr="00B65B22" w:rsidR="00197727">
        <w:rPr>
          <w:rFonts w:cs="Arial"/>
          <w:szCs w:val="20"/>
        </w:rPr>
        <w:t xml:space="preserve"> en in afwijking van de tekst van artikel 9 van het OESO-modelverdrag</w:t>
      </w:r>
      <w:r w:rsidRPr="00B65B22" w:rsidR="00AB73A4">
        <w:rPr>
          <w:rFonts w:cs="Arial"/>
          <w:szCs w:val="20"/>
        </w:rPr>
        <w:t xml:space="preserve">, in </w:t>
      </w:r>
      <w:r w:rsidRPr="00B65B22" w:rsidR="00197727">
        <w:rPr>
          <w:rFonts w:cs="Arial"/>
          <w:szCs w:val="20"/>
        </w:rPr>
        <w:t>de tweede zin</w:t>
      </w:r>
      <w:r w:rsidRPr="00B65B22" w:rsidR="00AB73A4">
        <w:rPr>
          <w:rFonts w:cs="Arial"/>
          <w:szCs w:val="20"/>
        </w:rPr>
        <w:t xml:space="preserve">, voorts een zogenoemde cost-sharing-bepaling opgenomen. Deze bepaling verduidelijkt dat de enkele omstandigheid dat gelieerde ondernemingen cost-sharing-overeenkomsten (overeenkomsten over de verdeling van kosten) of algemene dienstverleningsovereenkomsten sluiten voor (de toerekening van) kosten van de algemene leiding, algemene beheerskosten, technische en zakelijke kosten, kosten voor onderzoek en ontwikkeling en andere soortgelijke kosten, op zichzelf geen aanleiding vormt om te veronderstellen dat zij in strijd met het arm’s-length-beginsel, en dus onzakelijk, zouden handelen. Deze bepaling laat uiteraard de mogelijkheid onverlet om de, in het kader van de </w:t>
      </w:r>
      <w:r w:rsidRPr="00B65B22" w:rsidR="00F95C0C">
        <w:rPr>
          <w:rFonts w:cs="Arial"/>
          <w:szCs w:val="20"/>
        </w:rPr>
        <w:t>cost</w:t>
      </w:r>
      <w:r w:rsidRPr="00B65B22" w:rsidR="001613DD">
        <w:rPr>
          <w:rFonts w:cs="Arial"/>
          <w:szCs w:val="20"/>
        </w:rPr>
        <w:t>-</w:t>
      </w:r>
      <w:r w:rsidRPr="00B65B22" w:rsidR="00F95C0C">
        <w:rPr>
          <w:rFonts w:cs="Arial"/>
          <w:szCs w:val="20"/>
        </w:rPr>
        <w:t>sharing</w:t>
      </w:r>
      <w:r w:rsidRPr="00B65B22" w:rsidR="001613DD">
        <w:rPr>
          <w:rFonts w:cs="Arial"/>
          <w:szCs w:val="20"/>
        </w:rPr>
        <w:t>-</w:t>
      </w:r>
      <w:r w:rsidRPr="00B65B22" w:rsidR="00AB73A4">
        <w:rPr>
          <w:rFonts w:cs="Arial"/>
          <w:szCs w:val="20"/>
        </w:rPr>
        <w:t>overeenkomsten en algemene dienstverleningsovereenkomsten, overeengekomen kostenverdeling te toetsen aan het arm’s-length-beginsel</w:t>
      </w:r>
      <w:r w:rsidRPr="00B65B22" w:rsidR="00041D9E">
        <w:rPr>
          <w:rFonts w:cs="Arial"/>
          <w:szCs w:val="20"/>
        </w:rPr>
        <w:t xml:space="preserve">. </w:t>
      </w:r>
    </w:p>
    <w:p w:rsidRPr="00B65B22" w:rsidR="001E093C" w:rsidP="00521456" w:rsidRDefault="008C28A6" w14:paraId="09E930ED" w14:textId="77777777">
      <w:pPr>
        <w:rPr>
          <w:rFonts w:ascii="Verdana" w:hAnsi="Verdana" w:cs="Arial"/>
          <w:sz w:val="18"/>
          <w:szCs w:val="18"/>
        </w:rPr>
      </w:pPr>
      <w:r w:rsidRPr="00B65B22">
        <w:rPr>
          <w:rFonts w:cs="Arial"/>
          <w:szCs w:val="20"/>
        </w:rPr>
        <w:t xml:space="preserve">In het geval </w:t>
      </w:r>
      <w:r w:rsidRPr="00B65B22" w:rsidR="00CE14CA">
        <w:rPr>
          <w:rFonts w:cs="Arial"/>
          <w:szCs w:val="20"/>
        </w:rPr>
        <w:t xml:space="preserve">dat </w:t>
      </w:r>
      <w:r w:rsidRPr="00B65B22">
        <w:rPr>
          <w:rFonts w:cs="Arial"/>
          <w:szCs w:val="20"/>
        </w:rPr>
        <w:t xml:space="preserve">een winstcorrectie door de ene verdragsluitende staat, in de zin van het eerste lid, met betrekking tot een transactie tussen gelieerde ondernemingen, leidt tot belastingheffing, regelt het tweede lid dat de andere verdragsluitende staat in beginsel op passende wijze het bedrag aan belasting dat aldaar over in die winstcorrectie begrepen voordelen is geheven, zal herzien. </w:t>
      </w:r>
    </w:p>
    <w:p w:rsidRPr="00B65B22" w:rsidR="007B6437" w:rsidP="00901C1E" w:rsidRDefault="007B6437" w14:paraId="5206A57A" w14:textId="77777777">
      <w:pPr>
        <w:pStyle w:val="Kop2"/>
        <w:numPr>
          <w:ilvl w:val="1"/>
          <w:numId w:val="1"/>
        </w:numPr>
        <w:rPr>
          <w:b w:val="0"/>
          <w:i/>
        </w:rPr>
      </w:pPr>
      <w:r w:rsidRPr="00B65B22">
        <w:rPr>
          <w:b w:val="0"/>
          <w:i/>
        </w:rPr>
        <w:t xml:space="preserve">Dividenden (artikel 10 </w:t>
      </w:r>
      <w:r w:rsidRPr="00B65B22" w:rsidR="00F05AE9">
        <w:rPr>
          <w:b w:val="0"/>
          <w:i/>
        </w:rPr>
        <w:t xml:space="preserve">van het Verdrag </w:t>
      </w:r>
      <w:r w:rsidRPr="00B65B22">
        <w:rPr>
          <w:b w:val="0"/>
          <w:i/>
        </w:rPr>
        <w:t xml:space="preserve">en </w:t>
      </w:r>
      <w:r w:rsidRPr="00B65B22" w:rsidR="00DB2D41">
        <w:rPr>
          <w:b w:val="0"/>
          <w:i/>
        </w:rPr>
        <w:t xml:space="preserve">de </w:t>
      </w:r>
      <w:r w:rsidRPr="00B65B22" w:rsidR="00FE529A">
        <w:rPr>
          <w:b w:val="0"/>
          <w:i/>
        </w:rPr>
        <w:t>artikel</w:t>
      </w:r>
      <w:r w:rsidRPr="00B65B22" w:rsidR="00A32BA7">
        <w:rPr>
          <w:b w:val="0"/>
          <w:i/>
        </w:rPr>
        <w:t>en</w:t>
      </w:r>
      <w:r w:rsidRPr="00B65B22" w:rsidR="00225983">
        <w:rPr>
          <w:b w:val="0"/>
          <w:i/>
        </w:rPr>
        <w:t xml:space="preserve"> </w:t>
      </w:r>
      <w:r w:rsidRPr="00B65B22" w:rsidR="00DE467C">
        <w:rPr>
          <w:b w:val="0"/>
          <w:i/>
        </w:rPr>
        <w:t>2</w:t>
      </w:r>
      <w:r w:rsidRPr="00B65B22" w:rsidR="00225983">
        <w:rPr>
          <w:b w:val="0"/>
          <w:i/>
        </w:rPr>
        <w:t xml:space="preserve"> en </w:t>
      </w:r>
      <w:r w:rsidRPr="00B65B22" w:rsidR="00DE467C">
        <w:rPr>
          <w:b w:val="0"/>
          <w:i/>
        </w:rPr>
        <w:t>3</w:t>
      </w:r>
      <w:r w:rsidRPr="00B65B22" w:rsidR="00F05AE9">
        <w:rPr>
          <w:b w:val="0"/>
          <w:i/>
        </w:rPr>
        <w:t xml:space="preserve"> van het Protocol</w:t>
      </w:r>
      <w:r w:rsidRPr="00B65B22">
        <w:rPr>
          <w:b w:val="0"/>
          <w:i/>
        </w:rPr>
        <w:t>)</w:t>
      </w:r>
    </w:p>
    <w:p w:rsidRPr="00B65B22" w:rsidR="007B6437" w:rsidP="007B6437" w:rsidRDefault="007B6437" w14:paraId="640707B2" w14:textId="77777777">
      <w:pPr>
        <w:ind w:firstLine="708"/>
        <w:rPr>
          <w:rFonts w:cs="Arial"/>
          <w:szCs w:val="20"/>
        </w:rPr>
      </w:pPr>
      <w:r w:rsidRPr="00B65B22">
        <w:rPr>
          <w:rFonts w:cs="Arial"/>
          <w:szCs w:val="20"/>
        </w:rPr>
        <w:t xml:space="preserve">Artikel 10 </w:t>
      </w:r>
      <w:r w:rsidRPr="00B65B22" w:rsidR="006D6E8D">
        <w:rPr>
          <w:rFonts w:cs="Arial"/>
          <w:bCs/>
          <w:iCs/>
          <w:szCs w:val="20"/>
        </w:rPr>
        <w:t xml:space="preserve">van het Verdrag </w:t>
      </w:r>
      <w:r w:rsidRPr="00B65B22">
        <w:rPr>
          <w:rFonts w:cs="Arial"/>
          <w:szCs w:val="20"/>
        </w:rPr>
        <w:t xml:space="preserve">betreft de verdeling van heffingsrechten over dividenden en is </w:t>
      </w:r>
      <w:r w:rsidRPr="00B65B22" w:rsidR="00C133A7">
        <w:rPr>
          <w:rFonts w:cs="Arial"/>
          <w:szCs w:val="20"/>
        </w:rPr>
        <w:t xml:space="preserve">in hoofdzaak </w:t>
      </w:r>
      <w:r w:rsidRPr="00B65B22">
        <w:rPr>
          <w:rFonts w:cs="Arial"/>
          <w:szCs w:val="20"/>
        </w:rPr>
        <w:t xml:space="preserve">gebaseerd op artikel 10 van het OESO-modelverdrag. Op een aantal onderdelen wijkt de onderhavige bepaling daarvan af. Dit betreft </w:t>
      </w:r>
      <w:r w:rsidRPr="00B65B22" w:rsidR="00C133A7">
        <w:rPr>
          <w:rFonts w:cs="Arial"/>
          <w:szCs w:val="20"/>
        </w:rPr>
        <w:t xml:space="preserve">in het bijzonder </w:t>
      </w:r>
      <w:r w:rsidRPr="00B65B22" w:rsidR="002D35CF">
        <w:rPr>
          <w:rFonts w:cs="Arial"/>
          <w:szCs w:val="20"/>
        </w:rPr>
        <w:t xml:space="preserve">het derde </w:t>
      </w:r>
      <w:r w:rsidRPr="00B65B22">
        <w:rPr>
          <w:rFonts w:cs="Arial"/>
          <w:szCs w:val="20"/>
        </w:rPr>
        <w:t xml:space="preserve">en </w:t>
      </w:r>
      <w:r w:rsidRPr="00B65B22" w:rsidR="00225983">
        <w:rPr>
          <w:rFonts w:cs="Arial"/>
          <w:szCs w:val="20"/>
        </w:rPr>
        <w:t xml:space="preserve">achtste </w:t>
      </w:r>
      <w:r w:rsidRPr="00B65B22" w:rsidR="006B1FB6">
        <w:rPr>
          <w:rFonts w:cs="Arial"/>
          <w:szCs w:val="20"/>
        </w:rPr>
        <w:t>lid</w:t>
      </w:r>
      <w:r w:rsidRPr="00B65B22" w:rsidR="00C133A7">
        <w:rPr>
          <w:rFonts w:cs="Arial"/>
          <w:szCs w:val="20"/>
        </w:rPr>
        <w:t>.</w:t>
      </w:r>
      <w:r w:rsidRPr="00B65B22" w:rsidR="00F12655">
        <w:rPr>
          <w:rFonts w:cs="Arial"/>
          <w:szCs w:val="20"/>
        </w:rPr>
        <w:t xml:space="preserve"> </w:t>
      </w:r>
    </w:p>
    <w:p w:rsidRPr="00B65B22" w:rsidR="007B6437" w:rsidP="007B6437" w:rsidRDefault="007B6437" w14:paraId="7CBF115A" w14:textId="77777777">
      <w:pPr>
        <w:ind w:firstLine="720"/>
        <w:rPr>
          <w:rFonts w:cs="Arial"/>
          <w:szCs w:val="20"/>
        </w:rPr>
      </w:pPr>
      <w:r w:rsidRPr="00B65B22">
        <w:t xml:space="preserve">Ingevolge het eerste lid mogen dividenden die worden betaald door een lichaam dat inwoner is van één van beide </w:t>
      </w:r>
      <w:r w:rsidRPr="00B65B22" w:rsidR="00AF2710">
        <w:t>verdragsluitende</w:t>
      </w:r>
      <w:r w:rsidRPr="00B65B22">
        <w:t xml:space="preserve"> </w:t>
      </w:r>
      <w:r w:rsidRPr="00B65B22" w:rsidR="00382354">
        <w:t>staten</w:t>
      </w:r>
      <w:r w:rsidRPr="00B65B22">
        <w:t xml:space="preserve"> aan een inwoner van de andere </w:t>
      </w:r>
      <w:r w:rsidRPr="00B65B22" w:rsidR="00CE19C3">
        <w:t xml:space="preserve">verdragsluitende </w:t>
      </w:r>
      <w:r w:rsidRPr="00B65B22" w:rsidR="009D03A0">
        <w:t>staat</w:t>
      </w:r>
      <w:r w:rsidRPr="00B65B22">
        <w:t xml:space="preserve">, in die andere </w:t>
      </w:r>
      <w:r w:rsidRPr="00B65B22" w:rsidR="009D03A0">
        <w:t>staat</w:t>
      </w:r>
      <w:r w:rsidRPr="00B65B22">
        <w:t xml:space="preserve"> worden </w:t>
      </w:r>
      <w:r w:rsidRPr="00B65B22">
        <w:rPr>
          <w:rFonts w:cs="Arial"/>
          <w:szCs w:val="20"/>
        </w:rPr>
        <w:t>belast</w:t>
      </w:r>
      <w:r w:rsidRPr="00B65B22" w:rsidR="009D03A0">
        <w:rPr>
          <w:rFonts w:cs="Arial"/>
          <w:szCs w:val="20"/>
        </w:rPr>
        <w:t xml:space="preserve"> (de “woonstaat”).</w:t>
      </w:r>
    </w:p>
    <w:p w:rsidRPr="00F83EE2" w:rsidR="002C6F3A" w:rsidP="002C6F3A" w:rsidRDefault="007B6437" w14:paraId="490993CB" w14:textId="77777777">
      <w:pPr>
        <w:ind w:firstLine="720"/>
        <w:rPr>
          <w:rFonts w:cs="Arial"/>
          <w:szCs w:val="20"/>
        </w:rPr>
      </w:pPr>
      <w:r w:rsidRPr="00B65B22">
        <w:rPr>
          <w:rFonts w:cs="Arial"/>
          <w:szCs w:val="20"/>
        </w:rPr>
        <w:t xml:space="preserve">Het tweede lid wijst echter ook een heffingsrecht toe aan de vestigingsstaat van het </w:t>
      </w:r>
      <w:r w:rsidRPr="00F83EE2">
        <w:rPr>
          <w:rFonts w:cs="Arial"/>
          <w:szCs w:val="20"/>
        </w:rPr>
        <w:t>dividenduitkerende lichaam</w:t>
      </w:r>
      <w:r w:rsidRPr="00F83EE2" w:rsidR="004E4CF0">
        <w:rPr>
          <w:rFonts w:cs="Arial"/>
          <w:szCs w:val="20"/>
        </w:rPr>
        <w:t xml:space="preserve"> (de ‘bronstaat’)</w:t>
      </w:r>
      <w:r w:rsidRPr="00F83EE2" w:rsidR="002C6F3A">
        <w:rPr>
          <w:rFonts w:cs="Arial"/>
          <w:szCs w:val="20"/>
        </w:rPr>
        <w:t xml:space="preserve">. Het heffingsrecht voor de bronstaat is beperkt tot </w:t>
      </w:r>
      <w:r w:rsidRPr="00F83EE2" w:rsidR="008A308E">
        <w:rPr>
          <w:rFonts w:cs="Arial"/>
          <w:szCs w:val="20"/>
        </w:rPr>
        <w:t>1</w:t>
      </w:r>
      <w:r w:rsidRPr="00F83EE2" w:rsidR="002C6F3A">
        <w:rPr>
          <w:rFonts w:cs="Arial"/>
          <w:szCs w:val="20"/>
        </w:rPr>
        <w:t>5</w:t>
      </w:r>
      <w:r w:rsidRPr="00F83EE2" w:rsidR="005D0C8A">
        <w:rPr>
          <w:rFonts w:cs="Arial"/>
          <w:szCs w:val="20"/>
        </w:rPr>
        <w:t>%</w:t>
      </w:r>
      <w:r w:rsidRPr="00F83EE2" w:rsidR="002C6F3A">
        <w:rPr>
          <w:rFonts w:cs="Arial"/>
          <w:szCs w:val="20"/>
        </w:rPr>
        <w:t xml:space="preserve"> van het brutodividend </w:t>
      </w:r>
      <w:r w:rsidRPr="00F83EE2" w:rsidR="00075558">
        <w:rPr>
          <w:rFonts w:cs="Arial"/>
          <w:szCs w:val="20"/>
        </w:rPr>
        <w:t xml:space="preserve">mits </w:t>
      </w:r>
      <w:r w:rsidRPr="00F83EE2" w:rsidR="002C6F3A">
        <w:rPr>
          <w:rFonts w:cs="Arial"/>
          <w:szCs w:val="20"/>
        </w:rPr>
        <w:t xml:space="preserve">de inwoner van de andere </w:t>
      </w:r>
      <w:r w:rsidRPr="00F83EE2" w:rsidR="00AF2710">
        <w:rPr>
          <w:rFonts w:cs="Arial"/>
          <w:szCs w:val="20"/>
        </w:rPr>
        <w:t>verdragsluitende</w:t>
      </w:r>
      <w:r w:rsidRPr="00F83EE2" w:rsidR="002C6F3A">
        <w:rPr>
          <w:rFonts w:cs="Arial"/>
          <w:szCs w:val="20"/>
        </w:rPr>
        <w:t xml:space="preserve"> </w:t>
      </w:r>
      <w:r w:rsidRPr="00F83EE2" w:rsidR="00075558">
        <w:rPr>
          <w:rFonts w:cs="Arial"/>
          <w:szCs w:val="20"/>
        </w:rPr>
        <w:t>staat</w:t>
      </w:r>
      <w:r w:rsidRPr="00F83EE2" w:rsidR="002C6F3A">
        <w:rPr>
          <w:rFonts w:cs="Arial"/>
          <w:szCs w:val="20"/>
        </w:rPr>
        <w:t xml:space="preserve"> </w:t>
      </w:r>
      <w:r w:rsidRPr="00F83EE2" w:rsidR="00075558">
        <w:rPr>
          <w:rFonts w:cs="Arial"/>
          <w:szCs w:val="20"/>
        </w:rPr>
        <w:t xml:space="preserve">die het dividend ontvangt </w:t>
      </w:r>
      <w:r w:rsidRPr="00F83EE2" w:rsidR="002C6F3A">
        <w:rPr>
          <w:rFonts w:cs="Arial"/>
          <w:szCs w:val="20"/>
        </w:rPr>
        <w:t>de uiteindelijk gerechtigde tot het dividend</w:t>
      </w:r>
      <w:r w:rsidRPr="00F83EE2" w:rsidR="00075558">
        <w:rPr>
          <w:rFonts w:cs="Arial"/>
          <w:szCs w:val="20"/>
        </w:rPr>
        <w:t xml:space="preserve"> is</w:t>
      </w:r>
      <w:r w:rsidRPr="00F83EE2" w:rsidR="002C6F3A">
        <w:rPr>
          <w:rFonts w:cs="Arial"/>
          <w:szCs w:val="20"/>
        </w:rPr>
        <w:t>.</w:t>
      </w:r>
      <w:r w:rsidRPr="00F83EE2">
        <w:rPr>
          <w:rFonts w:cs="Arial"/>
          <w:szCs w:val="20"/>
        </w:rPr>
        <w:t xml:space="preserve"> </w:t>
      </w:r>
      <w:r w:rsidRPr="00F83EE2" w:rsidR="00075558">
        <w:rPr>
          <w:rFonts w:cs="Arial"/>
          <w:szCs w:val="20"/>
        </w:rPr>
        <w:t>Dit sluit aan</w:t>
      </w:r>
      <w:r w:rsidRPr="00F83EE2">
        <w:rPr>
          <w:rFonts w:cs="Arial"/>
          <w:szCs w:val="20"/>
        </w:rPr>
        <w:t xml:space="preserve"> bij het Nederlands</w:t>
      </w:r>
      <w:r w:rsidRPr="00F83EE2" w:rsidR="00706955">
        <w:rPr>
          <w:rFonts w:cs="Arial"/>
          <w:szCs w:val="20"/>
        </w:rPr>
        <w:t>e</w:t>
      </w:r>
      <w:r w:rsidRPr="00F83EE2" w:rsidR="00075558">
        <w:rPr>
          <w:rFonts w:cs="Arial"/>
          <w:szCs w:val="20"/>
        </w:rPr>
        <w:t xml:space="preserve"> verdragsbeleid zoals beschreven in</w:t>
      </w:r>
      <w:r w:rsidRPr="00F83EE2">
        <w:rPr>
          <w:rFonts w:cs="Arial"/>
          <w:szCs w:val="20"/>
        </w:rPr>
        <w:t xml:space="preserve"> onderdeel 2.7.2 van de NFV 2011.</w:t>
      </w:r>
    </w:p>
    <w:p w:rsidRPr="00F83EE2" w:rsidR="00772CEA" w:rsidP="00772CEA" w:rsidRDefault="00706955" w14:paraId="0F77B462" w14:textId="77777777">
      <w:pPr>
        <w:ind w:firstLine="708"/>
        <w:rPr>
          <w:rFonts w:cs="Arial"/>
          <w:szCs w:val="20"/>
        </w:rPr>
      </w:pPr>
      <w:r w:rsidRPr="00F83EE2">
        <w:rPr>
          <w:rFonts w:cs="Arial"/>
          <w:szCs w:val="20"/>
        </w:rPr>
        <w:t xml:space="preserve">Op grond van het derde lid heeft de bronstaat geen heffingsrecht als het lichaam dat de uiteindelijk gerechtigde tot de dividenden is, inwoner is van de andere staat en minimaal </w:t>
      </w:r>
      <w:r w:rsidRPr="00F83EE2" w:rsidR="00041D9E">
        <w:rPr>
          <w:rFonts w:cs="Arial"/>
          <w:szCs w:val="20"/>
        </w:rPr>
        <w:t>5</w:t>
      </w:r>
      <w:r w:rsidRPr="00F83EE2" w:rsidR="005D0C8A">
        <w:rPr>
          <w:rFonts w:cs="Arial"/>
          <w:szCs w:val="20"/>
        </w:rPr>
        <w:t>%</w:t>
      </w:r>
      <w:r w:rsidRPr="00F83EE2">
        <w:rPr>
          <w:rFonts w:cs="Arial"/>
          <w:szCs w:val="20"/>
        </w:rPr>
        <w:t xml:space="preserve"> van het aandelenkapitaal in het dividenduitkerende lichaam bezit (onderdeel a) of een </w:t>
      </w:r>
      <w:r w:rsidRPr="00F83EE2" w:rsidR="00E75390">
        <w:rPr>
          <w:rFonts w:cs="Arial"/>
          <w:szCs w:val="20"/>
        </w:rPr>
        <w:t xml:space="preserve">erkend </w:t>
      </w:r>
      <w:r w:rsidRPr="00F83EE2">
        <w:rPr>
          <w:rFonts w:cs="Arial"/>
          <w:szCs w:val="20"/>
        </w:rPr>
        <w:t xml:space="preserve">pensioenfonds </w:t>
      </w:r>
      <w:r w:rsidRPr="00F83EE2" w:rsidR="00D26163">
        <w:rPr>
          <w:rFonts w:cs="Arial"/>
          <w:szCs w:val="20"/>
        </w:rPr>
        <w:t xml:space="preserve">is </w:t>
      </w:r>
      <w:r w:rsidRPr="00F83EE2" w:rsidR="006D6E8D">
        <w:rPr>
          <w:rFonts w:cs="Arial"/>
          <w:szCs w:val="20"/>
        </w:rPr>
        <w:t xml:space="preserve">dat is vrijgesteld </w:t>
      </w:r>
      <w:r w:rsidRPr="00F83EE2" w:rsidR="006D6E8D">
        <w:t>voor de vennootschapsbelasting</w:t>
      </w:r>
      <w:r w:rsidRPr="00F83EE2" w:rsidR="006D6E8D">
        <w:rPr>
          <w:rFonts w:cs="Arial"/>
          <w:szCs w:val="20"/>
        </w:rPr>
        <w:t xml:space="preserve"> </w:t>
      </w:r>
      <w:r w:rsidRPr="00F83EE2">
        <w:rPr>
          <w:rFonts w:cs="Arial"/>
          <w:szCs w:val="20"/>
        </w:rPr>
        <w:t xml:space="preserve">(onderdeel b). Beide onderdelen sluiten aan bij het Nederlandse verdragsbeleid, zoals </w:t>
      </w:r>
      <w:r w:rsidRPr="00F83EE2" w:rsidR="004F6BDB">
        <w:rPr>
          <w:rFonts w:cs="Arial"/>
          <w:szCs w:val="20"/>
        </w:rPr>
        <w:t>beschreven</w:t>
      </w:r>
      <w:r w:rsidRPr="00F83EE2">
        <w:rPr>
          <w:rFonts w:cs="Arial"/>
          <w:szCs w:val="20"/>
        </w:rPr>
        <w:t xml:space="preserve"> in onderdeel 2.7.1 van de NFV 2011</w:t>
      </w:r>
      <w:r w:rsidRPr="00F83EE2" w:rsidR="004F6BDB">
        <w:rPr>
          <w:rFonts w:cs="Arial"/>
          <w:szCs w:val="20"/>
        </w:rPr>
        <w:t>.</w:t>
      </w:r>
      <w:r w:rsidRPr="00F83EE2" w:rsidR="00EE1BE2">
        <w:rPr>
          <w:rFonts w:cs="Arial"/>
          <w:szCs w:val="20"/>
        </w:rPr>
        <w:t xml:space="preserve"> In onderdeel a is </w:t>
      </w:r>
      <w:r w:rsidRPr="00F83EE2" w:rsidR="00055845">
        <w:rPr>
          <w:rFonts w:cs="Arial"/>
          <w:szCs w:val="20"/>
        </w:rPr>
        <w:t xml:space="preserve">een </w:t>
      </w:r>
      <w:r w:rsidRPr="00F83EE2" w:rsidR="00EE1BE2">
        <w:rPr>
          <w:rFonts w:cs="Arial"/>
          <w:szCs w:val="20"/>
        </w:rPr>
        <w:t>aanvullende voorwaarde opgenomen</w:t>
      </w:r>
      <w:r w:rsidRPr="00F83EE2" w:rsidR="00FB3AF8">
        <w:rPr>
          <w:rFonts w:cs="Arial"/>
          <w:szCs w:val="20"/>
        </w:rPr>
        <w:t xml:space="preserve"> </w:t>
      </w:r>
      <w:r w:rsidRPr="00F83EE2" w:rsidR="00055845">
        <w:rPr>
          <w:rFonts w:cs="Arial"/>
          <w:szCs w:val="20"/>
        </w:rPr>
        <w:t xml:space="preserve">die </w:t>
      </w:r>
      <w:r w:rsidRPr="00F83EE2" w:rsidR="000808AA">
        <w:rPr>
          <w:rFonts w:cs="Arial"/>
          <w:szCs w:val="20"/>
        </w:rPr>
        <w:t>ook volgt uit</w:t>
      </w:r>
      <w:r w:rsidRPr="00F83EE2" w:rsidR="00E75390">
        <w:rPr>
          <w:rFonts w:cs="Arial"/>
          <w:szCs w:val="20"/>
        </w:rPr>
        <w:t xml:space="preserve"> he</w:t>
      </w:r>
      <w:r w:rsidRPr="00F83EE2" w:rsidR="000808AA">
        <w:rPr>
          <w:rFonts w:cs="Arial"/>
          <w:szCs w:val="20"/>
        </w:rPr>
        <w:t>t OESO-modelverdrag</w:t>
      </w:r>
      <w:r w:rsidRPr="00F83EE2" w:rsidR="009F79C7">
        <w:rPr>
          <w:rFonts w:cs="Arial"/>
          <w:szCs w:val="20"/>
        </w:rPr>
        <w:t>:</w:t>
      </w:r>
      <w:r w:rsidRPr="00F83EE2" w:rsidR="00AA4ECE">
        <w:rPr>
          <w:rFonts w:cs="Arial"/>
          <w:szCs w:val="20"/>
        </w:rPr>
        <w:t xml:space="preserve"> v</w:t>
      </w:r>
      <w:r w:rsidRPr="00F83EE2" w:rsidR="00055845">
        <w:rPr>
          <w:rFonts w:cs="Arial"/>
          <w:szCs w:val="20"/>
        </w:rPr>
        <w:t>oor de vrijstelling van bron</w:t>
      </w:r>
      <w:r w:rsidRPr="00F83EE2" w:rsidR="009F79C7">
        <w:rPr>
          <w:rFonts w:cs="Arial"/>
          <w:szCs w:val="20"/>
        </w:rPr>
        <w:t>belast</w:t>
      </w:r>
      <w:r w:rsidRPr="00F83EE2" w:rsidR="00055845">
        <w:rPr>
          <w:rFonts w:cs="Arial"/>
          <w:szCs w:val="20"/>
        </w:rPr>
        <w:t>ing moet</w:t>
      </w:r>
      <w:r w:rsidRPr="00F83EE2" w:rsidR="00EE1BE2">
        <w:rPr>
          <w:rFonts w:cs="Arial"/>
          <w:szCs w:val="20"/>
        </w:rPr>
        <w:t xml:space="preserve"> ten minste 365 dagen aan het vereiste bezitspercentage van </w:t>
      </w:r>
      <w:r w:rsidRPr="00F83EE2" w:rsidR="00041D9E">
        <w:rPr>
          <w:rFonts w:cs="Arial"/>
          <w:szCs w:val="20"/>
        </w:rPr>
        <w:t>5</w:t>
      </w:r>
      <w:r w:rsidRPr="00F83EE2" w:rsidR="00EE1BE2">
        <w:rPr>
          <w:rFonts w:cs="Arial"/>
          <w:szCs w:val="20"/>
        </w:rPr>
        <w:t xml:space="preserve">% </w:t>
      </w:r>
      <w:r w:rsidRPr="00F83EE2" w:rsidR="00ED3573">
        <w:rPr>
          <w:rFonts w:cs="Arial"/>
          <w:szCs w:val="20"/>
        </w:rPr>
        <w:t xml:space="preserve">worden </w:t>
      </w:r>
      <w:r w:rsidRPr="00F83EE2" w:rsidR="00EE1BE2">
        <w:rPr>
          <w:rFonts w:cs="Arial"/>
          <w:szCs w:val="20"/>
        </w:rPr>
        <w:t xml:space="preserve">voldaan (‘minimumbezitsperiode’). Daarbij is </w:t>
      </w:r>
      <w:r w:rsidRPr="00F83EE2" w:rsidR="009A15B0">
        <w:rPr>
          <w:rFonts w:cs="Arial"/>
          <w:szCs w:val="20"/>
        </w:rPr>
        <w:t xml:space="preserve">het </w:t>
      </w:r>
      <w:r w:rsidRPr="00F83EE2" w:rsidR="00EE1BE2">
        <w:rPr>
          <w:rFonts w:cs="Arial"/>
          <w:szCs w:val="20"/>
        </w:rPr>
        <w:t>van belang dat ook dagen na een dividendbetaling meetellen. Hierdoor kunnen de verdragsvoordelen ook achteraf beschikbaar komen als na de dividendbetaling wordt voldaan aan de minimumbezitsperiode</w:t>
      </w:r>
      <w:r w:rsidRPr="00F83EE2" w:rsidR="00FB3AF8">
        <w:rPr>
          <w:rFonts w:cs="Arial"/>
          <w:szCs w:val="20"/>
        </w:rPr>
        <w:t>.</w:t>
      </w:r>
      <w:r w:rsidRPr="00F83EE2" w:rsidR="00E75390">
        <w:rPr>
          <w:rFonts w:cs="Arial"/>
          <w:szCs w:val="20"/>
        </w:rPr>
        <w:t xml:space="preserve"> Met betrekking tot het vereiste bezitspercentage </w:t>
      </w:r>
      <w:r w:rsidRPr="00F83EE2" w:rsidR="00954DAC">
        <w:rPr>
          <w:rFonts w:cs="Arial"/>
          <w:szCs w:val="20"/>
        </w:rPr>
        <w:t xml:space="preserve">voor deelnemingsdividenden </w:t>
      </w:r>
      <w:r w:rsidRPr="00F83EE2" w:rsidR="00E75390">
        <w:rPr>
          <w:rFonts w:cs="Arial"/>
          <w:szCs w:val="20"/>
        </w:rPr>
        <w:t xml:space="preserve">is aangesloten bij de </w:t>
      </w:r>
      <w:r w:rsidRPr="00F83EE2" w:rsidR="00395C8A">
        <w:rPr>
          <w:rFonts w:cs="Arial"/>
          <w:szCs w:val="20"/>
        </w:rPr>
        <w:t xml:space="preserve">bezitspercentage van 5% zoals </w:t>
      </w:r>
      <w:r w:rsidRPr="00F83EE2" w:rsidR="00ED3573">
        <w:rPr>
          <w:rFonts w:cs="Arial"/>
          <w:szCs w:val="20"/>
        </w:rPr>
        <w:t xml:space="preserve">dat </w:t>
      </w:r>
      <w:r w:rsidRPr="00F83EE2" w:rsidR="00395C8A">
        <w:rPr>
          <w:rFonts w:cs="Arial"/>
          <w:szCs w:val="20"/>
        </w:rPr>
        <w:t xml:space="preserve">geldt voor de </w:t>
      </w:r>
      <w:r w:rsidRPr="00F83EE2" w:rsidR="009126EB">
        <w:rPr>
          <w:rFonts w:cs="Arial"/>
          <w:szCs w:val="20"/>
        </w:rPr>
        <w:t>inhoud</w:t>
      </w:r>
      <w:r w:rsidRPr="00F83EE2" w:rsidR="00395C8A">
        <w:rPr>
          <w:rFonts w:cs="Arial"/>
          <w:szCs w:val="20"/>
        </w:rPr>
        <w:t>ingsvrijstelling</w:t>
      </w:r>
      <w:r w:rsidRPr="00F83EE2" w:rsidR="009126EB">
        <w:rPr>
          <w:rFonts w:cs="Arial"/>
          <w:szCs w:val="20"/>
        </w:rPr>
        <w:t xml:space="preserve"> in de </w:t>
      </w:r>
      <w:r w:rsidRPr="00F83EE2" w:rsidR="000808AA">
        <w:rPr>
          <w:rFonts w:cs="Arial"/>
          <w:szCs w:val="20"/>
        </w:rPr>
        <w:t xml:space="preserve">Nederlandse </w:t>
      </w:r>
      <w:r w:rsidRPr="00F83EE2" w:rsidR="009126EB">
        <w:rPr>
          <w:rFonts w:cs="Arial"/>
          <w:szCs w:val="20"/>
        </w:rPr>
        <w:t xml:space="preserve">dividendbelasting. </w:t>
      </w:r>
      <w:r w:rsidRPr="00F83EE2" w:rsidR="00614691">
        <w:rPr>
          <w:rFonts w:cs="Arial"/>
          <w:szCs w:val="20"/>
        </w:rPr>
        <w:t>I</w:t>
      </w:r>
      <w:r w:rsidRPr="00F83EE2" w:rsidR="000808AA">
        <w:rPr>
          <w:rFonts w:cs="Arial"/>
          <w:szCs w:val="20"/>
        </w:rPr>
        <w:t xml:space="preserve">n onderdeel b </w:t>
      </w:r>
      <w:r w:rsidRPr="00F83EE2" w:rsidR="00614691">
        <w:rPr>
          <w:rFonts w:cs="Arial"/>
          <w:szCs w:val="20"/>
        </w:rPr>
        <w:t xml:space="preserve">is in lijn met het Nederlandse verdragsbeleid een </w:t>
      </w:r>
      <w:r w:rsidRPr="00F83EE2" w:rsidR="000808AA">
        <w:rPr>
          <w:rFonts w:cs="Arial"/>
          <w:szCs w:val="20"/>
        </w:rPr>
        <w:t xml:space="preserve">vrijstelling </w:t>
      </w:r>
      <w:r w:rsidRPr="00F83EE2" w:rsidR="00614691">
        <w:rPr>
          <w:rFonts w:cs="Arial"/>
          <w:szCs w:val="20"/>
        </w:rPr>
        <w:t xml:space="preserve">opgenomen </w:t>
      </w:r>
      <w:r w:rsidRPr="00F83EE2" w:rsidR="000808AA">
        <w:rPr>
          <w:rFonts w:cs="Arial"/>
          <w:szCs w:val="20"/>
        </w:rPr>
        <w:t xml:space="preserve">voor dividenden betaald aan erkende pensioenfondsen </w:t>
      </w:r>
      <w:r w:rsidRPr="00F83EE2" w:rsidR="00614691">
        <w:rPr>
          <w:rFonts w:cs="Arial"/>
          <w:szCs w:val="20"/>
        </w:rPr>
        <w:t xml:space="preserve">die zijn vrijgesteld </w:t>
      </w:r>
      <w:r w:rsidRPr="00F83EE2" w:rsidR="00614691">
        <w:t>voor de vennootschapsbelasting</w:t>
      </w:r>
      <w:r w:rsidRPr="00F83EE2" w:rsidR="000808AA">
        <w:rPr>
          <w:rFonts w:cs="Arial"/>
          <w:szCs w:val="20"/>
        </w:rPr>
        <w:t xml:space="preserve">. </w:t>
      </w:r>
    </w:p>
    <w:p w:rsidRPr="00B65B22" w:rsidR="00217AEC" w:rsidP="00217AEC" w:rsidRDefault="00772CEA" w14:paraId="7E4FBAB6" w14:textId="7A0D0A4E">
      <w:pPr>
        <w:ind w:firstLine="708"/>
        <w:rPr>
          <w:rFonts w:cs="Arial"/>
          <w:szCs w:val="20"/>
        </w:rPr>
      </w:pPr>
      <w:r w:rsidRPr="00F83EE2">
        <w:rPr>
          <w:rFonts w:cs="Arial"/>
          <w:szCs w:val="20"/>
        </w:rPr>
        <w:t>Op verzoek van Nederland is in artikel 2, eerste lid, va</w:t>
      </w:r>
      <w:r w:rsidRPr="00F83EE2" w:rsidR="00E0373B">
        <w:rPr>
          <w:rFonts w:cs="Arial"/>
          <w:szCs w:val="20"/>
        </w:rPr>
        <w:t xml:space="preserve">n het Protocol </w:t>
      </w:r>
      <w:r w:rsidRPr="00F83EE2" w:rsidR="009A15B0">
        <w:rPr>
          <w:rFonts w:cs="Arial"/>
          <w:szCs w:val="20"/>
        </w:rPr>
        <w:t xml:space="preserve">geregeld </w:t>
      </w:r>
      <w:r w:rsidRPr="00F83EE2" w:rsidR="00E0373B">
        <w:rPr>
          <w:rFonts w:cs="Arial"/>
          <w:szCs w:val="20"/>
        </w:rPr>
        <w:t>dat het V</w:t>
      </w:r>
      <w:r w:rsidRPr="00F83EE2">
        <w:rPr>
          <w:rFonts w:cs="Arial"/>
          <w:szCs w:val="20"/>
        </w:rPr>
        <w:t>erdrag er niet aan in de weg staat dat Nederland belasting kan heffen over de inkomsten in verband met een belang in een vrijgestelde beleggingsinstelling (hierna: VBI) in de zin van artikel 6a Wet Vpb 1969</w:t>
      </w:r>
      <w:r w:rsidRPr="00F83EE2" w:rsidR="00E0373B">
        <w:rPr>
          <w:rFonts w:cs="Arial"/>
          <w:szCs w:val="20"/>
        </w:rPr>
        <w:t>. Nederland mag echte</w:t>
      </w:r>
      <w:r w:rsidRPr="00F83EE2" w:rsidR="0005483E">
        <w:rPr>
          <w:rFonts w:cs="Arial"/>
          <w:szCs w:val="20"/>
        </w:rPr>
        <w:t>r</w:t>
      </w:r>
      <w:r w:rsidRPr="00F83EE2" w:rsidR="00E0373B">
        <w:rPr>
          <w:rFonts w:cs="Arial"/>
          <w:szCs w:val="20"/>
        </w:rPr>
        <w:t xml:space="preserve"> niet m</w:t>
      </w:r>
      <w:r w:rsidRPr="00F83EE2" w:rsidR="0005483E">
        <w:rPr>
          <w:rFonts w:cs="Arial"/>
          <w:szCs w:val="20"/>
        </w:rPr>
        <w:t>eer heffen dan 15% over de bruto</w:t>
      </w:r>
      <w:r w:rsidRPr="00F83EE2" w:rsidR="00E0373B">
        <w:rPr>
          <w:rFonts w:cs="Arial"/>
          <w:szCs w:val="20"/>
        </w:rPr>
        <w:t xml:space="preserve">-inkomsten van die VBI indien de </w:t>
      </w:r>
      <w:r w:rsidRPr="00F83EE2" w:rsidR="00E5779E">
        <w:rPr>
          <w:rFonts w:cs="Arial"/>
          <w:szCs w:val="20"/>
        </w:rPr>
        <w:t>uiteindelijk</w:t>
      </w:r>
      <w:r w:rsidRPr="00F83EE2" w:rsidR="00A5366C">
        <w:rPr>
          <w:rFonts w:cs="Arial"/>
          <w:szCs w:val="20"/>
        </w:rPr>
        <w:t>e</w:t>
      </w:r>
      <w:r w:rsidRPr="00F83EE2" w:rsidR="00E5779E">
        <w:rPr>
          <w:rFonts w:cs="Arial"/>
          <w:szCs w:val="20"/>
        </w:rPr>
        <w:t xml:space="preserve"> </w:t>
      </w:r>
      <w:r w:rsidRPr="00F83EE2" w:rsidR="00E0373B">
        <w:rPr>
          <w:rFonts w:cs="Arial"/>
          <w:szCs w:val="20"/>
        </w:rPr>
        <w:t xml:space="preserve">gerechtigde tot die inkomsten een inwoner is van Cyprus. </w:t>
      </w:r>
    </w:p>
    <w:p w:rsidRPr="002A5A61" w:rsidR="00772CEA" w:rsidP="00217AEC" w:rsidRDefault="00E0373B" w14:paraId="53BAD146" w14:textId="77777777">
      <w:pPr>
        <w:ind w:firstLine="708"/>
        <w:rPr>
          <w:rFonts w:cs="Arial"/>
          <w:szCs w:val="20"/>
        </w:rPr>
      </w:pPr>
      <w:r w:rsidRPr="00B65B22">
        <w:rPr>
          <w:rFonts w:cs="Arial"/>
          <w:szCs w:val="20"/>
        </w:rPr>
        <w:t>Ingevolge artikel 2</w:t>
      </w:r>
      <w:r w:rsidRPr="00B65B22" w:rsidR="004C5B8B">
        <w:rPr>
          <w:rFonts w:cs="Arial"/>
          <w:szCs w:val="20"/>
        </w:rPr>
        <w:t>,</w:t>
      </w:r>
      <w:r w:rsidRPr="00B65B22">
        <w:rPr>
          <w:rFonts w:cs="Arial"/>
          <w:szCs w:val="20"/>
        </w:rPr>
        <w:t xml:space="preserve"> </w:t>
      </w:r>
      <w:r w:rsidRPr="00B65B22" w:rsidR="004C5B8B">
        <w:rPr>
          <w:rFonts w:cs="Arial"/>
          <w:szCs w:val="20"/>
        </w:rPr>
        <w:t xml:space="preserve">tweede lid, </w:t>
      </w:r>
      <w:r w:rsidRPr="00B65B22">
        <w:rPr>
          <w:rFonts w:cs="Arial"/>
          <w:szCs w:val="20"/>
        </w:rPr>
        <w:t>van het Protocol laten de bepalingen van het tweede en derde lid van artikel 10 van het Verdrag de opbrengstbelasting die wordt geheven in het Caribische deel van Nederland</w:t>
      </w:r>
      <w:r w:rsidRPr="00B65B22" w:rsidR="00217AEC">
        <w:rPr>
          <w:rFonts w:cs="Arial"/>
          <w:szCs w:val="20"/>
        </w:rPr>
        <w:t xml:space="preserve"> onverlet.</w:t>
      </w:r>
    </w:p>
    <w:p w:rsidRPr="00363E1C" w:rsidR="003E1ACA" w:rsidP="00D2257E" w:rsidRDefault="00772CEA" w14:paraId="40FB5FB1" w14:textId="77777777">
      <w:pPr>
        <w:rPr>
          <w:rFonts w:cs="Arial"/>
          <w:szCs w:val="20"/>
        </w:rPr>
      </w:pPr>
      <w:r w:rsidRPr="00CF0A8D">
        <w:rPr>
          <w:rFonts w:cs="Arial"/>
          <w:szCs w:val="20"/>
        </w:rPr>
        <w:t xml:space="preserve">Artikel </w:t>
      </w:r>
      <w:r w:rsidRPr="00CF0A8D" w:rsidR="00217AEC">
        <w:rPr>
          <w:rFonts w:cs="Arial"/>
          <w:szCs w:val="20"/>
        </w:rPr>
        <w:t>2</w:t>
      </w:r>
      <w:r w:rsidRPr="00CF0A8D">
        <w:rPr>
          <w:rFonts w:cs="Arial"/>
          <w:szCs w:val="20"/>
        </w:rPr>
        <w:t xml:space="preserve">, </w:t>
      </w:r>
      <w:r w:rsidRPr="00CF0A8D" w:rsidR="00217AEC">
        <w:rPr>
          <w:rFonts w:cs="Arial"/>
          <w:szCs w:val="20"/>
        </w:rPr>
        <w:t>der</w:t>
      </w:r>
      <w:r w:rsidRPr="009C6DBA">
        <w:rPr>
          <w:rFonts w:cs="Arial"/>
          <w:szCs w:val="20"/>
        </w:rPr>
        <w:t xml:space="preserve">de lid, </w:t>
      </w:r>
      <w:r w:rsidRPr="009C6DBA" w:rsidR="00217AEC">
        <w:rPr>
          <w:rFonts w:cs="Arial"/>
          <w:szCs w:val="20"/>
        </w:rPr>
        <w:t xml:space="preserve">van het Protocol </w:t>
      </w:r>
      <w:r w:rsidRPr="009C6DBA">
        <w:rPr>
          <w:rFonts w:cs="Arial"/>
          <w:szCs w:val="20"/>
        </w:rPr>
        <w:t>bepaalt dat artikel 10, derde lid, van het Verdrag niet van toepassing is op dividenden betaald aan of ontvangen door een fiscale beleggingsinstelling (hierna: FBI) in de zin van artikel 28 Wet Vpb 1969. Dit betekent dat artikel 10, derde lid, niet van toepassing is op een FBI. Op grond van artikel 10, derde lid, wordt over dividenden die worden betaald in deelnemingsverhoudingen geen bronbelasting geheven. Dit sluit aan bij het Nederlandse uitgangspunt om in deelnemingsverhoudingen (economische) dubbele belasting op vennootschapsniveau te voorkomen. Daarbij gaat het om dividenden die in concernverband worden betaald en niet om dividenden in de beleggingensfeer (portfoliodividenden). Om die reden komt (volgens artikel 13, achtste lid, Wet Vpb 1969) een FBI niet in aanmerking voor de toepassing van de deelnemingsvrijstelling. De deelnemingsvrijstelling is ingevolge artikel 13, negende lid, Wet Vpb 1969 ook niet van toepassing op een in een FBI gehouden belang. Het uitzonderen van door een FBI betaalde of ontvangen dividenden van de in artikel 10, derde lid, opgenomen vrijstelling van bronheffing over deelnemingsdividenden sluit hierbij aan.</w:t>
      </w:r>
      <w:r w:rsidRPr="009C6DBA" w:rsidR="000E2580">
        <w:rPr>
          <w:rFonts w:cs="Arial"/>
          <w:szCs w:val="20"/>
        </w:rPr>
        <w:t xml:space="preserve"> Dit sluit ook aan </w:t>
      </w:r>
      <w:r w:rsidRPr="009C6DBA" w:rsidR="000E5AF2">
        <w:rPr>
          <w:rFonts w:cs="Arial"/>
          <w:szCs w:val="20"/>
        </w:rPr>
        <w:t xml:space="preserve">bij </w:t>
      </w:r>
      <w:r w:rsidRPr="009C6DBA" w:rsidR="009B60A2">
        <w:rPr>
          <w:rFonts w:cs="Arial"/>
          <w:szCs w:val="20"/>
        </w:rPr>
        <w:t xml:space="preserve">een aanbeveling op dit punt zoals opgenomen in het </w:t>
      </w:r>
      <w:r w:rsidRPr="00111169" w:rsidR="00B8161B">
        <w:rPr>
          <w:rFonts w:cs="Arial"/>
          <w:szCs w:val="20"/>
        </w:rPr>
        <w:t xml:space="preserve">reeds genoemde </w:t>
      </w:r>
      <w:r w:rsidRPr="00111169" w:rsidR="009B60A2">
        <w:rPr>
          <w:rFonts w:cs="Arial"/>
          <w:szCs w:val="20"/>
        </w:rPr>
        <w:t xml:space="preserve">rapport </w:t>
      </w:r>
      <w:r w:rsidRPr="00363E1C" w:rsidR="00C064F5">
        <w:rPr>
          <w:rFonts w:cs="Arial"/>
          <w:szCs w:val="20"/>
        </w:rPr>
        <w:t>bij a</w:t>
      </w:r>
      <w:r w:rsidRPr="00363E1C" w:rsidR="009B60A2">
        <w:rPr>
          <w:rFonts w:cs="Arial"/>
          <w:szCs w:val="20"/>
        </w:rPr>
        <w:t xml:space="preserve">ctiepunt 6 van het BEPS-project </w:t>
      </w:r>
      <w:r w:rsidRPr="00363E1C" w:rsidR="00C064F5">
        <w:rPr>
          <w:rFonts w:cs="Arial"/>
          <w:szCs w:val="20"/>
        </w:rPr>
        <w:t>(pagina’s 70 en 71)</w:t>
      </w:r>
      <w:r w:rsidRPr="00363E1C" w:rsidR="000E5AF2">
        <w:rPr>
          <w:rFonts w:cs="Arial"/>
          <w:szCs w:val="20"/>
        </w:rPr>
        <w:t>.</w:t>
      </w:r>
      <w:r w:rsidRPr="00363E1C" w:rsidR="00C810BB">
        <w:rPr>
          <w:rFonts w:cs="Arial"/>
          <w:szCs w:val="20"/>
        </w:rPr>
        <w:t xml:space="preserve"> </w:t>
      </w:r>
    </w:p>
    <w:p w:rsidRPr="00F83EE2" w:rsidR="007B6437" w:rsidP="007B6437" w:rsidRDefault="007B6437" w14:paraId="0692ED69" w14:textId="77777777">
      <w:pPr>
        <w:ind w:firstLine="720"/>
        <w:rPr>
          <w:rFonts w:cs="Arial"/>
          <w:szCs w:val="20"/>
        </w:rPr>
      </w:pPr>
      <w:r w:rsidRPr="000F52B8">
        <w:rPr>
          <w:rFonts w:cs="Arial"/>
          <w:szCs w:val="20"/>
        </w:rPr>
        <w:t>Ingevolge het v</w:t>
      </w:r>
      <w:r w:rsidRPr="002006EE" w:rsidR="00143FC9">
        <w:rPr>
          <w:rFonts w:cs="Arial"/>
          <w:szCs w:val="20"/>
        </w:rPr>
        <w:t>ierde</w:t>
      </w:r>
      <w:r w:rsidRPr="002006EE">
        <w:rPr>
          <w:rFonts w:cs="Arial"/>
          <w:szCs w:val="20"/>
        </w:rPr>
        <w:t xml:space="preserve"> lid laten de </w:t>
      </w:r>
      <w:r w:rsidRPr="008B1145" w:rsidR="00565347">
        <w:rPr>
          <w:rFonts w:cs="Arial"/>
          <w:szCs w:val="20"/>
        </w:rPr>
        <w:t xml:space="preserve">in het tweede en derde lid opgenomen </w:t>
      </w:r>
      <w:r w:rsidRPr="00F83EE2">
        <w:rPr>
          <w:rFonts w:cs="Arial"/>
          <w:szCs w:val="20"/>
        </w:rPr>
        <w:t>bepalingen de belastingheffing over de winst waaru</w:t>
      </w:r>
      <w:r w:rsidRPr="00F83EE2" w:rsidR="00732FC3">
        <w:rPr>
          <w:rFonts w:cs="Arial"/>
          <w:szCs w:val="20"/>
        </w:rPr>
        <w:t>it de dividenden worden betaald</w:t>
      </w:r>
      <w:r w:rsidRPr="00F83EE2" w:rsidR="00565347">
        <w:rPr>
          <w:rFonts w:cs="Arial"/>
          <w:szCs w:val="20"/>
        </w:rPr>
        <w:t>,</w:t>
      </w:r>
      <w:r w:rsidRPr="00F83EE2">
        <w:rPr>
          <w:rFonts w:cs="Arial"/>
          <w:szCs w:val="20"/>
        </w:rPr>
        <w:t xml:space="preserve"> onverlet.</w:t>
      </w:r>
    </w:p>
    <w:p w:rsidRPr="00F83EE2" w:rsidR="007B6437" w:rsidP="007B6437" w:rsidRDefault="007B6437" w14:paraId="4DAA7C08" w14:textId="77777777">
      <w:pPr>
        <w:ind w:firstLine="720"/>
        <w:rPr>
          <w:rFonts w:cs="Arial"/>
          <w:szCs w:val="20"/>
        </w:rPr>
      </w:pPr>
      <w:r w:rsidRPr="00F83EE2">
        <w:rPr>
          <w:rFonts w:cs="Arial"/>
          <w:szCs w:val="20"/>
        </w:rPr>
        <w:t xml:space="preserve">De in het </w:t>
      </w:r>
      <w:r w:rsidRPr="00F83EE2" w:rsidR="00143FC9">
        <w:rPr>
          <w:rFonts w:cs="Arial"/>
          <w:szCs w:val="20"/>
        </w:rPr>
        <w:t xml:space="preserve">vijfde </w:t>
      </w:r>
      <w:r w:rsidRPr="00F83EE2">
        <w:rPr>
          <w:rFonts w:cs="Arial"/>
          <w:szCs w:val="20"/>
        </w:rPr>
        <w:t xml:space="preserve">lid opgenomen definitie van </w:t>
      </w:r>
      <w:r w:rsidRPr="00F83EE2" w:rsidR="00263118">
        <w:rPr>
          <w:rFonts w:cs="Arial"/>
          <w:szCs w:val="20"/>
        </w:rPr>
        <w:t>de term “</w:t>
      </w:r>
      <w:r w:rsidRPr="00F83EE2">
        <w:rPr>
          <w:rFonts w:cs="Arial"/>
          <w:szCs w:val="20"/>
        </w:rPr>
        <w:t>dividenden</w:t>
      </w:r>
      <w:r w:rsidRPr="00F83EE2" w:rsidR="00263118">
        <w:rPr>
          <w:rFonts w:cs="Arial"/>
          <w:szCs w:val="20"/>
        </w:rPr>
        <w:t>”</w:t>
      </w:r>
      <w:r w:rsidRPr="00F83EE2">
        <w:rPr>
          <w:rFonts w:cs="Arial"/>
          <w:szCs w:val="20"/>
        </w:rPr>
        <w:t xml:space="preserve"> komt overeen met de definitie in het OESO-modelverdrag. </w:t>
      </w:r>
      <w:r w:rsidRPr="00F83EE2" w:rsidR="00B33DE9">
        <w:rPr>
          <w:rFonts w:cs="Arial"/>
          <w:szCs w:val="20"/>
        </w:rPr>
        <w:t>I</w:t>
      </w:r>
      <w:r w:rsidRPr="00F83EE2" w:rsidR="00AD4AD7">
        <w:rPr>
          <w:rFonts w:cs="Arial"/>
          <w:szCs w:val="20"/>
        </w:rPr>
        <w:t xml:space="preserve">n artikel </w:t>
      </w:r>
      <w:r w:rsidRPr="00F83EE2" w:rsidR="004112E0">
        <w:rPr>
          <w:rFonts w:cs="Arial"/>
          <w:szCs w:val="20"/>
        </w:rPr>
        <w:t>3</w:t>
      </w:r>
      <w:r w:rsidRPr="00F83EE2" w:rsidR="00AD4AD7">
        <w:rPr>
          <w:rFonts w:cs="Arial"/>
          <w:szCs w:val="20"/>
        </w:rPr>
        <w:t xml:space="preserve"> van het Protocol </w:t>
      </w:r>
      <w:r w:rsidRPr="00F83EE2" w:rsidR="00B33DE9">
        <w:rPr>
          <w:rFonts w:cs="Arial"/>
          <w:szCs w:val="20"/>
        </w:rPr>
        <w:t xml:space="preserve">is </w:t>
      </w:r>
      <w:r w:rsidRPr="00F83EE2" w:rsidR="00AD4AD7">
        <w:rPr>
          <w:rFonts w:cs="Arial"/>
          <w:szCs w:val="20"/>
        </w:rPr>
        <w:t xml:space="preserve">bepaald dat inkomsten die worden genoten </w:t>
      </w:r>
      <w:r w:rsidRPr="00F83EE2" w:rsidR="00115A9B">
        <w:rPr>
          <w:rFonts w:cs="Arial"/>
          <w:szCs w:val="20"/>
        </w:rPr>
        <w:t xml:space="preserve">uit </w:t>
      </w:r>
      <w:r w:rsidRPr="00F83EE2" w:rsidR="00AD4AD7">
        <w:rPr>
          <w:rFonts w:cs="Arial"/>
          <w:szCs w:val="20"/>
        </w:rPr>
        <w:t xml:space="preserve">de inkoop van aandelen of de (gedeeltelijke) liquidatie van een vennootschap, voor </w:t>
      </w:r>
      <w:r w:rsidRPr="00F83EE2" w:rsidR="00115A9B">
        <w:rPr>
          <w:rFonts w:cs="Arial"/>
          <w:szCs w:val="20"/>
        </w:rPr>
        <w:t xml:space="preserve">de </w:t>
      </w:r>
      <w:r w:rsidRPr="00F83EE2" w:rsidR="00AD4AD7">
        <w:rPr>
          <w:rFonts w:cs="Arial"/>
          <w:szCs w:val="20"/>
        </w:rPr>
        <w:t xml:space="preserve">toepassing van het Verdrag </w:t>
      </w:r>
      <w:r w:rsidRPr="00F83EE2" w:rsidR="00115A9B">
        <w:rPr>
          <w:rFonts w:cs="Arial"/>
          <w:szCs w:val="20"/>
        </w:rPr>
        <w:t xml:space="preserve">wat betreft Nederland </w:t>
      </w:r>
      <w:r w:rsidRPr="00F83EE2" w:rsidR="00AD4AD7">
        <w:rPr>
          <w:rFonts w:cs="Arial"/>
          <w:szCs w:val="20"/>
        </w:rPr>
        <w:t xml:space="preserve">worden aangemerkt als dividend </w:t>
      </w:r>
      <w:r w:rsidRPr="00F83EE2" w:rsidR="00115A9B">
        <w:rPr>
          <w:rFonts w:cs="Arial"/>
          <w:szCs w:val="20"/>
        </w:rPr>
        <w:t>(</w:t>
      </w:r>
      <w:r w:rsidRPr="00F83EE2" w:rsidR="00AD4AD7">
        <w:rPr>
          <w:rFonts w:cs="Arial"/>
          <w:szCs w:val="20"/>
        </w:rPr>
        <w:t xml:space="preserve">en </w:t>
      </w:r>
      <w:r w:rsidRPr="00F83EE2" w:rsidR="00115A9B">
        <w:rPr>
          <w:rFonts w:cs="Arial"/>
          <w:szCs w:val="20"/>
        </w:rPr>
        <w:t xml:space="preserve">derhalve </w:t>
      </w:r>
      <w:r w:rsidRPr="00F83EE2" w:rsidR="00AD4AD7">
        <w:rPr>
          <w:rFonts w:cs="Arial"/>
          <w:szCs w:val="20"/>
        </w:rPr>
        <w:t>niet als vermogenswinst</w:t>
      </w:r>
      <w:r w:rsidRPr="00F83EE2" w:rsidR="00115A9B">
        <w:rPr>
          <w:rFonts w:cs="Arial"/>
          <w:szCs w:val="20"/>
        </w:rPr>
        <w:t>)</w:t>
      </w:r>
      <w:r w:rsidRPr="00F83EE2" w:rsidR="00AD4AD7">
        <w:rPr>
          <w:rFonts w:cs="Arial"/>
          <w:szCs w:val="20"/>
        </w:rPr>
        <w:t xml:space="preserve">. Dit sluit aan bij het in onderdeel 2.9.5 van de NFV 2011 </w:t>
      </w:r>
      <w:r w:rsidRPr="00F83EE2" w:rsidR="00115A9B">
        <w:rPr>
          <w:rFonts w:cs="Arial"/>
          <w:szCs w:val="20"/>
        </w:rPr>
        <w:t>uiteengezette</w:t>
      </w:r>
      <w:r w:rsidRPr="00F83EE2" w:rsidR="00AD4AD7">
        <w:rPr>
          <w:rFonts w:cs="Arial"/>
          <w:szCs w:val="20"/>
        </w:rPr>
        <w:t xml:space="preserve"> verdragsbeleid.</w:t>
      </w:r>
    </w:p>
    <w:p w:rsidRPr="00F83EE2" w:rsidR="00294796" w:rsidP="007B6437" w:rsidRDefault="00D122CA" w14:paraId="2065232A" w14:textId="77777777">
      <w:pPr>
        <w:ind w:firstLine="720"/>
        <w:rPr>
          <w:rFonts w:cs="Arial"/>
          <w:szCs w:val="20"/>
        </w:rPr>
      </w:pPr>
      <w:r w:rsidRPr="00F83EE2">
        <w:rPr>
          <w:rFonts w:cs="Arial"/>
          <w:szCs w:val="20"/>
        </w:rPr>
        <w:t xml:space="preserve">Op grond van het </w:t>
      </w:r>
      <w:r w:rsidRPr="00F83EE2" w:rsidR="00294796">
        <w:rPr>
          <w:rFonts w:cs="Arial"/>
          <w:szCs w:val="20"/>
        </w:rPr>
        <w:t>ze</w:t>
      </w:r>
      <w:r w:rsidRPr="00F83EE2" w:rsidR="00143FC9">
        <w:rPr>
          <w:rFonts w:cs="Arial"/>
          <w:szCs w:val="20"/>
        </w:rPr>
        <w:t>s</w:t>
      </w:r>
      <w:r w:rsidRPr="00F83EE2" w:rsidR="00294796">
        <w:rPr>
          <w:rFonts w:cs="Arial"/>
          <w:szCs w:val="20"/>
        </w:rPr>
        <w:t>de</w:t>
      </w:r>
      <w:r w:rsidRPr="00F83EE2">
        <w:rPr>
          <w:rFonts w:cs="Arial"/>
          <w:szCs w:val="20"/>
        </w:rPr>
        <w:t xml:space="preserve"> lid zi</w:t>
      </w:r>
      <w:r w:rsidRPr="00F83EE2" w:rsidR="00355C55">
        <w:rPr>
          <w:rFonts w:cs="Arial"/>
          <w:szCs w:val="20"/>
        </w:rPr>
        <w:t xml:space="preserve">jn </w:t>
      </w:r>
      <w:r w:rsidRPr="00F83EE2" w:rsidR="005548E6">
        <w:rPr>
          <w:rFonts w:cs="Arial"/>
          <w:szCs w:val="20"/>
        </w:rPr>
        <w:t xml:space="preserve">de bepalingen van </w:t>
      </w:r>
      <w:r w:rsidRPr="00F83EE2" w:rsidR="00355C55">
        <w:rPr>
          <w:rFonts w:cs="Arial"/>
          <w:szCs w:val="20"/>
        </w:rPr>
        <w:t>het eerste, tweede, derde en achtste</w:t>
      </w:r>
      <w:r w:rsidRPr="00F83EE2" w:rsidR="005E5976">
        <w:rPr>
          <w:rFonts w:cs="Arial"/>
          <w:szCs w:val="20"/>
        </w:rPr>
        <w:t xml:space="preserve"> </w:t>
      </w:r>
      <w:r w:rsidRPr="00F83EE2">
        <w:rPr>
          <w:rFonts w:cs="Arial"/>
          <w:szCs w:val="20"/>
        </w:rPr>
        <w:t xml:space="preserve">lid niet van toepassing op dividenden betaald op </w:t>
      </w:r>
      <w:r w:rsidRPr="00F83EE2" w:rsidR="00055845">
        <w:rPr>
          <w:rFonts w:cs="Arial"/>
          <w:szCs w:val="20"/>
        </w:rPr>
        <w:t>rechten</w:t>
      </w:r>
      <w:r w:rsidRPr="00F83EE2">
        <w:rPr>
          <w:rFonts w:cs="Arial"/>
          <w:szCs w:val="20"/>
        </w:rPr>
        <w:t xml:space="preserve"> die behoren tot het vermogen van een vaste inrichting van de uiteindelijk gerechtigde tot de dividenden, wanneer die vaste inrichting is gelegen in de verdragsluitende staat waarvan het lichaam dat de dividenden betaalt inwoner is.</w:t>
      </w:r>
      <w:r w:rsidRPr="00F83EE2">
        <w:rPr>
          <w:rFonts w:cs="Arial"/>
          <w:color w:val="0000FF"/>
        </w:rPr>
        <w:t xml:space="preserve"> </w:t>
      </w:r>
      <w:r w:rsidRPr="00F83EE2">
        <w:rPr>
          <w:rFonts w:cs="Arial"/>
          <w:szCs w:val="20"/>
        </w:rPr>
        <w:t>In dat geval zijn de bepalingen van artikel 7 van toepassing.</w:t>
      </w:r>
    </w:p>
    <w:p w:rsidRPr="00F83EE2" w:rsidR="00493DD4" w:rsidP="00493DD4" w:rsidRDefault="00F75000" w14:paraId="6302B715" w14:textId="77777777">
      <w:pPr>
        <w:ind w:firstLine="720"/>
        <w:rPr>
          <w:rFonts w:cs="Arial"/>
          <w:szCs w:val="20"/>
        </w:rPr>
      </w:pPr>
      <w:r w:rsidRPr="00F83EE2">
        <w:rPr>
          <w:rFonts w:cs="Arial"/>
          <w:szCs w:val="20"/>
        </w:rPr>
        <w:t>Het</w:t>
      </w:r>
      <w:r w:rsidRPr="00F83EE2" w:rsidR="007B6437">
        <w:rPr>
          <w:rFonts w:cs="Arial"/>
          <w:szCs w:val="20"/>
        </w:rPr>
        <w:t xml:space="preserve"> </w:t>
      </w:r>
      <w:r w:rsidRPr="00F83EE2" w:rsidR="00143FC9">
        <w:rPr>
          <w:rFonts w:cs="Arial"/>
          <w:szCs w:val="20"/>
        </w:rPr>
        <w:t>zevende</w:t>
      </w:r>
      <w:r w:rsidRPr="00F83EE2">
        <w:rPr>
          <w:rFonts w:cs="Arial"/>
          <w:szCs w:val="20"/>
        </w:rPr>
        <w:t xml:space="preserve"> lid bevat</w:t>
      </w:r>
      <w:r w:rsidRPr="00F83EE2" w:rsidR="007B6437">
        <w:rPr>
          <w:rFonts w:cs="Arial"/>
          <w:szCs w:val="20"/>
        </w:rPr>
        <w:t xml:space="preserve"> het </w:t>
      </w:r>
      <w:r w:rsidRPr="00F83EE2" w:rsidR="00294796">
        <w:rPr>
          <w:rFonts w:cs="Arial"/>
          <w:szCs w:val="20"/>
        </w:rPr>
        <w:t xml:space="preserve">zogenoemde </w:t>
      </w:r>
      <w:r w:rsidRPr="00F83EE2" w:rsidR="007B6437">
        <w:rPr>
          <w:rFonts w:cs="Arial"/>
          <w:szCs w:val="20"/>
        </w:rPr>
        <w:t xml:space="preserve">verbod op extraterritoriale belastingheffing. Dit verbod houdt in dat een </w:t>
      </w:r>
      <w:r w:rsidRPr="00F83EE2" w:rsidR="00AF2710">
        <w:rPr>
          <w:rFonts w:cs="Arial"/>
          <w:szCs w:val="20"/>
        </w:rPr>
        <w:t>verdragsluitende</w:t>
      </w:r>
      <w:r w:rsidRPr="00F83EE2" w:rsidR="007B6437">
        <w:rPr>
          <w:rFonts w:cs="Arial"/>
          <w:szCs w:val="20"/>
        </w:rPr>
        <w:t xml:space="preserve"> </w:t>
      </w:r>
      <w:r w:rsidRPr="00F83EE2" w:rsidR="00294796">
        <w:rPr>
          <w:rFonts w:cs="Arial"/>
          <w:szCs w:val="20"/>
        </w:rPr>
        <w:t>staat</w:t>
      </w:r>
      <w:r w:rsidRPr="00F83EE2" w:rsidR="007B6437">
        <w:rPr>
          <w:rFonts w:cs="Arial"/>
          <w:szCs w:val="20"/>
        </w:rPr>
        <w:t xml:space="preserve"> geen belasting mag heffen over winsten uitgekeerd door e</w:t>
      </w:r>
      <w:r w:rsidRPr="00F83EE2">
        <w:rPr>
          <w:rFonts w:cs="Arial"/>
          <w:szCs w:val="20"/>
        </w:rPr>
        <w:t>en lichaam</w:t>
      </w:r>
      <w:r w:rsidRPr="00F83EE2" w:rsidR="00294796">
        <w:rPr>
          <w:rFonts w:cs="Arial"/>
          <w:szCs w:val="20"/>
        </w:rPr>
        <w:t xml:space="preserve"> dat inwoner is van de andere verdragsluitende staat</w:t>
      </w:r>
      <w:r w:rsidRPr="00F83EE2" w:rsidR="007B6437">
        <w:rPr>
          <w:rFonts w:cs="Arial"/>
          <w:szCs w:val="20"/>
        </w:rPr>
        <w:t xml:space="preserve">, ook al bestaan deze winsten uit voordelen of inkomsten die uit de eerstbedoelde </w:t>
      </w:r>
      <w:r w:rsidRPr="00F83EE2" w:rsidR="008319A7">
        <w:rPr>
          <w:rFonts w:cs="Arial"/>
          <w:szCs w:val="20"/>
        </w:rPr>
        <w:t>staat</w:t>
      </w:r>
      <w:r w:rsidRPr="00F83EE2" w:rsidR="00D25594">
        <w:rPr>
          <w:rFonts w:cs="Arial"/>
          <w:szCs w:val="20"/>
        </w:rPr>
        <w:t xml:space="preserve"> afkomstig zijn, behoudens wanneer die dividenden zijn toe te rekenen aan een vaste inrichting in die staat of worden ontvangen door inwoners van die staat. </w:t>
      </w:r>
    </w:p>
    <w:p w:rsidRPr="00F83EE2" w:rsidR="00493DD4" w:rsidP="00493DD4" w:rsidRDefault="00D25594" w14:paraId="7A367CA3" w14:textId="77777777">
      <w:pPr>
        <w:ind w:firstLine="720"/>
        <w:rPr>
          <w:rFonts w:cs="Arial"/>
          <w:szCs w:val="20"/>
        </w:rPr>
      </w:pPr>
      <w:r w:rsidRPr="00F83EE2">
        <w:t xml:space="preserve">In het </w:t>
      </w:r>
      <w:r w:rsidRPr="00F83EE2" w:rsidR="00143FC9">
        <w:t>achtste</w:t>
      </w:r>
      <w:r w:rsidRPr="00F83EE2">
        <w:t xml:space="preserve"> lid is op verzoek van Nederland </w:t>
      </w:r>
      <w:r w:rsidRPr="00F83EE2" w:rsidR="00D122CA">
        <w:rPr>
          <w:rFonts w:cs="Arial"/>
          <w:szCs w:val="20"/>
        </w:rPr>
        <w:t xml:space="preserve">een bepaling </w:t>
      </w:r>
      <w:r w:rsidRPr="00F83EE2">
        <w:rPr>
          <w:rFonts w:cs="Arial"/>
          <w:szCs w:val="20"/>
        </w:rPr>
        <w:t>opgenomen voor</w:t>
      </w:r>
      <w:r w:rsidRPr="00F83EE2" w:rsidR="00D122CA">
        <w:rPr>
          <w:rFonts w:cs="Arial"/>
          <w:szCs w:val="20"/>
        </w:rPr>
        <w:t xml:space="preserve"> dividenden die worden ontvangen door geëmigreerde natuurlijke personen</w:t>
      </w:r>
      <w:r w:rsidRPr="00F83EE2" w:rsidR="00374E01">
        <w:rPr>
          <w:rFonts w:cs="Arial"/>
          <w:szCs w:val="20"/>
        </w:rPr>
        <w:t xml:space="preserve"> </w:t>
      </w:r>
      <w:r w:rsidRPr="00F83EE2" w:rsidR="001C58D0">
        <w:rPr>
          <w:rFonts w:cs="Arial"/>
          <w:szCs w:val="20"/>
        </w:rPr>
        <w:t>uit</w:t>
      </w:r>
      <w:r w:rsidRPr="00F83EE2" w:rsidR="005E5976">
        <w:rPr>
          <w:rFonts w:cs="Arial"/>
          <w:szCs w:val="20"/>
        </w:rPr>
        <w:t xml:space="preserve"> </w:t>
      </w:r>
      <w:r w:rsidRPr="00F83EE2" w:rsidR="001C58D0">
        <w:rPr>
          <w:rFonts w:cs="Arial"/>
          <w:szCs w:val="20"/>
        </w:rPr>
        <w:t xml:space="preserve">hoofde </w:t>
      </w:r>
      <w:r w:rsidRPr="00F83EE2" w:rsidR="00374E01">
        <w:rPr>
          <w:rFonts w:cs="Arial"/>
          <w:szCs w:val="20"/>
        </w:rPr>
        <w:t>van</w:t>
      </w:r>
      <w:r w:rsidRPr="00F83EE2" w:rsidR="00D122CA">
        <w:rPr>
          <w:rFonts w:cs="Arial"/>
          <w:szCs w:val="20"/>
        </w:rPr>
        <w:t xml:space="preserve"> een aanmerkelijk</w:t>
      </w:r>
      <w:r w:rsidRPr="00F83EE2" w:rsidR="005E5976">
        <w:rPr>
          <w:rFonts w:cs="Arial"/>
          <w:szCs w:val="20"/>
        </w:rPr>
        <w:t xml:space="preserve"> </w:t>
      </w:r>
      <w:r w:rsidRPr="00F83EE2" w:rsidR="00D122CA">
        <w:rPr>
          <w:rFonts w:cs="Arial"/>
          <w:szCs w:val="20"/>
        </w:rPr>
        <w:t xml:space="preserve">belang in een </w:t>
      </w:r>
      <w:r w:rsidRPr="00F83EE2" w:rsidR="00C9014E">
        <w:rPr>
          <w:rFonts w:cs="Arial"/>
          <w:szCs w:val="20"/>
        </w:rPr>
        <w:t xml:space="preserve">lichaam dat </w:t>
      </w:r>
      <w:r w:rsidRPr="00F83EE2" w:rsidR="00114C93">
        <w:rPr>
          <w:rFonts w:cs="Arial"/>
          <w:szCs w:val="20"/>
        </w:rPr>
        <w:t xml:space="preserve">volgens de nationale wetgeving </w:t>
      </w:r>
      <w:r w:rsidRPr="00F83EE2" w:rsidR="00C9014E">
        <w:rPr>
          <w:rFonts w:cs="Arial"/>
          <w:szCs w:val="20"/>
        </w:rPr>
        <w:t>van</w:t>
      </w:r>
      <w:r w:rsidRPr="00F83EE2" w:rsidR="00D122CA">
        <w:rPr>
          <w:rFonts w:cs="Arial"/>
          <w:szCs w:val="20"/>
        </w:rPr>
        <w:t xml:space="preserve"> </w:t>
      </w:r>
      <w:r w:rsidRPr="00F83EE2" w:rsidR="004F5199">
        <w:rPr>
          <w:rFonts w:cs="Arial"/>
          <w:szCs w:val="20"/>
        </w:rPr>
        <w:t>de voormalige woonstaat</w:t>
      </w:r>
      <w:r w:rsidRPr="00F83EE2" w:rsidR="00D122CA">
        <w:rPr>
          <w:rFonts w:cs="Arial"/>
          <w:szCs w:val="20"/>
        </w:rPr>
        <w:t xml:space="preserve"> </w:t>
      </w:r>
      <w:r w:rsidRPr="00F83EE2" w:rsidR="009A15B0">
        <w:rPr>
          <w:rFonts w:cs="Arial"/>
          <w:szCs w:val="20"/>
        </w:rPr>
        <w:t xml:space="preserve">van de geëmigreerde natuurlijke persoon </w:t>
      </w:r>
      <w:r w:rsidRPr="00F83EE2" w:rsidR="00114C93">
        <w:rPr>
          <w:rFonts w:cs="Arial"/>
          <w:szCs w:val="20"/>
        </w:rPr>
        <w:t xml:space="preserve">inwoner is </w:t>
      </w:r>
      <w:r w:rsidRPr="00F83EE2" w:rsidR="00C9014E">
        <w:rPr>
          <w:rFonts w:cs="Arial"/>
          <w:szCs w:val="20"/>
        </w:rPr>
        <w:t>van die staat</w:t>
      </w:r>
      <w:r w:rsidRPr="00F83EE2" w:rsidR="00D122CA">
        <w:rPr>
          <w:rFonts w:cs="Arial"/>
          <w:szCs w:val="20"/>
        </w:rPr>
        <w:t>. Conform het Nederlandse verdragsbeleid, zoals toegelicht in onderdeel 2.9.3 en 2.9.4 van de NFV 2011, zet Nederland erop in na emigratie van een aanmerkelijkbelanghouder het heffingsrecht te kunnen effectueren over dividenden uit aanmerkelijk</w:t>
      </w:r>
      <w:r w:rsidRPr="00F83EE2" w:rsidR="005E5976">
        <w:rPr>
          <w:rFonts w:cs="Arial"/>
          <w:szCs w:val="20"/>
        </w:rPr>
        <w:t xml:space="preserve"> </w:t>
      </w:r>
      <w:r w:rsidRPr="00F83EE2" w:rsidR="00D122CA">
        <w:rPr>
          <w:rFonts w:cs="Arial"/>
          <w:szCs w:val="20"/>
        </w:rPr>
        <w:t xml:space="preserve">belang die de belichaming vormen van de winstreserves (van het lichaam waarin het aanmerkelijk belang wordt gehouden) ter zake waarvan </w:t>
      </w:r>
      <w:r w:rsidRPr="00F83EE2" w:rsidR="00D3511D">
        <w:rPr>
          <w:rFonts w:cs="Arial"/>
          <w:szCs w:val="20"/>
        </w:rPr>
        <w:t xml:space="preserve">bij emigratie een </w:t>
      </w:r>
      <w:r w:rsidRPr="00F83EE2" w:rsidR="00D122CA">
        <w:rPr>
          <w:rFonts w:cs="Arial"/>
          <w:szCs w:val="20"/>
        </w:rPr>
        <w:t>conserverende aanslag is opgelegd</w:t>
      </w:r>
      <w:r w:rsidRPr="00F83EE2">
        <w:rPr>
          <w:rFonts w:cs="Arial"/>
          <w:szCs w:val="20"/>
        </w:rPr>
        <w:t xml:space="preserve"> </w:t>
      </w:r>
      <w:r w:rsidRPr="00F83EE2" w:rsidR="00D122CA">
        <w:rPr>
          <w:rFonts w:cs="Arial"/>
          <w:szCs w:val="20"/>
        </w:rPr>
        <w:t>(de zogenoemde “aanmerkelijkbelangclaim”). Op basis van deze, overigens wederkerig geformuleerde, bepaling mag Nederland</w:t>
      </w:r>
      <w:r w:rsidRPr="00F83EE2" w:rsidR="004112E0">
        <w:rPr>
          <w:rFonts w:cs="Arial"/>
          <w:szCs w:val="20"/>
        </w:rPr>
        <w:t xml:space="preserve"> </w:t>
      </w:r>
      <w:r w:rsidRPr="00F83EE2" w:rsidR="00D122CA">
        <w:rPr>
          <w:rFonts w:cs="Arial"/>
          <w:szCs w:val="20"/>
        </w:rPr>
        <w:t>bij uitkering van een aanmerkelijkbelangdividend tot het bedrag dat openstaat op de conserverende aanslag het nationale tarief voor inko</w:t>
      </w:r>
      <w:r w:rsidRPr="00F83EE2">
        <w:rPr>
          <w:rFonts w:cs="Arial"/>
          <w:szCs w:val="20"/>
        </w:rPr>
        <w:t>men uit aanmerkelijk belang (25</w:t>
      </w:r>
      <w:r w:rsidRPr="00F83EE2" w:rsidR="00055845">
        <w:rPr>
          <w:rFonts w:cs="Arial"/>
          <w:szCs w:val="20"/>
        </w:rPr>
        <w:t>%</w:t>
      </w:r>
      <w:r w:rsidRPr="00F83EE2" w:rsidR="00D122CA">
        <w:rPr>
          <w:rFonts w:cs="Arial"/>
          <w:szCs w:val="20"/>
        </w:rPr>
        <w:t>) toepassen, in plaats van het verdragstarie</w:t>
      </w:r>
      <w:r w:rsidRPr="00F83EE2">
        <w:rPr>
          <w:rFonts w:cs="Arial"/>
          <w:szCs w:val="20"/>
        </w:rPr>
        <w:t>f voor portfoliodividend van 15</w:t>
      </w:r>
      <w:r w:rsidRPr="00F83EE2" w:rsidR="005D0C8A">
        <w:rPr>
          <w:rFonts w:cs="Arial"/>
          <w:szCs w:val="20"/>
        </w:rPr>
        <w:t>%</w:t>
      </w:r>
      <w:r w:rsidRPr="00F83EE2" w:rsidR="00D122CA">
        <w:rPr>
          <w:rFonts w:cs="Arial"/>
          <w:szCs w:val="20"/>
        </w:rPr>
        <w:t xml:space="preserve">. </w:t>
      </w:r>
    </w:p>
    <w:p w:rsidRPr="00F83EE2" w:rsidR="00493DD4" w:rsidP="00493DD4" w:rsidRDefault="00493DD4" w14:paraId="17587B85" w14:textId="77777777">
      <w:pPr>
        <w:pStyle w:val="Kop2"/>
      </w:pPr>
      <w:r w:rsidRPr="00F83EE2">
        <w:rPr>
          <w:b w:val="0"/>
          <w:i/>
        </w:rPr>
        <w:t>Interest (artikel 11 van het Verdrag)</w:t>
      </w:r>
    </w:p>
    <w:p w:rsidRPr="00F83EE2" w:rsidR="00BB1D57" w:rsidP="004F5199" w:rsidRDefault="00A20D1C" w14:paraId="38874BFF" w14:textId="77777777">
      <w:pPr>
        <w:ind w:firstLine="708"/>
      </w:pPr>
      <w:r w:rsidRPr="00F83EE2">
        <w:t>Artikel 11</w:t>
      </w:r>
      <w:r w:rsidRPr="00F83EE2" w:rsidR="007B6437">
        <w:t xml:space="preserve"> </w:t>
      </w:r>
      <w:r w:rsidRPr="00F83EE2" w:rsidR="007943D1">
        <w:rPr>
          <w:rFonts w:cs="Arial"/>
          <w:bCs/>
          <w:iCs/>
          <w:szCs w:val="20"/>
        </w:rPr>
        <w:t xml:space="preserve">van het Verdrag </w:t>
      </w:r>
      <w:r w:rsidRPr="00F83EE2" w:rsidR="007B6437">
        <w:t>betreft de verdeling van heffingsrechten over interest</w:t>
      </w:r>
      <w:r w:rsidRPr="00F83EE2" w:rsidR="00BB1D57">
        <w:t>. Het artikel</w:t>
      </w:r>
      <w:r w:rsidRPr="00F83EE2" w:rsidR="000361AE">
        <w:t xml:space="preserve"> sluit tekstueel aan bij</w:t>
      </w:r>
      <w:r w:rsidRPr="00F83EE2" w:rsidR="00C43AF5">
        <w:t xml:space="preserve"> artikel 11 van het OESO-modelverdrag</w:t>
      </w:r>
      <w:r w:rsidRPr="00F83EE2" w:rsidR="000361AE">
        <w:t xml:space="preserve">, maar kent inhoudelijk een verschil omdat </w:t>
      </w:r>
      <w:r w:rsidRPr="00F83EE2" w:rsidR="005E5976">
        <w:t xml:space="preserve">Nederland en </w:t>
      </w:r>
      <w:r w:rsidRPr="00F83EE2" w:rsidR="00AD1C8B">
        <w:t xml:space="preserve">Cyprus </w:t>
      </w:r>
      <w:r w:rsidRPr="00F83EE2" w:rsidR="009950A9">
        <w:t>uitsluitende woonstaatheffing zijn overeengekomen</w:t>
      </w:r>
      <w:r w:rsidRPr="00F83EE2" w:rsidR="000361AE">
        <w:t>.</w:t>
      </w:r>
      <w:r w:rsidRPr="00F83EE2" w:rsidR="007B6437">
        <w:t xml:space="preserve"> Nederland heft </w:t>
      </w:r>
      <w:r w:rsidRPr="00F83EE2" w:rsidR="00483F13">
        <w:t xml:space="preserve">in de basis </w:t>
      </w:r>
      <w:r w:rsidRPr="00F83EE2" w:rsidR="007B6437">
        <w:t xml:space="preserve">geen bronbelasting over interest en streeft </w:t>
      </w:r>
      <w:r w:rsidRPr="00F83EE2" w:rsidR="00BF4602">
        <w:t>als</w:t>
      </w:r>
      <w:r w:rsidRPr="00F83EE2" w:rsidR="007B6437">
        <w:t xml:space="preserve"> hoofdregel naa</w:t>
      </w:r>
      <w:r w:rsidRPr="00F83EE2" w:rsidR="004E7B3A">
        <w:t xml:space="preserve">r </w:t>
      </w:r>
      <w:r w:rsidRPr="00F83EE2" w:rsidR="007B6437">
        <w:t xml:space="preserve">uitsluitende woonstaatheffing voor interest, zoals </w:t>
      </w:r>
      <w:r w:rsidRPr="00F83EE2">
        <w:t>beschreven</w:t>
      </w:r>
      <w:r w:rsidRPr="00F83EE2" w:rsidR="007B6437">
        <w:t xml:space="preserve"> in onderdeel 2.8.1 van de NFV 2011. </w:t>
      </w:r>
      <w:r w:rsidRPr="00F83EE2" w:rsidR="004F5199">
        <w:t>Uit het eerste lid volgt de uitsluitende woonstaatheffing.</w:t>
      </w:r>
    </w:p>
    <w:p w:rsidRPr="00F83EE2" w:rsidR="001E093C" w:rsidRDefault="004F5199" w14:paraId="397B55B2" w14:textId="77777777">
      <w:pPr>
        <w:ind w:firstLine="708"/>
      </w:pPr>
      <w:r w:rsidRPr="00F83EE2">
        <w:t>Het</w:t>
      </w:r>
      <w:r w:rsidRPr="00F83EE2" w:rsidR="00413209">
        <w:t xml:space="preserve"> tweede lid </w:t>
      </w:r>
      <w:r w:rsidRPr="00F83EE2">
        <w:t>bevat de</w:t>
      </w:r>
      <w:r w:rsidRPr="00F83EE2" w:rsidR="007B6437">
        <w:t xml:space="preserve"> definitie van</w:t>
      </w:r>
      <w:r w:rsidRPr="00F83EE2" w:rsidR="00413209">
        <w:t xml:space="preserve"> </w:t>
      </w:r>
      <w:r w:rsidRPr="00F83EE2">
        <w:t xml:space="preserve">de uitdrukking </w:t>
      </w:r>
      <w:r w:rsidRPr="00F83EE2" w:rsidR="00413209">
        <w:t>“</w:t>
      </w:r>
      <w:r w:rsidRPr="00F83EE2" w:rsidR="007B6437">
        <w:t>interest</w:t>
      </w:r>
      <w:r w:rsidRPr="00F83EE2" w:rsidR="00413209">
        <w:t>”</w:t>
      </w:r>
      <w:r w:rsidRPr="00F83EE2">
        <w:t xml:space="preserve">. Deze definitie </w:t>
      </w:r>
      <w:r w:rsidRPr="00F83EE2" w:rsidR="00BB1D57">
        <w:t>komt overeen</w:t>
      </w:r>
      <w:r w:rsidRPr="00F83EE2" w:rsidR="00413209">
        <w:t xml:space="preserve"> </w:t>
      </w:r>
      <w:r w:rsidRPr="00F83EE2" w:rsidR="007B6437">
        <w:t xml:space="preserve">met de definitie </w:t>
      </w:r>
      <w:r w:rsidRPr="00F83EE2" w:rsidR="003742D4">
        <w:t xml:space="preserve">van die uitdrukking </w:t>
      </w:r>
      <w:r w:rsidRPr="00F83EE2" w:rsidR="007B6437">
        <w:t xml:space="preserve">in het OESO-modelverdrag. </w:t>
      </w:r>
    </w:p>
    <w:p w:rsidRPr="00F83EE2" w:rsidR="00D05109" w:rsidRDefault="00BB1D57" w14:paraId="4B936242" w14:textId="77777777">
      <w:r w:rsidRPr="00F83EE2">
        <w:t xml:space="preserve">In het </w:t>
      </w:r>
      <w:r w:rsidRPr="00F83EE2" w:rsidR="00413209">
        <w:t>derde lid is bepaal</w:t>
      </w:r>
      <w:r w:rsidRPr="00F83EE2">
        <w:t>d</w:t>
      </w:r>
      <w:r w:rsidRPr="00F83EE2" w:rsidR="007B6437">
        <w:t xml:space="preserve"> dat niet de bepaling</w:t>
      </w:r>
      <w:r w:rsidRPr="00F83EE2" w:rsidR="00413209">
        <w:t>en van het eerste</w:t>
      </w:r>
      <w:r w:rsidRPr="00F83EE2" w:rsidR="007B6437">
        <w:t xml:space="preserve"> </w:t>
      </w:r>
      <w:r w:rsidRPr="00F83EE2">
        <w:t xml:space="preserve">lid van dit artikel, </w:t>
      </w:r>
      <w:r w:rsidRPr="00F83EE2" w:rsidR="007B6437">
        <w:t xml:space="preserve">maar de bepalingen van artikel 7 van toepassing zijn </w:t>
      </w:r>
      <w:r w:rsidRPr="00F83EE2">
        <w:t xml:space="preserve">met betrekking tot </w:t>
      </w:r>
      <w:r w:rsidRPr="00F83EE2" w:rsidR="007B6437">
        <w:t xml:space="preserve">interest die wordt betaald op schuldvorderingen die </w:t>
      </w:r>
      <w:r w:rsidRPr="00F83EE2">
        <w:t xml:space="preserve">zijn toe te rekenen aan </w:t>
      </w:r>
      <w:r w:rsidRPr="00F83EE2" w:rsidR="007B6437">
        <w:t xml:space="preserve">een vaste inrichting waarover de uiteindelijke gerechtigde tot die interest beschikt in de </w:t>
      </w:r>
      <w:r w:rsidRPr="00F83EE2" w:rsidR="00AF2710">
        <w:t>verdragsluitende</w:t>
      </w:r>
      <w:r w:rsidRPr="00F83EE2" w:rsidR="007B6437">
        <w:t xml:space="preserve"> </w:t>
      </w:r>
      <w:r w:rsidRPr="00F83EE2" w:rsidR="009950A9">
        <w:t>staat</w:t>
      </w:r>
      <w:r w:rsidRPr="00F83EE2" w:rsidR="007B6437">
        <w:t xml:space="preserve"> van waaruit de interest </w:t>
      </w:r>
      <w:r w:rsidRPr="00F83EE2" w:rsidR="00413209">
        <w:t>afkomstig is.</w:t>
      </w:r>
    </w:p>
    <w:p w:rsidRPr="00F83EE2" w:rsidR="00D05109" w:rsidRDefault="009950A9" w14:paraId="702D5A96" w14:textId="77777777">
      <w:r w:rsidRPr="00F83EE2">
        <w:t>Ingevolge het</w:t>
      </w:r>
      <w:r w:rsidRPr="00F83EE2" w:rsidR="007B6437">
        <w:t xml:space="preserve"> vierde lid </w:t>
      </w:r>
      <w:r w:rsidRPr="00F83EE2">
        <w:t xml:space="preserve">zijn </w:t>
      </w:r>
      <w:r w:rsidRPr="00F83EE2" w:rsidR="007B6437">
        <w:t>de bepalingen van artikel 11 slechts van toepassing voor zover de op een schuldvordering betaalde interest overeenkomt met de interest die tussen onafhankelijke partijen overeengekomen zou zijn</w:t>
      </w:r>
      <w:r w:rsidRPr="00F83EE2" w:rsidR="006D7337">
        <w:t xml:space="preserve">. Daarnaast legt dit lid vast dat het eventuele bovenmatige gedeelte van die interest in het voorkomende geval belastbaar is overeenkomstig de nationale wetgeving van </w:t>
      </w:r>
      <w:r w:rsidRPr="00F83EE2" w:rsidR="004F5199">
        <w:t>elk</w:t>
      </w:r>
      <w:r w:rsidRPr="00F83EE2" w:rsidR="006D7337">
        <w:t xml:space="preserve"> van de verdragsluitende staten</w:t>
      </w:r>
      <w:r w:rsidRPr="00F83EE2">
        <w:t>, rekening houdend met de overige bepalingen van het Verdrag</w:t>
      </w:r>
      <w:r w:rsidRPr="00F83EE2" w:rsidR="006D7337">
        <w:t>.</w:t>
      </w:r>
    </w:p>
    <w:p w:rsidRPr="00F83EE2" w:rsidR="007B6437" w:rsidP="00901C1E" w:rsidRDefault="007B6437" w14:paraId="16F919D1" w14:textId="77777777">
      <w:pPr>
        <w:pStyle w:val="Kop2"/>
        <w:numPr>
          <w:ilvl w:val="1"/>
          <w:numId w:val="1"/>
        </w:numPr>
        <w:rPr>
          <w:b w:val="0"/>
          <w:i/>
        </w:rPr>
      </w:pPr>
      <w:r w:rsidRPr="00F83EE2">
        <w:rPr>
          <w:b w:val="0"/>
          <w:i/>
        </w:rPr>
        <w:t>Royalty’s (artikel 12</w:t>
      </w:r>
      <w:r w:rsidRPr="00F83EE2" w:rsidR="00F05AE9">
        <w:rPr>
          <w:b w:val="0"/>
          <w:i/>
        </w:rPr>
        <w:t xml:space="preserve"> van het Verdrag</w:t>
      </w:r>
      <w:r w:rsidRPr="00F83EE2">
        <w:rPr>
          <w:b w:val="0"/>
          <w:i/>
        </w:rPr>
        <w:t>)</w:t>
      </w:r>
    </w:p>
    <w:p w:rsidRPr="00F83EE2" w:rsidR="007B6437" w:rsidP="007B6437" w:rsidRDefault="004E7B3A" w14:paraId="6D601B00" w14:textId="77777777">
      <w:r w:rsidRPr="00F83EE2">
        <w:t xml:space="preserve">Artikel 12 </w:t>
      </w:r>
      <w:r w:rsidRPr="00F83EE2" w:rsidR="007943D1">
        <w:t xml:space="preserve">van het Verdrag </w:t>
      </w:r>
      <w:r w:rsidRPr="00F83EE2">
        <w:t xml:space="preserve">betreft de verdeling van heffingsrechten over royalty’s. Evenals voor interest </w:t>
      </w:r>
      <w:r w:rsidRPr="00F83EE2" w:rsidR="009950A9">
        <w:t xml:space="preserve">zijn de verdragsluitende staten </w:t>
      </w:r>
      <w:r w:rsidRPr="00F83EE2" w:rsidR="00951592">
        <w:t xml:space="preserve">voor </w:t>
      </w:r>
      <w:r w:rsidRPr="00F83EE2">
        <w:t xml:space="preserve">royalty’s </w:t>
      </w:r>
      <w:r w:rsidRPr="00F83EE2" w:rsidR="001C3242">
        <w:t xml:space="preserve">een </w:t>
      </w:r>
      <w:r w:rsidRPr="00F83EE2" w:rsidR="007B6437">
        <w:t xml:space="preserve">uitsluitende woonstaatheffing overeengekomen. </w:t>
      </w:r>
      <w:r w:rsidRPr="00F83EE2" w:rsidR="00951592">
        <w:t xml:space="preserve">Dat </w:t>
      </w:r>
      <w:r w:rsidRPr="00F83EE2" w:rsidR="001C3242">
        <w:t xml:space="preserve">stemt overeen met </w:t>
      </w:r>
      <w:r w:rsidRPr="00F83EE2">
        <w:t>het OESO-modelverdrag.</w:t>
      </w:r>
      <w:r w:rsidRPr="00F83EE2" w:rsidR="007943D1">
        <w:t xml:space="preserve"> Ook voor het overige sluit </w:t>
      </w:r>
      <w:r w:rsidRPr="00F83EE2" w:rsidR="00FB0B05">
        <w:t xml:space="preserve">het </w:t>
      </w:r>
      <w:r w:rsidRPr="00F83EE2" w:rsidR="007943D1">
        <w:t>artikel aan bij artikel 12 van het OESO-modelverdrag.</w:t>
      </w:r>
    </w:p>
    <w:p w:rsidRPr="00F83EE2" w:rsidR="007B6437" w:rsidP="007B6437" w:rsidRDefault="007B6437" w14:paraId="1AF8B20F" w14:textId="77777777">
      <w:r w:rsidRPr="00F83EE2">
        <w:t>Ingevolge het eerste lid mogen royalty</w:t>
      </w:r>
      <w:r w:rsidRPr="00F83EE2" w:rsidR="00DD3899">
        <w:t>’</w:t>
      </w:r>
      <w:r w:rsidRPr="00F83EE2">
        <w:t xml:space="preserve">s </w:t>
      </w:r>
      <w:r w:rsidRPr="00F83EE2" w:rsidR="00DD3899">
        <w:t xml:space="preserve">afkomstig uit één van de </w:t>
      </w:r>
      <w:r w:rsidRPr="00F83EE2" w:rsidR="00AF2710">
        <w:t>verdragsluitende</w:t>
      </w:r>
      <w:r w:rsidRPr="00F83EE2" w:rsidR="00DD3899">
        <w:t xml:space="preserve"> </w:t>
      </w:r>
      <w:r w:rsidRPr="00F83EE2" w:rsidR="00382354">
        <w:t>staten</w:t>
      </w:r>
      <w:r w:rsidRPr="00F83EE2" w:rsidR="00DD3899">
        <w:t xml:space="preserve"> en</w:t>
      </w:r>
      <w:r w:rsidRPr="00F83EE2">
        <w:t xml:space="preserve"> </w:t>
      </w:r>
      <w:r w:rsidRPr="00F83EE2" w:rsidR="00DD3899">
        <w:t>betaal</w:t>
      </w:r>
      <w:r w:rsidRPr="00F83EE2" w:rsidR="001C3242">
        <w:t>d</w:t>
      </w:r>
      <w:r w:rsidRPr="00F83EE2">
        <w:t xml:space="preserve"> aan een inwoner van de andere </w:t>
      </w:r>
      <w:r w:rsidRPr="00F83EE2" w:rsidR="007943D1">
        <w:t xml:space="preserve">verdragsluitende </w:t>
      </w:r>
      <w:r w:rsidRPr="00F83EE2" w:rsidR="009950A9">
        <w:t>staat</w:t>
      </w:r>
      <w:r w:rsidRPr="00F83EE2">
        <w:t xml:space="preserve">, </w:t>
      </w:r>
      <w:r w:rsidRPr="00F83EE2" w:rsidR="00DD3899">
        <w:t xml:space="preserve">indien deze inwoner uiteindelijke gerechtigde tot de royalty’s is, </w:t>
      </w:r>
      <w:r w:rsidRPr="00F83EE2">
        <w:t>uitsluitend in die an</w:t>
      </w:r>
      <w:r w:rsidRPr="00F83EE2" w:rsidR="00DD3899">
        <w:t xml:space="preserve">dere </w:t>
      </w:r>
      <w:r w:rsidRPr="00F83EE2" w:rsidR="009950A9">
        <w:t>staat</w:t>
      </w:r>
      <w:r w:rsidRPr="00F83EE2" w:rsidR="00DD3899">
        <w:t xml:space="preserve"> worden belast</w:t>
      </w:r>
      <w:r w:rsidRPr="00F83EE2">
        <w:t>.</w:t>
      </w:r>
    </w:p>
    <w:p w:rsidRPr="00F83EE2" w:rsidR="00DD3899" w:rsidP="00DD3899" w:rsidRDefault="00DD3899" w14:paraId="51D3A205" w14:textId="77777777">
      <w:r w:rsidRPr="00F83EE2">
        <w:t xml:space="preserve">Het tweede lid bevat een </w:t>
      </w:r>
      <w:r w:rsidRPr="00F83EE2" w:rsidR="00461FA3">
        <w:t xml:space="preserve">OESO-conforme </w:t>
      </w:r>
      <w:r w:rsidRPr="00F83EE2">
        <w:t>definitie van het begrip “royalty’s”</w:t>
      </w:r>
      <w:r w:rsidRPr="00F83EE2" w:rsidR="0056322C">
        <w:t xml:space="preserve">. </w:t>
      </w:r>
    </w:p>
    <w:p w:rsidRPr="00F83EE2" w:rsidR="007B6437" w:rsidP="007B6437" w:rsidRDefault="007B6437" w14:paraId="3EFB78FA" w14:textId="77777777">
      <w:r w:rsidRPr="00F83EE2">
        <w:t>In</w:t>
      </w:r>
      <w:r w:rsidRPr="00F83EE2" w:rsidR="00CA2A9D">
        <w:t xml:space="preserve">gevolge </w:t>
      </w:r>
      <w:r w:rsidRPr="00F83EE2">
        <w:t xml:space="preserve">het derde lid </w:t>
      </w:r>
      <w:r w:rsidRPr="00F83EE2" w:rsidR="00CA2A9D">
        <w:t>zijn</w:t>
      </w:r>
      <w:r w:rsidRPr="00F83EE2">
        <w:t xml:space="preserve"> niet de bepalingen van het eerste lid, maar de bepalingen van artikel 7 van toepassing </w:t>
      </w:r>
      <w:r w:rsidRPr="00F83EE2" w:rsidR="00CA2A9D">
        <w:t xml:space="preserve">op </w:t>
      </w:r>
      <w:r w:rsidRPr="00F83EE2">
        <w:t>royalty</w:t>
      </w:r>
      <w:r w:rsidRPr="00F83EE2" w:rsidR="00CA2A9D">
        <w:t>’</w:t>
      </w:r>
      <w:r w:rsidRPr="00F83EE2">
        <w:t xml:space="preserve">s </w:t>
      </w:r>
      <w:r w:rsidRPr="00F83EE2" w:rsidR="004F5199">
        <w:t>die worden betaald voor</w:t>
      </w:r>
      <w:r w:rsidRPr="00F83EE2" w:rsidR="00CA2A9D">
        <w:t xml:space="preserve"> rechten of zaken die </w:t>
      </w:r>
      <w:r w:rsidRPr="00F83EE2" w:rsidR="004F5199">
        <w:t xml:space="preserve">behoren tot het vermogen van </w:t>
      </w:r>
      <w:r w:rsidRPr="00F83EE2" w:rsidR="0056322C">
        <w:t>een</w:t>
      </w:r>
      <w:r w:rsidRPr="00F83EE2">
        <w:t xml:space="preserve"> vaste inrichting</w:t>
      </w:r>
      <w:r w:rsidRPr="00F83EE2" w:rsidR="00F54871">
        <w:t xml:space="preserve"> van de uiteindelijke gerechtigde gelegen in</w:t>
      </w:r>
      <w:r w:rsidRPr="00F83EE2" w:rsidR="00CA2A9D">
        <w:t xml:space="preserve"> de </w:t>
      </w:r>
      <w:r w:rsidRPr="00F83EE2" w:rsidR="00AF2710">
        <w:t>verdragsluitende</w:t>
      </w:r>
      <w:r w:rsidRPr="00F83EE2" w:rsidR="00CA2A9D">
        <w:t xml:space="preserve"> </w:t>
      </w:r>
      <w:r w:rsidRPr="00F83EE2" w:rsidR="0056322C">
        <w:t>staat</w:t>
      </w:r>
      <w:r w:rsidRPr="00F83EE2" w:rsidR="00CA2A9D">
        <w:t xml:space="preserve"> </w:t>
      </w:r>
      <w:r w:rsidRPr="00F83EE2">
        <w:t>waaruit de royalty</w:t>
      </w:r>
      <w:r w:rsidRPr="00F83EE2" w:rsidR="00CA2A9D">
        <w:t>’</w:t>
      </w:r>
      <w:r w:rsidRPr="00F83EE2">
        <w:t xml:space="preserve">s </w:t>
      </w:r>
      <w:r w:rsidRPr="00F83EE2" w:rsidR="00CA2A9D">
        <w:t>afkomstig zijn.</w:t>
      </w:r>
    </w:p>
    <w:p w:rsidRPr="00F83EE2" w:rsidR="007B6437" w:rsidP="00AD19A0" w:rsidRDefault="00CA2A9D" w14:paraId="505CDC85" w14:textId="77777777">
      <w:r w:rsidRPr="00F83EE2">
        <w:t>Vervolgens bepaalt het vierde lid</w:t>
      </w:r>
      <w:r w:rsidRPr="00F83EE2" w:rsidR="007B6437">
        <w:t xml:space="preserve"> dat de bepalingen van artikel 12 slechts van toepassing zijn </w:t>
      </w:r>
      <w:r w:rsidRPr="00F83EE2">
        <w:t>voor zover de betaalde royalty</w:t>
      </w:r>
      <w:r w:rsidRPr="00F83EE2" w:rsidR="00AD19A0">
        <w:t>'</w:t>
      </w:r>
      <w:r w:rsidRPr="00F83EE2" w:rsidR="00F54871">
        <w:t>s</w:t>
      </w:r>
      <w:r w:rsidRPr="00F83EE2">
        <w:t xml:space="preserve"> overeenkom</w:t>
      </w:r>
      <w:r w:rsidRPr="00F83EE2" w:rsidR="00F54871">
        <w:t>en</w:t>
      </w:r>
      <w:r w:rsidRPr="00F83EE2">
        <w:t xml:space="preserve"> met de royalty</w:t>
      </w:r>
      <w:r w:rsidRPr="00F83EE2" w:rsidR="00F54871">
        <w:t>’s</w:t>
      </w:r>
      <w:r w:rsidRPr="00F83EE2" w:rsidR="007B6437">
        <w:t xml:space="preserve"> die tussen onafhankelijke partijen overeengeko</w:t>
      </w:r>
      <w:r w:rsidRPr="00F83EE2">
        <w:t>men zouden zijn</w:t>
      </w:r>
      <w:r w:rsidRPr="00F83EE2" w:rsidR="00AD19A0">
        <w:t xml:space="preserve">. </w:t>
      </w:r>
      <w:r w:rsidRPr="00F83EE2" w:rsidR="00D122CA">
        <w:rPr>
          <w:rFonts w:cs="Arial"/>
          <w:szCs w:val="20"/>
        </w:rPr>
        <w:t xml:space="preserve">Het eventueel bovenmatige gedeelte van de royalty’s is belastbaar overeenkomstig de nationale wetgeving van elk van de verdragsluitende staten, rekening </w:t>
      </w:r>
      <w:r w:rsidRPr="00F83EE2" w:rsidR="00C54CA8">
        <w:rPr>
          <w:rFonts w:cs="Arial"/>
          <w:szCs w:val="20"/>
        </w:rPr>
        <w:t xml:space="preserve">houdende </w:t>
      </w:r>
      <w:r w:rsidRPr="00F83EE2" w:rsidR="00D122CA">
        <w:rPr>
          <w:rFonts w:cs="Arial"/>
          <w:szCs w:val="20"/>
        </w:rPr>
        <w:t>met de overige bepalingen van het Verdra</w:t>
      </w:r>
      <w:r w:rsidRPr="00F83EE2" w:rsidR="00AD19A0">
        <w:rPr>
          <w:rFonts w:cs="Arial"/>
          <w:szCs w:val="20"/>
        </w:rPr>
        <w:t xml:space="preserve">g. </w:t>
      </w:r>
    </w:p>
    <w:p w:rsidRPr="00F83EE2" w:rsidR="007B6437" w:rsidP="00901C1E" w:rsidRDefault="007B6437" w14:paraId="1584C205" w14:textId="77777777">
      <w:pPr>
        <w:pStyle w:val="Kop2"/>
        <w:numPr>
          <w:ilvl w:val="1"/>
          <w:numId w:val="1"/>
        </w:numPr>
        <w:rPr>
          <w:b w:val="0"/>
          <w:i/>
        </w:rPr>
      </w:pPr>
      <w:r w:rsidRPr="00F83EE2">
        <w:rPr>
          <w:b w:val="0"/>
          <w:i/>
        </w:rPr>
        <w:t>Vermogenswinsten (artikel 13</w:t>
      </w:r>
      <w:r w:rsidRPr="00F83EE2" w:rsidR="00F05AE9">
        <w:rPr>
          <w:b w:val="0"/>
          <w:i/>
        </w:rPr>
        <w:t xml:space="preserve"> van het Verdrag</w:t>
      </w:r>
      <w:r w:rsidRPr="00F83EE2" w:rsidR="000E6839">
        <w:rPr>
          <w:b w:val="0"/>
          <w:i/>
        </w:rPr>
        <w:t xml:space="preserve"> en artikel 3 van het Protocol</w:t>
      </w:r>
      <w:r w:rsidRPr="00F83EE2">
        <w:rPr>
          <w:b w:val="0"/>
          <w:i/>
        </w:rPr>
        <w:t>)</w:t>
      </w:r>
    </w:p>
    <w:p w:rsidRPr="00B65B22" w:rsidR="00427FA7" w:rsidP="007B6437" w:rsidRDefault="00427FA7" w14:paraId="2113FC48" w14:textId="77777777">
      <w:pPr>
        <w:ind w:firstLine="708"/>
      </w:pPr>
      <w:r w:rsidRPr="00B65B22">
        <w:t xml:space="preserve">Artikel 13 </w:t>
      </w:r>
      <w:r w:rsidRPr="00B65B22" w:rsidR="00FB0B05">
        <w:t xml:space="preserve">van het Verdrag </w:t>
      </w:r>
      <w:r w:rsidRPr="00B65B22">
        <w:t xml:space="preserve">heeft betrekking op de verdeling van heffingsrechten over </w:t>
      </w:r>
      <w:r w:rsidRPr="00B65B22" w:rsidR="008377B0">
        <w:t>vermogenswinsten</w:t>
      </w:r>
      <w:r w:rsidRPr="00B65B22">
        <w:t xml:space="preserve">. </w:t>
      </w:r>
      <w:r w:rsidRPr="00B65B22" w:rsidR="008377B0">
        <w:t xml:space="preserve">Het artikel </w:t>
      </w:r>
      <w:r w:rsidRPr="00B65B22">
        <w:t xml:space="preserve">bevat </w:t>
      </w:r>
      <w:r w:rsidRPr="00B65B22" w:rsidR="004E3668">
        <w:t>twee</w:t>
      </w:r>
      <w:r w:rsidRPr="00B65B22" w:rsidR="004F5942">
        <w:t xml:space="preserve"> </w:t>
      </w:r>
      <w:r w:rsidRPr="00B65B22" w:rsidR="007410EA">
        <w:t>verschillen ten opzichte van artikel 13 van het OESO-modelverdrag</w:t>
      </w:r>
      <w:r w:rsidRPr="00B65B22">
        <w:t xml:space="preserve">. Conform het Nederlandse verdragsbeleid dat is beschreven in onderdeel 2.9.2 van de NFV 2011 zijn </w:t>
      </w:r>
      <w:r w:rsidRPr="00B65B22" w:rsidR="00792D9C">
        <w:t xml:space="preserve">in het vierde lid </w:t>
      </w:r>
      <w:r w:rsidRPr="00B65B22">
        <w:t xml:space="preserve">beperkingen opgenomen </w:t>
      </w:r>
      <w:r w:rsidRPr="00B65B22" w:rsidR="0059232A">
        <w:t xml:space="preserve">bij de </w:t>
      </w:r>
      <w:r w:rsidRPr="00B65B22">
        <w:t xml:space="preserve">bronstaatheffing over </w:t>
      </w:r>
      <w:r w:rsidRPr="00B65B22" w:rsidR="008377B0">
        <w:t xml:space="preserve">vermogenswinsten </w:t>
      </w:r>
      <w:r w:rsidRPr="00B65B22">
        <w:t xml:space="preserve">ter zake van aandelen </w:t>
      </w:r>
      <w:r w:rsidRPr="00B65B22" w:rsidR="008377B0">
        <w:t>die hun waarde aan onroerende zaken ontlenen</w:t>
      </w:r>
      <w:r w:rsidRPr="00B65B22">
        <w:t xml:space="preserve">. Voorts bevat het </w:t>
      </w:r>
      <w:r w:rsidRPr="00B65B22" w:rsidR="004A7681">
        <w:t>vijfde</w:t>
      </w:r>
      <w:r w:rsidRPr="00B65B22">
        <w:t xml:space="preserve"> lid in aansluiting op artikel 10, </w:t>
      </w:r>
      <w:r w:rsidRPr="00B65B22" w:rsidR="004A7681">
        <w:t>achtste</w:t>
      </w:r>
      <w:r w:rsidRPr="00B65B22">
        <w:t xml:space="preserve"> lid</w:t>
      </w:r>
      <w:r w:rsidRPr="00B65B22" w:rsidR="0059232A">
        <w:t>,</w:t>
      </w:r>
      <w:r w:rsidRPr="00B65B22">
        <w:t xml:space="preserve"> </w:t>
      </w:r>
      <w:r w:rsidRPr="00B65B22" w:rsidR="008377B0">
        <w:t xml:space="preserve">van het Verdrag, </w:t>
      </w:r>
      <w:r w:rsidRPr="00B65B22">
        <w:t xml:space="preserve">een bepaling </w:t>
      </w:r>
      <w:r w:rsidRPr="00B65B22" w:rsidR="008377B0">
        <w:t xml:space="preserve">over </w:t>
      </w:r>
      <w:r w:rsidRPr="00B65B22" w:rsidR="00E419D2">
        <w:t>vermogenswinst</w:t>
      </w:r>
      <w:r w:rsidRPr="00B65B22" w:rsidR="00D10B7E">
        <w:t>en</w:t>
      </w:r>
      <w:r w:rsidRPr="00B65B22" w:rsidR="008377B0">
        <w:t xml:space="preserve"> </w:t>
      </w:r>
      <w:r w:rsidRPr="00B65B22">
        <w:t>behaald door geëmigreerde aanmerkelijkbelanghouder</w:t>
      </w:r>
      <w:r w:rsidRPr="00B65B22" w:rsidR="00D10B7E">
        <w:t>s</w:t>
      </w:r>
      <w:r w:rsidRPr="00B65B22">
        <w:t xml:space="preserve"> conform het Nederlandse verdragsbeleid dat is toegelicht in </w:t>
      </w:r>
      <w:r w:rsidRPr="00B65B22" w:rsidR="00294846">
        <w:t xml:space="preserve">de </w:t>
      </w:r>
      <w:r w:rsidRPr="00B65B22">
        <w:t>onderdel</w:t>
      </w:r>
      <w:r w:rsidRPr="00B65B22" w:rsidR="00294846">
        <w:t>en</w:t>
      </w:r>
      <w:r w:rsidRPr="00B65B22">
        <w:t xml:space="preserve"> 2.9.3 en 2.9.4 van de NFV 2011.</w:t>
      </w:r>
    </w:p>
    <w:p w:rsidRPr="00B65B22" w:rsidR="008B3EEB" w:rsidP="008B3EEB" w:rsidRDefault="008B3EEB" w14:paraId="16C20E0E" w14:textId="77777777">
      <w:pPr>
        <w:ind w:firstLine="720"/>
      </w:pPr>
      <w:r w:rsidRPr="00B65B22">
        <w:t xml:space="preserve">Het eerste lid wijst het heffingsrecht over de voordelen die een inwoner van een </w:t>
      </w:r>
      <w:r w:rsidRPr="00B65B22" w:rsidR="00AF2710">
        <w:t>verdragsluitende</w:t>
      </w:r>
      <w:r w:rsidRPr="00B65B22">
        <w:t xml:space="preserve"> </w:t>
      </w:r>
      <w:r w:rsidRPr="00B65B22" w:rsidR="00D10B7E">
        <w:t>staat</w:t>
      </w:r>
      <w:r w:rsidRPr="00B65B22">
        <w:t xml:space="preserve"> </w:t>
      </w:r>
      <w:r w:rsidRPr="00B65B22" w:rsidR="00792D9C">
        <w:t xml:space="preserve">heeft </w:t>
      </w:r>
      <w:r w:rsidRPr="00B65B22">
        <w:t>behaal</w:t>
      </w:r>
      <w:r w:rsidRPr="00B65B22" w:rsidR="0059232A">
        <w:t>d</w:t>
      </w:r>
      <w:r w:rsidRPr="00B65B22">
        <w:t xml:space="preserve"> met de vervreemding van een onroerende zaak die is gelegen in de andere </w:t>
      </w:r>
      <w:r w:rsidRPr="00B65B22" w:rsidR="00AF2710">
        <w:t>verdragsluitende</w:t>
      </w:r>
      <w:r w:rsidRPr="00B65B22">
        <w:t xml:space="preserve"> </w:t>
      </w:r>
      <w:r w:rsidRPr="00B65B22" w:rsidR="00D10B7E">
        <w:t>staat</w:t>
      </w:r>
      <w:r w:rsidRPr="00B65B22">
        <w:t xml:space="preserve">, toe aan die andere </w:t>
      </w:r>
      <w:r w:rsidRPr="00B65B22" w:rsidR="00D10B7E">
        <w:t>staat</w:t>
      </w:r>
      <w:r w:rsidRPr="00B65B22">
        <w:t xml:space="preserve">. Voor het begrip </w:t>
      </w:r>
      <w:r w:rsidRPr="00B65B22" w:rsidR="007410EA">
        <w:t>“</w:t>
      </w:r>
      <w:r w:rsidRPr="00B65B22">
        <w:t>onroerende zaak</w:t>
      </w:r>
      <w:r w:rsidRPr="00B65B22" w:rsidR="007410EA">
        <w:t>”</w:t>
      </w:r>
      <w:r w:rsidRPr="00B65B22">
        <w:t xml:space="preserve"> is aangesloten bij</w:t>
      </w:r>
      <w:r w:rsidRPr="00B65B22" w:rsidR="007410EA">
        <w:t xml:space="preserve"> </w:t>
      </w:r>
      <w:r w:rsidRPr="00B65B22" w:rsidR="0059232A">
        <w:t xml:space="preserve">de omschrijving daarvan </w:t>
      </w:r>
      <w:r w:rsidRPr="00B65B22" w:rsidR="007410EA">
        <w:t xml:space="preserve">in </w:t>
      </w:r>
      <w:r w:rsidRPr="00B65B22">
        <w:t xml:space="preserve">artikel 6. </w:t>
      </w:r>
    </w:p>
    <w:p w:rsidRPr="00B65B22" w:rsidR="008B3EEB" w:rsidP="008B3EEB" w:rsidRDefault="007410EA" w14:paraId="2DA1F5E5" w14:textId="77777777">
      <w:pPr>
        <w:ind w:firstLine="720"/>
      </w:pPr>
      <w:r w:rsidRPr="00B65B22">
        <w:t>In h</w:t>
      </w:r>
      <w:r w:rsidRPr="00B65B22" w:rsidR="008B3EEB">
        <w:t>et tweede lid</w:t>
      </w:r>
      <w:r w:rsidRPr="00B65B22">
        <w:t xml:space="preserve"> is, </w:t>
      </w:r>
      <w:r w:rsidRPr="00B65B22" w:rsidR="00CD40C9">
        <w:t xml:space="preserve">in </w:t>
      </w:r>
      <w:r w:rsidRPr="00B65B22">
        <w:t xml:space="preserve">aansluiting </w:t>
      </w:r>
      <w:r w:rsidRPr="00B65B22" w:rsidR="00951592">
        <w:t xml:space="preserve">op </w:t>
      </w:r>
      <w:r w:rsidRPr="00B65B22">
        <w:t>artikel 7,</w:t>
      </w:r>
      <w:r w:rsidRPr="00B65B22" w:rsidR="008B3EEB">
        <w:t xml:space="preserve"> bepaal</w:t>
      </w:r>
      <w:r w:rsidRPr="00B65B22">
        <w:t>d</w:t>
      </w:r>
      <w:r w:rsidRPr="00B65B22" w:rsidR="008B3EEB">
        <w:t xml:space="preserve"> dat voordelen die worden verkregen door een onderneming van </w:t>
      </w:r>
      <w:r w:rsidRPr="00B65B22" w:rsidR="00D87952">
        <w:t xml:space="preserve">de ene </w:t>
      </w:r>
      <w:r w:rsidRPr="00B65B22" w:rsidR="00AF2710">
        <w:t>verdragsluitende</w:t>
      </w:r>
      <w:r w:rsidRPr="00B65B22" w:rsidR="008B3EEB">
        <w:t xml:space="preserve"> </w:t>
      </w:r>
      <w:r w:rsidRPr="00B65B22">
        <w:t>staat</w:t>
      </w:r>
      <w:r w:rsidRPr="00B65B22" w:rsidR="008B3EEB">
        <w:t xml:space="preserve"> uit de vervreemding van roerende zaken die behoren tot het vermogen van een vaste inrichting van die onderneming in de andere </w:t>
      </w:r>
      <w:r w:rsidRPr="00B65B22" w:rsidR="00AF2710">
        <w:t>verdragsluitende</w:t>
      </w:r>
      <w:r w:rsidRPr="00B65B22" w:rsidR="008B3EEB">
        <w:t xml:space="preserve"> </w:t>
      </w:r>
      <w:r w:rsidRPr="00B65B22">
        <w:t>staat</w:t>
      </w:r>
      <w:r w:rsidRPr="00B65B22" w:rsidR="008B3EEB">
        <w:t xml:space="preserve">, mogen worden belast in de </w:t>
      </w:r>
      <w:r w:rsidRPr="00B65B22">
        <w:t>staat</w:t>
      </w:r>
      <w:r w:rsidRPr="00B65B22" w:rsidR="008B3EEB">
        <w:t xml:space="preserve"> waarin de vaste inrichting is gelegen. </w:t>
      </w:r>
    </w:p>
    <w:p w:rsidRPr="00B65B22" w:rsidR="008B3EEB" w:rsidP="008B3EEB" w:rsidRDefault="008B3EEB" w14:paraId="39631E9E" w14:textId="77777777">
      <w:pPr>
        <w:ind w:firstLine="720"/>
      </w:pPr>
      <w:r w:rsidRPr="00B65B22">
        <w:t>Ingevolge het derde lid zijn, in lijn met artikel 8 (</w:t>
      </w:r>
      <w:r w:rsidRPr="00B65B22" w:rsidR="00CF0ECC">
        <w:t xml:space="preserve">Internationale </w:t>
      </w:r>
      <w:r w:rsidRPr="00B65B22" w:rsidR="00E406E2">
        <w:t>zee</w:t>
      </w:r>
      <w:r w:rsidRPr="00B65B22" w:rsidR="001C0E42">
        <w:t>- en luchtvaart</w:t>
      </w:r>
      <w:r w:rsidRPr="00B65B22">
        <w:t>), de voordelen uit de vervreemding van schepen en luchtvaartuigen die in het internationale verkeer worden geëxploiteerd</w:t>
      </w:r>
      <w:r w:rsidRPr="00B65B22" w:rsidR="00117F2B">
        <w:t>,</w:t>
      </w:r>
      <w:r w:rsidRPr="00B65B22">
        <w:t xml:space="preserve"> en roerende zaken die bij die exploitatie worden gebruikt, </w:t>
      </w:r>
      <w:r w:rsidRPr="00B65B22" w:rsidR="00117F2B">
        <w:t>uitsluitend belast</w:t>
      </w:r>
      <w:r w:rsidRPr="00B65B22" w:rsidR="0059232A">
        <w:t>baar</w:t>
      </w:r>
      <w:r w:rsidRPr="00B65B22" w:rsidR="00117F2B">
        <w:t xml:space="preserve"> in de</w:t>
      </w:r>
      <w:r w:rsidRPr="00B65B22">
        <w:t xml:space="preserve"> </w:t>
      </w:r>
      <w:r w:rsidRPr="00B65B22" w:rsidR="00CF0ECC">
        <w:t xml:space="preserve">verdragsluitende </w:t>
      </w:r>
      <w:r w:rsidRPr="00B65B22" w:rsidR="00CF0ECC">
        <w:rPr>
          <w:rFonts w:cs="Arial"/>
          <w:szCs w:val="20"/>
        </w:rPr>
        <w:t>s</w:t>
      </w:r>
      <w:r w:rsidRPr="00B65B22" w:rsidR="007C5ED5">
        <w:rPr>
          <w:rFonts w:cs="Arial"/>
          <w:szCs w:val="20"/>
        </w:rPr>
        <w:t>taat waar</w:t>
      </w:r>
      <w:r w:rsidRPr="00B65B22" w:rsidR="00294846">
        <w:rPr>
          <w:rFonts w:cs="Arial"/>
          <w:szCs w:val="20"/>
        </w:rPr>
        <w:t>in</w:t>
      </w:r>
      <w:r w:rsidRPr="00B65B22" w:rsidR="007C5ED5">
        <w:rPr>
          <w:rFonts w:cs="Arial"/>
          <w:szCs w:val="20"/>
        </w:rPr>
        <w:t xml:space="preserve"> de </w:t>
      </w:r>
      <w:r w:rsidRPr="00B65B22" w:rsidR="00294846">
        <w:rPr>
          <w:rFonts w:cs="Arial"/>
          <w:szCs w:val="20"/>
        </w:rPr>
        <w:t xml:space="preserve">feitelijke </w:t>
      </w:r>
      <w:r w:rsidRPr="00B65B22" w:rsidR="007C5ED5">
        <w:rPr>
          <w:rFonts w:cs="Arial"/>
          <w:szCs w:val="20"/>
        </w:rPr>
        <w:t xml:space="preserve">leiding van de </w:t>
      </w:r>
      <w:r w:rsidRPr="00B65B22" w:rsidR="00CF0ECC">
        <w:rPr>
          <w:rFonts w:cs="Arial"/>
          <w:szCs w:val="20"/>
        </w:rPr>
        <w:t xml:space="preserve">desbetreffende </w:t>
      </w:r>
      <w:r w:rsidRPr="00B65B22" w:rsidR="00885989">
        <w:rPr>
          <w:rFonts w:cs="Arial"/>
          <w:szCs w:val="20"/>
        </w:rPr>
        <w:t>zee</w:t>
      </w:r>
      <w:r w:rsidRPr="00B65B22" w:rsidR="00CF0ECC">
        <w:rPr>
          <w:rFonts w:cs="Arial"/>
          <w:szCs w:val="20"/>
        </w:rPr>
        <w:t>- of luchtvaart</w:t>
      </w:r>
      <w:r w:rsidRPr="00B65B22" w:rsidR="007C5ED5">
        <w:rPr>
          <w:rFonts w:cs="Arial"/>
          <w:szCs w:val="20"/>
        </w:rPr>
        <w:t xml:space="preserve">onderneming </w:t>
      </w:r>
      <w:r w:rsidRPr="00B65B22" w:rsidR="00CF0ECC">
        <w:rPr>
          <w:rFonts w:cs="Arial"/>
          <w:szCs w:val="20"/>
        </w:rPr>
        <w:t xml:space="preserve">is </w:t>
      </w:r>
      <w:r w:rsidRPr="00B65B22" w:rsidR="00010D88">
        <w:rPr>
          <w:rFonts w:cs="Arial"/>
          <w:szCs w:val="20"/>
        </w:rPr>
        <w:t>gelegen</w:t>
      </w:r>
      <w:r w:rsidRPr="00B65B22" w:rsidR="007C5ED5">
        <w:rPr>
          <w:rFonts w:cs="Arial"/>
          <w:szCs w:val="20"/>
        </w:rPr>
        <w:t>.</w:t>
      </w:r>
    </w:p>
    <w:p w:rsidRPr="00B65B22" w:rsidR="00244430" w:rsidP="007D0056" w:rsidRDefault="003F31C9" w14:paraId="2A9A77BB" w14:textId="77777777">
      <w:pPr>
        <w:ind w:firstLine="708"/>
      </w:pPr>
      <w:r w:rsidRPr="00B65B22">
        <w:t xml:space="preserve">Het vierde lid bevat, op verzoek van </w:t>
      </w:r>
      <w:r w:rsidRPr="00B65B22" w:rsidR="004A7681">
        <w:t>Cyprus</w:t>
      </w:r>
      <w:r w:rsidRPr="00B65B22">
        <w:t xml:space="preserve"> en in aansluiting </w:t>
      </w:r>
      <w:r w:rsidRPr="00B65B22" w:rsidR="00F273FC">
        <w:t xml:space="preserve">op </w:t>
      </w:r>
      <w:r w:rsidRPr="00B65B22">
        <w:t xml:space="preserve">artikel 13, vierde lid, van het OESO-modelverdrag, een bronstaatheffing over </w:t>
      </w:r>
      <w:r w:rsidRPr="00B65B22" w:rsidR="00117F2B">
        <w:t>vermogenswinsten</w:t>
      </w:r>
      <w:r w:rsidRPr="00B65B22">
        <w:t xml:space="preserve"> </w:t>
      </w:r>
      <w:r w:rsidRPr="00B65B22" w:rsidR="00CD40C9">
        <w:t>behaal</w:t>
      </w:r>
      <w:r w:rsidRPr="00B65B22" w:rsidR="00ED2E5E">
        <w:t>d</w:t>
      </w:r>
      <w:r w:rsidRPr="00B65B22" w:rsidR="00CD40C9">
        <w:t xml:space="preserve"> met</w:t>
      </w:r>
      <w:r w:rsidRPr="00B65B22">
        <w:t xml:space="preserve"> de vervreemding van aandelen</w:t>
      </w:r>
      <w:r w:rsidRPr="00B65B22" w:rsidR="00117F2B">
        <w:t xml:space="preserve"> of </w:t>
      </w:r>
      <w:r w:rsidRPr="00B65B22" w:rsidR="00F273FC">
        <w:t xml:space="preserve">daarmee </w:t>
      </w:r>
      <w:r w:rsidRPr="00B65B22" w:rsidR="00117F2B">
        <w:t xml:space="preserve">vergelijkbare </w:t>
      </w:r>
      <w:r w:rsidRPr="00B65B22" w:rsidR="00CD40C9">
        <w:t>belangen</w:t>
      </w:r>
      <w:r w:rsidRPr="00B65B22" w:rsidR="00260FD8">
        <w:rPr>
          <w:rStyle w:val="Voetnootmarkering"/>
        </w:rPr>
        <w:footnoteReference w:id="20"/>
      </w:r>
      <w:r w:rsidRPr="00B65B22" w:rsidR="00260FD8">
        <w:t xml:space="preserve"> </w:t>
      </w:r>
      <w:r w:rsidRPr="00B65B22">
        <w:t>in zogenoemd</w:t>
      </w:r>
      <w:r w:rsidRPr="00B65B22" w:rsidR="009F076D">
        <w:t>e onroerendezaak</w:t>
      </w:r>
      <w:r w:rsidRPr="00B65B22" w:rsidR="006F01A8">
        <w:t>lichamen</w:t>
      </w:r>
      <w:r w:rsidRPr="00B65B22">
        <w:t xml:space="preserve"> (die beschikken over in een </w:t>
      </w:r>
      <w:r w:rsidRPr="00B65B22" w:rsidR="00AF2710">
        <w:t>verdragsluitende</w:t>
      </w:r>
      <w:r w:rsidRPr="00B65B22">
        <w:t xml:space="preserve"> </w:t>
      </w:r>
      <w:r w:rsidRPr="00B65B22" w:rsidR="007410EA">
        <w:t>staat</w:t>
      </w:r>
      <w:r w:rsidRPr="002A5A61">
        <w:t xml:space="preserve"> gelegen onroerende zaken</w:t>
      </w:r>
      <w:r w:rsidRPr="00CF0A8D" w:rsidR="00117F2B">
        <w:t xml:space="preserve"> – de “situsstaat”</w:t>
      </w:r>
      <w:r w:rsidRPr="00CF0A8D" w:rsidR="00E942EE">
        <w:t>)</w:t>
      </w:r>
      <w:r w:rsidRPr="00CF0A8D">
        <w:t xml:space="preserve">. </w:t>
      </w:r>
      <w:r w:rsidRPr="00CF0A8D" w:rsidR="005222A3">
        <w:rPr>
          <w:rFonts w:cs="Arial"/>
        </w:rPr>
        <w:t xml:space="preserve">In 2003 werd het </w:t>
      </w:r>
      <w:r w:rsidRPr="009C6DBA" w:rsidR="00ED2E5E">
        <w:rPr>
          <w:rFonts w:cs="Arial"/>
        </w:rPr>
        <w:t xml:space="preserve">huidige </w:t>
      </w:r>
      <w:r w:rsidRPr="009C6DBA" w:rsidR="005222A3">
        <w:rPr>
          <w:rFonts w:cs="Arial"/>
        </w:rPr>
        <w:t xml:space="preserve">vierde lid in artikel 13 van het OESO-modelverdrag opgenomen om </w:t>
      </w:r>
      <w:r w:rsidRPr="009C6DBA" w:rsidR="00ED2E5E">
        <w:rPr>
          <w:rFonts w:cs="Arial"/>
        </w:rPr>
        <w:t xml:space="preserve">te voorkomen dat </w:t>
      </w:r>
      <w:r w:rsidRPr="009C6DBA" w:rsidR="005222A3">
        <w:rPr>
          <w:rFonts w:cs="Arial"/>
        </w:rPr>
        <w:t xml:space="preserve">de toewijzing van </w:t>
      </w:r>
      <w:r w:rsidRPr="009C6DBA" w:rsidR="00ED2E5E">
        <w:rPr>
          <w:rFonts w:cs="Arial"/>
        </w:rPr>
        <w:t xml:space="preserve">de heffingsrechten over </w:t>
      </w:r>
      <w:r w:rsidRPr="009C6DBA" w:rsidR="005222A3">
        <w:rPr>
          <w:rFonts w:cs="Arial"/>
        </w:rPr>
        <w:t>vermogenswinsten behaal</w:t>
      </w:r>
      <w:r w:rsidRPr="009C6DBA" w:rsidR="00ED2E5E">
        <w:rPr>
          <w:rFonts w:cs="Arial"/>
        </w:rPr>
        <w:t>d</w:t>
      </w:r>
      <w:r w:rsidRPr="009C6DBA" w:rsidR="005222A3">
        <w:rPr>
          <w:rFonts w:cs="Arial"/>
        </w:rPr>
        <w:t xml:space="preserve"> met de vervreemding van een onroerende zaak</w:t>
      </w:r>
      <w:r w:rsidRPr="00111169" w:rsidR="005222A3">
        <w:rPr>
          <w:rFonts w:cs="Arial"/>
        </w:rPr>
        <w:t xml:space="preserve"> aan de situsstaat (het eerste lid) </w:t>
      </w:r>
      <w:r w:rsidRPr="00363E1C" w:rsidR="00ED2E5E">
        <w:rPr>
          <w:rFonts w:cs="Arial"/>
        </w:rPr>
        <w:t xml:space="preserve">kon worden ontweken </w:t>
      </w:r>
      <w:r w:rsidRPr="00363E1C" w:rsidR="005222A3">
        <w:rPr>
          <w:rFonts w:cs="Arial"/>
        </w:rPr>
        <w:t>door onroerende zaken in</w:t>
      </w:r>
      <w:r w:rsidRPr="00363E1C" w:rsidR="006F01A8">
        <w:rPr>
          <w:rFonts w:cs="Arial"/>
        </w:rPr>
        <w:t xml:space="preserve"> te brengen in</w:t>
      </w:r>
      <w:r w:rsidRPr="00363E1C" w:rsidR="005222A3">
        <w:rPr>
          <w:rFonts w:cs="Arial"/>
        </w:rPr>
        <w:t xml:space="preserve"> een </w:t>
      </w:r>
      <w:r w:rsidRPr="00363E1C" w:rsidR="00260FD8">
        <w:rPr>
          <w:rFonts w:cs="Arial"/>
        </w:rPr>
        <w:t xml:space="preserve">lichaam </w:t>
      </w:r>
      <w:r w:rsidRPr="00363E1C" w:rsidR="005222A3">
        <w:rPr>
          <w:rFonts w:cs="Arial"/>
        </w:rPr>
        <w:t xml:space="preserve">en in plaats van een onroerende zaak </w:t>
      </w:r>
      <w:r w:rsidRPr="000F52B8" w:rsidR="006F01A8">
        <w:rPr>
          <w:rFonts w:cs="Arial"/>
        </w:rPr>
        <w:t xml:space="preserve">de </w:t>
      </w:r>
      <w:r w:rsidRPr="000F52B8" w:rsidR="005222A3">
        <w:rPr>
          <w:rFonts w:cs="Arial"/>
        </w:rPr>
        <w:t xml:space="preserve">aandelen </w:t>
      </w:r>
      <w:r w:rsidRPr="002006EE" w:rsidR="006F01A8">
        <w:rPr>
          <w:rFonts w:cs="Arial"/>
        </w:rPr>
        <w:t xml:space="preserve">in </w:t>
      </w:r>
      <w:r w:rsidRPr="002006EE" w:rsidR="00F273FC">
        <w:rPr>
          <w:rFonts w:cs="Arial"/>
        </w:rPr>
        <w:t xml:space="preserve">het lichaam </w:t>
      </w:r>
      <w:r w:rsidRPr="008B1145" w:rsidR="006F01A8">
        <w:rPr>
          <w:rFonts w:cs="Arial"/>
        </w:rPr>
        <w:t>te</w:t>
      </w:r>
      <w:r w:rsidRPr="008B1145" w:rsidR="005F2FDF">
        <w:rPr>
          <w:rFonts w:cs="Arial"/>
        </w:rPr>
        <w:t xml:space="preserve"> vervreemden</w:t>
      </w:r>
      <w:r w:rsidRPr="00F83EE2" w:rsidR="005222A3">
        <w:rPr>
          <w:rFonts w:cs="Arial"/>
        </w:rPr>
        <w:t xml:space="preserve">. </w:t>
      </w:r>
      <w:r w:rsidRPr="00F83EE2" w:rsidR="00ED2E5E">
        <w:rPr>
          <w:rFonts w:cs="Arial"/>
        </w:rPr>
        <w:t>In dat geval zou, conform artikel 13, vijfde lid</w:t>
      </w:r>
      <w:r w:rsidRPr="006E2C98" w:rsidR="00260FD8">
        <w:rPr>
          <w:rFonts w:cs="Arial"/>
        </w:rPr>
        <w:t>,</w:t>
      </w:r>
      <w:r w:rsidRPr="005B15A0" w:rsidR="00ED2E5E">
        <w:rPr>
          <w:rFonts w:cs="Arial"/>
        </w:rPr>
        <w:t xml:space="preserve"> van het OESO-modelverdrag, de belasting</w:t>
      </w:r>
      <w:r w:rsidRPr="00B65B22" w:rsidR="00A85575">
        <w:rPr>
          <w:rFonts w:cs="Arial"/>
        </w:rPr>
        <w:t>h</w:t>
      </w:r>
      <w:r w:rsidRPr="00B65B22" w:rsidR="00ED2E5E">
        <w:rPr>
          <w:rFonts w:cs="Arial"/>
        </w:rPr>
        <w:t xml:space="preserve">effing toekomen aan </w:t>
      </w:r>
      <w:r w:rsidRPr="00B65B22" w:rsidR="00A85575">
        <w:rPr>
          <w:rFonts w:cs="Arial"/>
        </w:rPr>
        <w:t xml:space="preserve">de </w:t>
      </w:r>
      <w:r w:rsidRPr="00B65B22" w:rsidR="00ED2E5E">
        <w:rPr>
          <w:rFonts w:cs="Arial"/>
        </w:rPr>
        <w:t>woon</w:t>
      </w:r>
      <w:r w:rsidRPr="00B65B22" w:rsidR="00A85575">
        <w:rPr>
          <w:rFonts w:cs="Arial"/>
        </w:rPr>
        <w:t>staat</w:t>
      </w:r>
      <w:r w:rsidRPr="00B65B22" w:rsidR="00ED2E5E">
        <w:rPr>
          <w:rFonts w:cs="Arial"/>
        </w:rPr>
        <w:t xml:space="preserve"> van de vervreemder van de aandelen. </w:t>
      </w:r>
      <w:r w:rsidRPr="00B65B22">
        <w:t xml:space="preserve">Zoals verwoord in onderdeel 2.9.2 van de NFV 2011 is de inzet van Nederland </w:t>
      </w:r>
      <w:r w:rsidRPr="00B65B22" w:rsidR="00CA3104">
        <w:t>uitsluitende woonstaatheffing</w:t>
      </w:r>
      <w:r w:rsidRPr="00B65B22" w:rsidDel="00117F2B" w:rsidR="00CA3104">
        <w:t xml:space="preserve"> </w:t>
      </w:r>
      <w:r w:rsidRPr="00B65B22" w:rsidR="00CA3104">
        <w:t xml:space="preserve">overeen te komen </w:t>
      </w:r>
      <w:r w:rsidRPr="00B65B22" w:rsidR="00ED2E5E">
        <w:t xml:space="preserve">over </w:t>
      </w:r>
      <w:r w:rsidRPr="00B65B22" w:rsidR="00117F2B">
        <w:t xml:space="preserve">vermogenswinsten </w:t>
      </w:r>
      <w:r w:rsidRPr="00B65B22" w:rsidR="00CD40C9">
        <w:t>behaal</w:t>
      </w:r>
      <w:r w:rsidRPr="00B65B22" w:rsidR="00ED2E5E">
        <w:t>d</w:t>
      </w:r>
      <w:r w:rsidRPr="00B65B22" w:rsidR="00FF4C08">
        <w:t xml:space="preserve"> met de vervreemding van aandelen</w:t>
      </w:r>
      <w:r w:rsidRPr="00B65B22" w:rsidR="00117F2B">
        <w:t>.</w:t>
      </w:r>
      <w:r w:rsidRPr="00B65B22">
        <w:t xml:space="preserve"> </w:t>
      </w:r>
      <w:r w:rsidRPr="00B65B22" w:rsidR="00ED2E5E">
        <w:t xml:space="preserve">Desalniettemin is </w:t>
      </w:r>
      <w:r w:rsidRPr="00B65B22">
        <w:t xml:space="preserve">Nederland </w:t>
      </w:r>
      <w:r w:rsidRPr="00B65B22" w:rsidR="00FF4C08">
        <w:t xml:space="preserve">in het kader van </w:t>
      </w:r>
      <w:r w:rsidRPr="00B65B22" w:rsidR="008F2801">
        <w:t>een</w:t>
      </w:r>
      <w:r w:rsidRPr="00B65B22" w:rsidR="00FF4C08">
        <w:t xml:space="preserve"> totaalcompromis </w:t>
      </w:r>
      <w:r w:rsidRPr="00B65B22" w:rsidR="00ED2E5E">
        <w:t xml:space="preserve">met </w:t>
      </w:r>
      <w:r w:rsidRPr="00B65B22" w:rsidR="00475FD7">
        <w:t>Cyprus</w:t>
      </w:r>
      <w:r w:rsidRPr="00B65B22" w:rsidR="00ED2E5E">
        <w:t xml:space="preserve"> </w:t>
      </w:r>
      <w:r w:rsidRPr="00B65B22" w:rsidR="008F2801">
        <w:t xml:space="preserve">akkoord gegaan met </w:t>
      </w:r>
      <w:r w:rsidRPr="00B65B22" w:rsidR="00ED2E5E">
        <w:t xml:space="preserve">een </w:t>
      </w:r>
      <w:r w:rsidRPr="00B65B22" w:rsidR="008F2801">
        <w:t xml:space="preserve">bronstaatheffing over vermogenswinsten </w:t>
      </w:r>
      <w:r w:rsidRPr="00B65B22" w:rsidR="006F01A8">
        <w:t>behaal</w:t>
      </w:r>
      <w:r w:rsidRPr="00B65B22" w:rsidR="00ED2E5E">
        <w:t>d</w:t>
      </w:r>
      <w:r w:rsidRPr="00B65B22" w:rsidR="006F01A8">
        <w:t xml:space="preserve"> met</w:t>
      </w:r>
      <w:r w:rsidRPr="00B65B22" w:rsidR="008F2801">
        <w:t xml:space="preserve"> vervreemding van aandelen in </w:t>
      </w:r>
      <w:r w:rsidRPr="00B65B22" w:rsidR="006F01A8">
        <w:t xml:space="preserve">een </w:t>
      </w:r>
      <w:r w:rsidRPr="00B65B22" w:rsidR="008F2801">
        <w:t>onroerende</w:t>
      </w:r>
      <w:r w:rsidRPr="00B65B22" w:rsidR="006F01A8">
        <w:t>zaaklichaam,</w:t>
      </w:r>
      <w:r w:rsidRPr="00B65B22" w:rsidR="008F2801">
        <w:t xml:space="preserve"> </w:t>
      </w:r>
      <w:r w:rsidRPr="00B65B22" w:rsidR="005222A3">
        <w:t>maar heeft</w:t>
      </w:r>
      <w:r w:rsidRPr="00B65B22" w:rsidR="008F2801">
        <w:t xml:space="preserve"> </w:t>
      </w:r>
      <w:r w:rsidRPr="00B65B22" w:rsidR="00ED2E5E">
        <w:t xml:space="preserve">daarbij </w:t>
      </w:r>
      <w:r w:rsidRPr="00B65B22" w:rsidR="008F2801">
        <w:t xml:space="preserve">voorwaarden en uitzonderingen </w:t>
      </w:r>
      <w:r w:rsidRPr="00B65B22" w:rsidR="005222A3">
        <w:t>bedongen</w:t>
      </w:r>
      <w:r w:rsidRPr="00B65B22" w:rsidR="006F01A8">
        <w:t xml:space="preserve"> om de proportionaliteit van de</w:t>
      </w:r>
      <w:r w:rsidRPr="00B65B22" w:rsidR="00ED2E5E">
        <w:t>ze</w:t>
      </w:r>
      <w:r w:rsidRPr="00B65B22" w:rsidR="006F01A8">
        <w:t xml:space="preserve"> </w:t>
      </w:r>
      <w:r w:rsidRPr="00B65B22" w:rsidR="00244430">
        <w:t>antimisbruik</w:t>
      </w:r>
      <w:r w:rsidRPr="00B65B22" w:rsidR="006F01A8">
        <w:t>bepa</w:t>
      </w:r>
      <w:r w:rsidRPr="00B65B22" w:rsidR="00244430">
        <w:t>ling te verbeteren.</w:t>
      </w:r>
    </w:p>
    <w:p w:rsidRPr="00B65B22" w:rsidR="00853406" w:rsidP="00901C1E" w:rsidRDefault="00D6079D" w14:paraId="02EFFCBB" w14:textId="77777777">
      <w:r w:rsidRPr="00B65B22">
        <w:t>V</w:t>
      </w:r>
      <w:r w:rsidRPr="00B65B22" w:rsidR="003F31C9">
        <w:t>er</w:t>
      </w:r>
      <w:r w:rsidRPr="00B65B22" w:rsidR="00244430">
        <w:t>mogens</w:t>
      </w:r>
      <w:r w:rsidRPr="00B65B22" w:rsidR="003F31C9">
        <w:t>winsten behaal</w:t>
      </w:r>
      <w:r w:rsidRPr="00B65B22" w:rsidR="00E74BD1">
        <w:t>d</w:t>
      </w:r>
      <w:r w:rsidRPr="00B65B22" w:rsidR="003F31C9">
        <w:t xml:space="preserve"> met </w:t>
      </w:r>
      <w:r w:rsidRPr="00B65B22" w:rsidR="00244430">
        <w:t xml:space="preserve">vervreemding </w:t>
      </w:r>
      <w:r w:rsidRPr="00B65B22" w:rsidR="003F31C9">
        <w:t xml:space="preserve">van aandelen in onroerendezaaklichamen </w:t>
      </w:r>
      <w:r w:rsidRPr="00B65B22">
        <w:t xml:space="preserve">zijn </w:t>
      </w:r>
      <w:r w:rsidRPr="00B65B22" w:rsidR="00260FD8">
        <w:t xml:space="preserve">op grond van het vierde lid </w:t>
      </w:r>
      <w:r w:rsidRPr="00B65B22" w:rsidR="003F31C9">
        <w:t>ter heffing toegewezen aan de situsstaat indien meer dan 5</w:t>
      </w:r>
      <w:r w:rsidRPr="00B65B22" w:rsidR="006E3277">
        <w:t>0</w:t>
      </w:r>
      <w:r w:rsidRPr="00B65B22" w:rsidR="005D0C8A">
        <w:t>%</w:t>
      </w:r>
      <w:r w:rsidRPr="00B65B22" w:rsidR="003F31C9">
        <w:t xml:space="preserve"> van de waarde van de aandelen in </w:t>
      </w:r>
      <w:r w:rsidRPr="00B65B22" w:rsidR="009F076D">
        <w:t>het lichaam</w:t>
      </w:r>
      <w:r w:rsidRPr="00B65B22" w:rsidR="00244430">
        <w:t>, direct of indirect,</w:t>
      </w:r>
      <w:r w:rsidRPr="00B65B22" w:rsidR="009F076D">
        <w:t xml:space="preserve"> </w:t>
      </w:r>
      <w:r w:rsidRPr="00B65B22" w:rsidR="00DF7E13">
        <w:t>is ontleend aan</w:t>
      </w:r>
      <w:r w:rsidRPr="00B65B22" w:rsidR="003F31C9">
        <w:t xml:space="preserve"> in de situsstaat gelegen onroerend</w:t>
      </w:r>
      <w:r w:rsidRPr="00B65B22" w:rsidR="00E942EE">
        <w:t>e</w:t>
      </w:r>
      <w:r w:rsidRPr="00B65B22" w:rsidR="003F31C9">
        <w:t xml:space="preserve"> zaken</w:t>
      </w:r>
      <w:r w:rsidRPr="00B65B22" w:rsidR="00AD572A">
        <w:t xml:space="preserve">. </w:t>
      </w:r>
      <w:r w:rsidRPr="00B65B22">
        <w:t xml:space="preserve">Daarbij </w:t>
      </w:r>
      <w:r w:rsidRPr="00B65B22" w:rsidR="003F31C9">
        <w:t>zijn de ver</w:t>
      </w:r>
      <w:r w:rsidRPr="00B65B22" w:rsidR="00244430">
        <w:t>mogen</w:t>
      </w:r>
      <w:r w:rsidRPr="00B65B22" w:rsidR="003F31C9">
        <w:t xml:space="preserve">swinsten </w:t>
      </w:r>
      <w:r w:rsidRPr="00B65B22">
        <w:t xml:space="preserve">echter </w:t>
      </w:r>
      <w:r w:rsidRPr="00B65B22" w:rsidR="00DF7E13">
        <w:t xml:space="preserve">uitsluitend </w:t>
      </w:r>
      <w:r w:rsidRPr="00B65B22" w:rsidR="003F31C9">
        <w:t xml:space="preserve">belastbaar in de woonstaat </w:t>
      </w:r>
      <w:r w:rsidRPr="00B65B22" w:rsidR="00EE6F26">
        <w:t xml:space="preserve">van de vervreemder </w:t>
      </w:r>
      <w:r w:rsidRPr="00B65B22" w:rsidR="003F31C9">
        <w:t>indien</w:t>
      </w:r>
      <w:r w:rsidRPr="00B65B22" w:rsidR="00853406">
        <w:t xml:space="preserve">; </w:t>
      </w:r>
    </w:p>
    <w:p w:rsidRPr="00B65B22" w:rsidR="00853406" w:rsidP="00853406" w:rsidRDefault="00853406" w14:paraId="4BBF4376" w14:textId="77777777">
      <w:pPr>
        <w:ind w:firstLine="0"/>
      </w:pPr>
      <w:r w:rsidRPr="00B65B22">
        <w:t>-</w:t>
      </w:r>
      <w:r w:rsidRPr="00B65B22" w:rsidR="003F31C9">
        <w:t xml:space="preserve"> </w:t>
      </w:r>
      <w:r w:rsidRPr="00B65B22" w:rsidR="006E3277">
        <w:t xml:space="preserve">de aandelen genoteerd zijn aan een erkende effectenbeurs (onderdeel </w:t>
      </w:r>
      <w:r w:rsidRPr="00B65B22" w:rsidR="00AD572A">
        <w:t>i</w:t>
      </w:r>
      <w:r w:rsidRPr="00B65B22" w:rsidR="006E3277">
        <w:t xml:space="preserve">); </w:t>
      </w:r>
    </w:p>
    <w:p w:rsidRPr="00B65B22" w:rsidR="007C5ED5" w:rsidP="007C5ED5" w:rsidRDefault="00853406" w14:paraId="038BE22F" w14:textId="77777777">
      <w:pPr>
        <w:ind w:firstLine="0"/>
      </w:pPr>
      <w:r w:rsidRPr="00B65B22">
        <w:t>-</w:t>
      </w:r>
      <w:r w:rsidRPr="00B65B22" w:rsidR="004C2E1C">
        <w:t xml:space="preserve"> </w:t>
      </w:r>
      <w:r w:rsidRPr="00B65B22" w:rsidR="003F31C9">
        <w:t xml:space="preserve">sprake is van een </w:t>
      </w:r>
      <w:r w:rsidRPr="00B65B22" w:rsidR="004C2E1C">
        <w:t>bedrijfsreorganisatie, fusie,</w:t>
      </w:r>
      <w:r w:rsidRPr="00B65B22" w:rsidR="003F31C9">
        <w:t xml:space="preserve"> splitsing</w:t>
      </w:r>
      <w:r w:rsidRPr="00B65B22" w:rsidR="004C2E1C">
        <w:t xml:space="preserve"> of vergelijkbare transactie</w:t>
      </w:r>
      <w:r w:rsidRPr="00B65B22" w:rsidR="003F31C9">
        <w:t xml:space="preserve"> (onderdeel</w:t>
      </w:r>
      <w:r w:rsidRPr="00B65B22" w:rsidR="004C2E1C">
        <w:t xml:space="preserve"> </w:t>
      </w:r>
      <w:r w:rsidRPr="00B65B22" w:rsidR="00AD572A">
        <w:t>ii</w:t>
      </w:r>
      <w:r w:rsidRPr="00B65B22" w:rsidR="003F31C9">
        <w:t>)</w:t>
      </w:r>
      <w:r w:rsidRPr="00B65B22">
        <w:t>;</w:t>
      </w:r>
      <w:r w:rsidRPr="00B65B22" w:rsidR="00322AE4">
        <w:t xml:space="preserve"> </w:t>
      </w:r>
      <w:r w:rsidRPr="00B65B22" w:rsidR="006E3277">
        <w:br/>
        <w:t>- sprake is van onroerende zaken waarin een onderneming van dat lichaam wordt gedreven</w:t>
      </w:r>
      <w:r w:rsidRPr="00B65B22" w:rsidR="00210250">
        <w:t xml:space="preserve"> </w:t>
      </w:r>
      <w:r w:rsidRPr="00B65B22" w:rsidR="006E3277">
        <w:t xml:space="preserve">(onderdeel </w:t>
      </w:r>
      <w:r w:rsidRPr="00B65B22" w:rsidR="00AD572A">
        <w:t>iii</w:t>
      </w:r>
      <w:r w:rsidRPr="00B65B22" w:rsidR="006E3277">
        <w:t xml:space="preserve">); </w:t>
      </w:r>
      <w:r w:rsidRPr="00B65B22" w:rsidR="007C5ED5">
        <w:br/>
        <w:t xml:space="preserve">- </w:t>
      </w:r>
      <w:r w:rsidRPr="00B65B22" w:rsidR="00562287">
        <w:t xml:space="preserve">de vervreemder, voor </w:t>
      </w:r>
      <w:r w:rsidRPr="00B65B22" w:rsidR="000E2771">
        <w:t xml:space="preserve">de </w:t>
      </w:r>
      <w:r w:rsidRPr="00B65B22" w:rsidR="00562287">
        <w:t>eerste vervreemding</w:t>
      </w:r>
      <w:r w:rsidRPr="00B65B22" w:rsidR="000E2771">
        <w:t xml:space="preserve"> van aandelen</w:t>
      </w:r>
      <w:r w:rsidRPr="00B65B22" w:rsidR="00562287">
        <w:t xml:space="preserve">, direct of indirect, zelfstandig of samen met gelieerde partijen, minder dan 25% van de aandelen in het onroerendezaaklichaam bezat </w:t>
      </w:r>
      <w:r w:rsidRPr="00B65B22" w:rsidR="003B0ECA">
        <w:t xml:space="preserve">(onderdeel </w:t>
      </w:r>
      <w:r w:rsidRPr="00B65B22" w:rsidR="00F52836">
        <w:t>iv</w:t>
      </w:r>
      <w:r w:rsidRPr="00B65B22" w:rsidR="003B0ECA">
        <w:t>); of</w:t>
      </w:r>
    </w:p>
    <w:p w:rsidRPr="00B65B22" w:rsidR="001E093C" w:rsidRDefault="00853406" w14:paraId="2870E72A" w14:textId="77777777">
      <w:pPr>
        <w:tabs>
          <w:tab w:val="left" w:pos="709"/>
        </w:tabs>
        <w:ind w:firstLine="0"/>
        <w:rPr>
          <w:rFonts w:cs="Arial"/>
          <w:szCs w:val="20"/>
        </w:rPr>
      </w:pPr>
      <w:r w:rsidRPr="00B65B22">
        <w:t>-</w:t>
      </w:r>
      <w:r w:rsidRPr="00B65B22" w:rsidR="003F31C9">
        <w:t xml:space="preserve"> </w:t>
      </w:r>
      <w:r w:rsidRPr="00B65B22">
        <w:t>de</w:t>
      </w:r>
      <w:r w:rsidRPr="00B65B22" w:rsidR="003F31C9">
        <w:t xml:space="preserve"> </w:t>
      </w:r>
      <w:r w:rsidRPr="00B65B22" w:rsidR="007D0056">
        <w:rPr>
          <w:rFonts w:cs="Arial"/>
          <w:szCs w:val="20"/>
        </w:rPr>
        <w:t>vervreemder</w:t>
      </w:r>
      <w:r w:rsidRPr="00B65B22" w:rsidR="00CE257E">
        <w:rPr>
          <w:rFonts w:cs="Arial"/>
          <w:szCs w:val="20"/>
        </w:rPr>
        <w:t xml:space="preserve"> een </w:t>
      </w:r>
      <w:r w:rsidRPr="00B65B22" w:rsidR="00F52836">
        <w:rPr>
          <w:rFonts w:cs="Arial"/>
          <w:szCs w:val="20"/>
        </w:rPr>
        <w:t xml:space="preserve">erkend </w:t>
      </w:r>
      <w:r w:rsidRPr="00B65B22" w:rsidR="00CE257E">
        <w:rPr>
          <w:rFonts w:cs="Arial"/>
          <w:szCs w:val="20"/>
        </w:rPr>
        <w:t>pensioenfonds</w:t>
      </w:r>
      <w:r w:rsidRPr="00B65B22" w:rsidR="00D6079D">
        <w:rPr>
          <w:rFonts w:cs="Arial"/>
          <w:szCs w:val="20"/>
        </w:rPr>
        <w:t xml:space="preserve"> </w:t>
      </w:r>
      <w:r w:rsidRPr="00B65B22" w:rsidR="00CE257E">
        <w:rPr>
          <w:rFonts w:cs="Arial"/>
          <w:szCs w:val="20"/>
        </w:rPr>
        <w:t>is</w:t>
      </w:r>
      <w:r w:rsidRPr="00B65B22" w:rsidR="007D0056">
        <w:rPr>
          <w:rFonts w:cs="Arial"/>
          <w:szCs w:val="20"/>
        </w:rPr>
        <w:t xml:space="preserve"> </w:t>
      </w:r>
      <w:r w:rsidRPr="00B65B22" w:rsidR="00CE257E">
        <w:rPr>
          <w:rFonts w:cs="Arial"/>
          <w:szCs w:val="20"/>
        </w:rPr>
        <w:t xml:space="preserve">(onderdeel </w:t>
      </w:r>
      <w:r w:rsidRPr="00B65B22" w:rsidR="00F52836">
        <w:rPr>
          <w:rFonts w:cs="Arial"/>
          <w:szCs w:val="20"/>
        </w:rPr>
        <w:t>v</w:t>
      </w:r>
      <w:r w:rsidRPr="00B65B22" w:rsidR="00CE257E">
        <w:rPr>
          <w:rFonts w:cs="Arial"/>
          <w:szCs w:val="20"/>
        </w:rPr>
        <w:t>).</w:t>
      </w:r>
    </w:p>
    <w:p w:rsidRPr="00B65B22" w:rsidR="00F42DD7" w:rsidP="00A945F8" w:rsidRDefault="00EE6F26" w14:paraId="0E60F1AE" w14:textId="77777777">
      <w:pPr>
        <w:ind w:firstLine="708"/>
        <w:rPr>
          <w:rFonts w:cs="Arial"/>
          <w:szCs w:val="20"/>
        </w:rPr>
      </w:pPr>
      <w:r w:rsidRPr="00B65B22">
        <w:rPr>
          <w:rFonts w:cs="Arial"/>
          <w:szCs w:val="20"/>
        </w:rPr>
        <w:t xml:space="preserve">In het vierde lid is </w:t>
      </w:r>
      <w:r w:rsidRPr="00B65B22" w:rsidR="00F52836">
        <w:rPr>
          <w:rFonts w:cs="Arial"/>
          <w:szCs w:val="20"/>
        </w:rPr>
        <w:t xml:space="preserve">verder </w:t>
      </w:r>
      <w:r w:rsidRPr="00B65B22">
        <w:rPr>
          <w:rFonts w:cs="Arial"/>
          <w:szCs w:val="20"/>
        </w:rPr>
        <w:t xml:space="preserve">aangesloten bij </w:t>
      </w:r>
      <w:r w:rsidRPr="00B65B22" w:rsidR="00F52836">
        <w:rPr>
          <w:rFonts w:cs="Arial"/>
          <w:szCs w:val="20"/>
        </w:rPr>
        <w:t xml:space="preserve">één van </w:t>
      </w:r>
      <w:r w:rsidRPr="00B65B22">
        <w:rPr>
          <w:rFonts w:cs="Arial"/>
          <w:szCs w:val="20"/>
        </w:rPr>
        <w:t>de in</w:t>
      </w:r>
      <w:r w:rsidRPr="00B65B22" w:rsidR="00D122CA">
        <w:rPr>
          <w:rFonts w:cs="Arial"/>
          <w:szCs w:val="20"/>
        </w:rPr>
        <w:t xml:space="preserve"> </w:t>
      </w:r>
      <w:r w:rsidRPr="00B65B22" w:rsidR="00F64B8F">
        <w:rPr>
          <w:rFonts w:cs="Arial"/>
          <w:szCs w:val="20"/>
        </w:rPr>
        <w:t xml:space="preserve">het </w:t>
      </w:r>
      <w:r w:rsidRPr="00B65B22" w:rsidR="00D122CA">
        <w:rPr>
          <w:rFonts w:cs="Arial"/>
          <w:szCs w:val="20"/>
        </w:rPr>
        <w:t xml:space="preserve">rapport </w:t>
      </w:r>
      <w:r w:rsidRPr="00B65B22" w:rsidR="00F64B8F">
        <w:rPr>
          <w:rFonts w:cs="Arial"/>
          <w:szCs w:val="20"/>
        </w:rPr>
        <w:t>bij BEPS-actie</w:t>
      </w:r>
      <w:r w:rsidRPr="00B65B22">
        <w:rPr>
          <w:rFonts w:cs="Arial"/>
          <w:szCs w:val="20"/>
        </w:rPr>
        <w:t>punt</w:t>
      </w:r>
      <w:r w:rsidRPr="00B65B22" w:rsidR="00F64B8F">
        <w:rPr>
          <w:rFonts w:cs="Arial"/>
          <w:szCs w:val="20"/>
        </w:rPr>
        <w:t xml:space="preserve"> </w:t>
      </w:r>
      <w:r w:rsidRPr="00B65B22" w:rsidR="00D122CA">
        <w:rPr>
          <w:rFonts w:cs="Arial"/>
          <w:szCs w:val="20"/>
        </w:rPr>
        <w:t xml:space="preserve">6 </w:t>
      </w:r>
      <w:r w:rsidRPr="00B65B22">
        <w:rPr>
          <w:rFonts w:cs="Arial"/>
          <w:szCs w:val="20"/>
        </w:rPr>
        <w:t xml:space="preserve">voorgestelde </w:t>
      </w:r>
      <w:r w:rsidRPr="00B65B22" w:rsidR="00D122CA">
        <w:rPr>
          <w:rFonts w:cs="Arial"/>
          <w:szCs w:val="20"/>
        </w:rPr>
        <w:t xml:space="preserve">wijzigingen </w:t>
      </w:r>
      <w:r w:rsidRPr="00B65B22" w:rsidR="00CD1D53">
        <w:rPr>
          <w:rFonts w:cs="Arial"/>
          <w:szCs w:val="20"/>
        </w:rPr>
        <w:t xml:space="preserve">die haar weg heeft gevonden naar </w:t>
      </w:r>
      <w:r w:rsidRPr="00B65B22" w:rsidR="00D122CA">
        <w:rPr>
          <w:rFonts w:cs="Arial"/>
          <w:szCs w:val="20"/>
        </w:rPr>
        <w:t>artikel 13</w:t>
      </w:r>
      <w:r w:rsidRPr="00B65B22">
        <w:rPr>
          <w:rFonts w:cs="Arial"/>
          <w:szCs w:val="20"/>
        </w:rPr>
        <w:t>, vierde lid, van het OESO-modelverdrag</w:t>
      </w:r>
      <w:r w:rsidRPr="00B65B22" w:rsidR="00CD1D53">
        <w:rPr>
          <w:rFonts w:cs="Arial"/>
          <w:szCs w:val="20"/>
        </w:rPr>
        <w:t xml:space="preserve"> en waarmee wordt ge</w:t>
      </w:r>
      <w:r w:rsidRPr="00B65B22" w:rsidR="00F40613">
        <w:rPr>
          <w:rFonts w:cs="Arial"/>
          <w:szCs w:val="20"/>
        </w:rPr>
        <w:t>regel</w:t>
      </w:r>
      <w:r w:rsidRPr="00B65B22" w:rsidR="00CD1D53">
        <w:rPr>
          <w:rFonts w:cs="Arial"/>
          <w:szCs w:val="20"/>
        </w:rPr>
        <w:t>d</w:t>
      </w:r>
      <w:r w:rsidRPr="00B65B22" w:rsidR="00D122CA">
        <w:rPr>
          <w:rFonts w:cs="Arial"/>
          <w:szCs w:val="20"/>
        </w:rPr>
        <w:t xml:space="preserve"> dat </w:t>
      </w:r>
      <w:r w:rsidRPr="00B65B22" w:rsidR="009171DB">
        <w:rPr>
          <w:rFonts w:cs="Arial"/>
          <w:szCs w:val="20"/>
        </w:rPr>
        <w:t xml:space="preserve">de bepaling ook ziet op </w:t>
      </w:r>
      <w:r w:rsidRPr="00B65B22" w:rsidR="00D122CA">
        <w:rPr>
          <w:rFonts w:cs="Arial"/>
          <w:szCs w:val="20"/>
        </w:rPr>
        <w:t xml:space="preserve">de vervreemding van </w:t>
      </w:r>
      <w:r w:rsidRPr="00B65B22" w:rsidR="009171DB">
        <w:rPr>
          <w:rFonts w:cs="Arial"/>
          <w:szCs w:val="20"/>
        </w:rPr>
        <w:t xml:space="preserve">met </w:t>
      </w:r>
      <w:r w:rsidRPr="00B65B22" w:rsidR="00D122CA">
        <w:rPr>
          <w:rFonts w:cs="Arial"/>
          <w:szCs w:val="20"/>
        </w:rPr>
        <w:t>aandelen vergelijkbare belangen, zoals belangen in een partnership of trust.</w:t>
      </w:r>
      <w:r w:rsidRPr="00B65B22" w:rsidR="00BF7655">
        <w:rPr>
          <w:rFonts w:cs="Arial"/>
          <w:szCs w:val="20"/>
        </w:rPr>
        <w:t xml:space="preserve"> Met deze wijziging wordt beoogd te voorkomen dat bepaalde entiteiten buiten de werkingssfeer van artikel 13, </w:t>
      </w:r>
      <w:r w:rsidRPr="00B65B22" w:rsidR="009171DB">
        <w:rPr>
          <w:rFonts w:cs="Arial"/>
          <w:szCs w:val="20"/>
        </w:rPr>
        <w:t xml:space="preserve">vierde </w:t>
      </w:r>
      <w:r w:rsidRPr="00B65B22" w:rsidR="00BF7655">
        <w:rPr>
          <w:rFonts w:cs="Arial"/>
          <w:szCs w:val="20"/>
        </w:rPr>
        <w:t>lid</w:t>
      </w:r>
      <w:r w:rsidRPr="00B65B22" w:rsidR="009171DB">
        <w:rPr>
          <w:rFonts w:cs="Arial"/>
          <w:szCs w:val="20"/>
        </w:rPr>
        <w:t>,</w:t>
      </w:r>
      <w:r w:rsidRPr="00B65B22" w:rsidR="00BF7655">
        <w:rPr>
          <w:rFonts w:cs="Arial"/>
          <w:szCs w:val="20"/>
        </w:rPr>
        <w:t xml:space="preserve"> vallen omdat </w:t>
      </w:r>
      <w:r w:rsidRPr="00B65B22" w:rsidR="00E60484">
        <w:rPr>
          <w:rFonts w:cs="Arial"/>
          <w:szCs w:val="20"/>
        </w:rPr>
        <w:t>zij</w:t>
      </w:r>
      <w:r w:rsidRPr="00B65B22" w:rsidR="00BF7655">
        <w:rPr>
          <w:rFonts w:cs="Arial"/>
          <w:szCs w:val="20"/>
        </w:rPr>
        <w:t xml:space="preserve"> geen aandelen uitgeven.</w:t>
      </w:r>
      <w:r w:rsidRPr="00B65B22" w:rsidR="00AB19DD">
        <w:rPr>
          <w:rFonts w:cs="Arial"/>
          <w:szCs w:val="20"/>
        </w:rPr>
        <w:t xml:space="preserve"> </w:t>
      </w:r>
    </w:p>
    <w:p w:rsidRPr="00B65B22" w:rsidR="00A945F8" w:rsidP="00A945F8" w:rsidRDefault="00A67AD2" w14:paraId="38245543" w14:textId="77777777">
      <w:pPr>
        <w:ind w:firstLine="708"/>
      </w:pPr>
      <w:r w:rsidRPr="00B65B22">
        <w:t xml:space="preserve">Het </w:t>
      </w:r>
      <w:r w:rsidRPr="00B65B22" w:rsidR="00A945F8">
        <w:t>vijf</w:t>
      </w:r>
      <w:r w:rsidRPr="00B65B22" w:rsidR="00D122CA">
        <w:t xml:space="preserve">de lid </w:t>
      </w:r>
      <w:r w:rsidRPr="00B65B22">
        <w:t>bepaalt</w:t>
      </w:r>
      <w:r w:rsidRPr="00B65B22" w:rsidR="00D122CA">
        <w:t xml:space="preserve">, conform het Nederlandse verdragsbeleid zoals toegelicht in </w:t>
      </w:r>
      <w:r w:rsidRPr="00B65B22" w:rsidR="00255A4A">
        <w:t xml:space="preserve">de </w:t>
      </w:r>
      <w:r w:rsidRPr="00B65B22" w:rsidR="00D122CA">
        <w:t>onderdel</w:t>
      </w:r>
      <w:r w:rsidRPr="00B65B22" w:rsidR="00255A4A">
        <w:t>en</w:t>
      </w:r>
      <w:r w:rsidRPr="00B65B22" w:rsidR="00D122CA">
        <w:t xml:space="preserve"> 2.9.3 en 2.9.4 van de NFV 2011, dat de voormalige woonstaat van een geëmigreerde </w:t>
      </w:r>
      <w:r w:rsidRPr="00B65B22" w:rsidR="00A1736D">
        <w:t>natuurlijk</w:t>
      </w:r>
      <w:r w:rsidRPr="00B65B22" w:rsidR="00885989">
        <w:t>e</w:t>
      </w:r>
      <w:r w:rsidRPr="00B65B22" w:rsidR="00A1736D">
        <w:t xml:space="preserve"> </w:t>
      </w:r>
      <w:r w:rsidRPr="00B65B22" w:rsidR="00D122CA">
        <w:t xml:space="preserve">persoon gerechtigd is belasting te heffen over de tot het moment van emigratie aangegroeide meerwaarde van </w:t>
      </w:r>
      <w:r w:rsidRPr="00B65B22" w:rsidR="00123D5A">
        <w:t xml:space="preserve">door die persoon gehouden </w:t>
      </w:r>
      <w:r w:rsidRPr="00B65B22" w:rsidR="00D122CA">
        <w:t>aandelen</w:t>
      </w:r>
      <w:r w:rsidRPr="00B65B22" w:rsidR="007A11F0">
        <w:t>, winstbewijzen, koopopties, vruchtgebruik en schuldvorderingen</w:t>
      </w:r>
      <w:r w:rsidRPr="00B65B22" w:rsidR="00D122CA">
        <w:t xml:space="preserve">. Daarnaast </w:t>
      </w:r>
      <w:r w:rsidRPr="00B65B22" w:rsidR="00BA687F">
        <w:t>regelt</w:t>
      </w:r>
      <w:r w:rsidRPr="00B65B22" w:rsidR="00D122CA">
        <w:t xml:space="preserve"> de bepaling dat de nieuwe woonstaat de tot het moment van emigratie aangegroeide meerwaarde niet in de belastingheffing betrekt. De bepaling is wederkerig geformuleerd en geldt derhalve zowel voor Nederland als voor </w:t>
      </w:r>
      <w:r w:rsidRPr="00B65B22" w:rsidR="00475FD7">
        <w:t>Cyprus</w:t>
      </w:r>
      <w:r w:rsidRPr="00B65B22" w:rsidR="00D122CA">
        <w:t>. Wat Nederland betreft</w:t>
      </w:r>
      <w:r w:rsidRPr="00B65B22" w:rsidR="00D00FEF">
        <w:t>,</w:t>
      </w:r>
      <w:r w:rsidRPr="00B65B22" w:rsidR="00D122CA">
        <w:t xml:space="preserve"> ziet deze bepaling op de belasting die wordt geheven bij emigratie van een aanmerkelijkbelanghouder in de vorm van een conserverende aanslag.</w:t>
      </w:r>
    </w:p>
    <w:p w:rsidRPr="00B65B22" w:rsidR="00794AA0" w:rsidP="00B910DE" w:rsidRDefault="00A945F8" w14:paraId="64E7B5E4" w14:textId="77777777">
      <w:pPr>
        <w:ind w:firstLine="708"/>
      </w:pPr>
      <w:r w:rsidRPr="00B65B22">
        <w:t xml:space="preserve">Op grond van het zesde lid zijn alle overige vermogenswinsten ter heffing toegewezen aan de verdragsluitende staat waarvan de vervreemder inwoner is. </w:t>
      </w:r>
    </w:p>
    <w:p w:rsidRPr="00B65B22" w:rsidR="002166F7" w:rsidP="00B910DE" w:rsidRDefault="007575E6" w14:paraId="2839E1C4" w14:textId="61514473">
      <w:pPr>
        <w:ind w:firstLine="708"/>
      </w:pPr>
      <w:r w:rsidRPr="00B65B22">
        <w:rPr>
          <w:rFonts w:cs="Arial"/>
          <w:szCs w:val="20"/>
        </w:rPr>
        <w:t>In artikel 3 van het Protocol is bepaald dat inkomsten die worden genoten uit de inkoop van aandelen of de (gedeeltelijke) liquidatie van een vennootschap, voor de toepassing van het Verdrag worden aangemerkt als dividend (en derhalve niet als vermogenswinst). Dit sluit aan bij het in onderdeel 2.9.5 van de NFV 2011 uiteengezette verdragsbeleid.</w:t>
      </w:r>
    </w:p>
    <w:p w:rsidRPr="00B65B22" w:rsidR="007B6437" w:rsidP="00901C1E" w:rsidRDefault="007B6437" w14:paraId="4F96F24C" w14:textId="77777777">
      <w:pPr>
        <w:pStyle w:val="Kop2"/>
        <w:numPr>
          <w:ilvl w:val="1"/>
          <w:numId w:val="1"/>
        </w:numPr>
        <w:rPr>
          <w:b w:val="0"/>
          <w:i/>
        </w:rPr>
      </w:pPr>
      <w:r w:rsidRPr="00B65B22">
        <w:rPr>
          <w:b w:val="0"/>
          <w:i/>
        </w:rPr>
        <w:t>Inkomsten uit dienstbetrekking (artikel 14</w:t>
      </w:r>
      <w:r w:rsidRPr="00B65B22" w:rsidR="00F05AE9">
        <w:rPr>
          <w:b w:val="0"/>
          <w:i/>
        </w:rPr>
        <w:t xml:space="preserve"> van het Verdrag</w:t>
      </w:r>
      <w:r w:rsidRPr="00B65B22">
        <w:rPr>
          <w:b w:val="0"/>
          <w:i/>
        </w:rPr>
        <w:t>)</w:t>
      </w:r>
    </w:p>
    <w:p w:rsidRPr="00B65B22" w:rsidR="003E6040" w:rsidP="00901C1E" w:rsidRDefault="003E6040" w14:paraId="6CDA1C22" w14:textId="77777777">
      <w:r w:rsidRPr="00B65B22">
        <w:t xml:space="preserve">Artikel 14 </w:t>
      </w:r>
      <w:r w:rsidRPr="00B65B22" w:rsidR="00192C8D">
        <w:t xml:space="preserve">van het Verdrag </w:t>
      </w:r>
      <w:r w:rsidRPr="00B65B22" w:rsidR="00123D5A">
        <w:t>betreft</w:t>
      </w:r>
      <w:r w:rsidRPr="00B65B22">
        <w:t xml:space="preserve"> de verdeling van heffings</w:t>
      </w:r>
      <w:r w:rsidRPr="00B65B22" w:rsidR="00123D5A">
        <w:t>rechten</w:t>
      </w:r>
      <w:r w:rsidRPr="00B65B22">
        <w:t xml:space="preserve"> </w:t>
      </w:r>
      <w:r w:rsidRPr="00B65B22" w:rsidR="00123D5A">
        <w:t>over</w:t>
      </w:r>
      <w:r w:rsidRPr="00B65B22">
        <w:t xml:space="preserve"> inkomsten uit dienstbetrekking (niet-zelfstandige arbeid). Behoudens het derde lid stemt dit artikel </w:t>
      </w:r>
      <w:r w:rsidRPr="00B65B22" w:rsidR="007A11F0">
        <w:t xml:space="preserve">geheel </w:t>
      </w:r>
      <w:r w:rsidRPr="00B65B22">
        <w:t>overeen met artikel 15 van het OESO-modelverdrag.</w:t>
      </w:r>
    </w:p>
    <w:p w:rsidRPr="00B65B22" w:rsidR="007B6437" w:rsidP="00901C1E" w:rsidRDefault="007B6437" w14:paraId="06762BFB" w14:textId="77777777">
      <w:r w:rsidRPr="00B65B22">
        <w:t xml:space="preserve">Volgens het eerste lid mag de </w:t>
      </w:r>
      <w:r w:rsidRPr="00B65B22" w:rsidR="00AF2710">
        <w:t>verdragsluitende</w:t>
      </w:r>
      <w:r w:rsidRPr="00B65B22">
        <w:t xml:space="preserve"> </w:t>
      </w:r>
      <w:r w:rsidRPr="00B65B22" w:rsidR="00AF2710">
        <w:t>staat</w:t>
      </w:r>
      <w:r w:rsidRPr="00B65B22">
        <w:t xml:space="preserve"> waarin de niet-zelfstandige werkzaamheden worden verricht </w:t>
      </w:r>
      <w:r w:rsidRPr="00B65B22" w:rsidR="00820108">
        <w:t xml:space="preserve">(de “werkstaat”) </w:t>
      </w:r>
      <w:r w:rsidRPr="00B65B22">
        <w:t xml:space="preserve">over de </w:t>
      </w:r>
      <w:r w:rsidRPr="00B65B22" w:rsidR="003E6040">
        <w:t>inkomsten</w:t>
      </w:r>
      <w:r w:rsidRPr="00B65B22">
        <w:t xml:space="preserve"> </w:t>
      </w:r>
      <w:r w:rsidRPr="00B65B22" w:rsidR="007A11F0">
        <w:t>belasting</w:t>
      </w:r>
      <w:r w:rsidRPr="00B65B22" w:rsidR="006D4BB6">
        <w:t xml:space="preserve"> </w:t>
      </w:r>
      <w:r w:rsidRPr="00B65B22">
        <w:t xml:space="preserve">heffen. </w:t>
      </w:r>
    </w:p>
    <w:p w:rsidRPr="00B65B22" w:rsidR="007B6437" w:rsidP="00901C1E" w:rsidRDefault="007B6437" w14:paraId="7E81F7C0" w14:textId="77777777">
      <w:r w:rsidRPr="00B65B22">
        <w:t>Het tweede lid voorziet daarentegen in</w:t>
      </w:r>
      <w:r w:rsidRPr="00B65B22" w:rsidR="00F55B51">
        <w:t xml:space="preserve"> een exclusief heffingsrecht voor</w:t>
      </w:r>
      <w:r w:rsidRPr="00B65B22">
        <w:t xml:space="preserve"> de woonstaat</w:t>
      </w:r>
      <w:r w:rsidRPr="00B65B22" w:rsidR="00F55B51">
        <w:t xml:space="preserve"> van de werknemer</w:t>
      </w:r>
      <w:r w:rsidRPr="00B65B22">
        <w:t xml:space="preserve"> als wordt voldaan aan drie (cumulatieve) voorwaarden:</w:t>
      </w:r>
    </w:p>
    <w:p w:rsidRPr="00B65B22" w:rsidR="007B6437" w:rsidP="00901C1E" w:rsidRDefault="007B6437" w14:paraId="5B0A6A19" w14:textId="77777777">
      <w:pPr>
        <w:numPr>
          <w:ilvl w:val="0"/>
          <w:numId w:val="3"/>
        </w:numPr>
        <w:contextualSpacing/>
      </w:pPr>
      <w:r w:rsidRPr="00B65B22">
        <w:t xml:space="preserve">het verblijf van de werknemer in de werkstaat is in totaal niet langer dan 183 dagen in een </w:t>
      </w:r>
      <w:r w:rsidRPr="00B65B22" w:rsidR="00192C8D">
        <w:t>twaalf</w:t>
      </w:r>
      <w:r w:rsidRPr="00B65B22">
        <w:t xml:space="preserve">maandsperiode die begint of eindigt in het betrokken belastingjaar; </w:t>
      </w:r>
    </w:p>
    <w:p w:rsidRPr="00B65B22" w:rsidR="007B6437" w:rsidP="00901C1E" w:rsidRDefault="007B6437" w14:paraId="399529E8" w14:textId="77777777">
      <w:pPr>
        <w:numPr>
          <w:ilvl w:val="0"/>
          <w:numId w:val="3"/>
        </w:numPr>
        <w:contextualSpacing/>
      </w:pPr>
      <w:r w:rsidRPr="00B65B22">
        <w:t>de beloning wordt betaald door of namens een werkgever die geen inwoner is van de werkstaat; en</w:t>
      </w:r>
    </w:p>
    <w:p w:rsidRPr="00B65B22" w:rsidR="007B6437" w:rsidP="00901C1E" w:rsidRDefault="007B6437" w14:paraId="2A75878B" w14:textId="77777777">
      <w:pPr>
        <w:numPr>
          <w:ilvl w:val="0"/>
          <w:numId w:val="3"/>
        </w:numPr>
        <w:contextualSpacing/>
      </w:pPr>
      <w:r w:rsidRPr="00B65B22">
        <w:t>de beloning komt niet ten laste van een vaste inrichting van de werkgever in de werkstaat.</w:t>
      </w:r>
    </w:p>
    <w:p w:rsidRPr="00B65B22" w:rsidR="00524CE7" w:rsidP="00181EA0" w:rsidRDefault="003E6040" w14:paraId="79DDA64D" w14:textId="77777777">
      <w:r w:rsidRPr="00B65B22">
        <w:t>Als aan één of meer van deze drie voorwaarden niet wordt voldaan, mag de werkstaat volgens de regels van het eerste lid belasting heffen over de inkomsten van de werknemer voor zover die inkomsten zijn toe te rekenen aan de in de werkstaat verrichte werkzaamheden. Het doel van deze bepaling is om de fiscale positie van werknemers die voor een beperkte periode werkzaam zijn in een ander land dan het woonland niet te veranderen en de werknemer en werkgever extra administratieve lasten te besparen die zouden voortvloeien uit een belastingplicht in de werkstaat.</w:t>
      </w:r>
    </w:p>
    <w:p w:rsidRPr="00B65B22" w:rsidR="00901C1E" w:rsidP="00181EA0" w:rsidRDefault="00757790" w14:paraId="4741CAC3" w14:textId="77777777">
      <w:r w:rsidRPr="00B65B22">
        <w:t xml:space="preserve">Op grond van het derde lid is </w:t>
      </w:r>
      <w:r w:rsidRPr="00B65B22" w:rsidR="00E33CDE">
        <w:t xml:space="preserve">een </w:t>
      </w:r>
      <w:r w:rsidRPr="00B65B22">
        <w:t>beloning van werknemers</w:t>
      </w:r>
      <w:r w:rsidRPr="00B65B22" w:rsidR="00F77638">
        <w:t>,</w:t>
      </w:r>
      <w:r w:rsidRPr="00B65B22">
        <w:t xml:space="preserve"> </w:t>
      </w:r>
      <w:r w:rsidRPr="00B65B22" w:rsidR="003E6040">
        <w:t>verkregen ter zake van een dienstbetrekking uitg</w:t>
      </w:r>
      <w:r w:rsidRPr="00B65B22" w:rsidR="00D122CA">
        <w:t xml:space="preserve">eoefend aan boord van een schip of luchtvaartuig </w:t>
      </w:r>
      <w:r w:rsidRPr="00B65B22" w:rsidR="000562CA">
        <w:t>dat in het internationale verkeer wordt geëxploiteerd</w:t>
      </w:r>
      <w:r w:rsidRPr="00B65B22" w:rsidR="00F77638">
        <w:t>,</w:t>
      </w:r>
      <w:r w:rsidRPr="00B65B22" w:rsidR="00D122CA">
        <w:t xml:space="preserve"> uitsluitend belastbaar in de </w:t>
      </w:r>
      <w:r w:rsidRPr="00B65B22" w:rsidR="00192C8D">
        <w:t>verdragsluitende s</w:t>
      </w:r>
      <w:r w:rsidRPr="00B65B22" w:rsidR="00A945F8">
        <w:t>taat waar</w:t>
      </w:r>
      <w:r w:rsidRPr="00B65B22" w:rsidR="005A7404">
        <w:t>in</w:t>
      </w:r>
      <w:r w:rsidRPr="00B65B22" w:rsidR="00A945F8">
        <w:t xml:space="preserve"> de feitelijke leiding van de onderneming </w:t>
      </w:r>
      <w:r w:rsidRPr="00B65B22" w:rsidR="005A7404">
        <w:t>is gelegen</w:t>
      </w:r>
      <w:r w:rsidRPr="00B65B22" w:rsidR="00BD29DD">
        <w:t xml:space="preserve">. </w:t>
      </w:r>
      <w:r w:rsidRPr="00B65B22" w:rsidR="0058566A">
        <w:t>Dit is in lijn met het bepaalde in artikel 8.</w:t>
      </w:r>
    </w:p>
    <w:p w:rsidRPr="00B65B22" w:rsidR="00FB65D4" w:rsidP="00FB65D4" w:rsidRDefault="00FB65D4" w14:paraId="420C7F2B" w14:textId="77777777">
      <w:pPr>
        <w:pStyle w:val="Kop2"/>
        <w:rPr>
          <w:b w:val="0"/>
          <w:i/>
        </w:rPr>
      </w:pPr>
      <w:r w:rsidRPr="00B65B22">
        <w:rPr>
          <w:b w:val="0"/>
          <w:i/>
        </w:rPr>
        <w:t xml:space="preserve">Directeursbeloningen </w:t>
      </w:r>
      <w:r w:rsidRPr="00B65B22" w:rsidR="008F7C39">
        <w:rPr>
          <w:b w:val="0"/>
          <w:i/>
        </w:rPr>
        <w:t>(artikel 15 van het Verdrag)</w:t>
      </w:r>
    </w:p>
    <w:p w:rsidRPr="00B65B22" w:rsidR="00CE43BD" w:rsidP="008F7C39" w:rsidRDefault="008F7C39" w14:paraId="747776C6" w14:textId="77777777">
      <w:r w:rsidRPr="00B65B22">
        <w:t>Artikel 15</w:t>
      </w:r>
      <w:r w:rsidRPr="00B65B22" w:rsidR="007B6437">
        <w:t xml:space="preserve"> </w:t>
      </w:r>
      <w:r w:rsidRPr="00B65B22" w:rsidR="006F2236">
        <w:t xml:space="preserve">van het Verdrag </w:t>
      </w:r>
      <w:r w:rsidRPr="00B65B22" w:rsidR="00F66234">
        <w:t xml:space="preserve">- </w:t>
      </w:r>
      <w:r w:rsidRPr="00B65B22" w:rsidR="00866AAB">
        <w:t xml:space="preserve">inzake </w:t>
      </w:r>
      <w:r w:rsidRPr="00B65B22" w:rsidR="00CE43BD">
        <w:t>directeursbeloningen</w:t>
      </w:r>
      <w:r w:rsidRPr="00B65B22" w:rsidR="00F66234">
        <w:t xml:space="preserve"> -</w:t>
      </w:r>
      <w:r w:rsidRPr="00B65B22" w:rsidR="00CE43BD">
        <w:t xml:space="preserve"> is gebaseerd op artikel 16 van het OESO-modelverdrag en is in overeenstemming met de bepaling die Nederland hiervoor in belastingverdragen pleegt overeen te komen.</w:t>
      </w:r>
    </w:p>
    <w:p w:rsidRPr="00B65B22" w:rsidR="00FC13E7" w:rsidP="00FC13E7" w:rsidRDefault="00D122CA" w14:paraId="26148830" w14:textId="77777777">
      <w:pPr>
        <w:ind w:firstLine="720"/>
        <w:rPr>
          <w:rFonts w:cs="Arial"/>
          <w:szCs w:val="20"/>
        </w:rPr>
      </w:pPr>
      <w:r w:rsidRPr="00B65B22">
        <w:rPr>
          <w:rFonts w:cs="Arial"/>
          <w:szCs w:val="20"/>
        </w:rPr>
        <w:t xml:space="preserve">Volgens het </w:t>
      </w:r>
      <w:r w:rsidRPr="00B65B22" w:rsidR="00A945F8">
        <w:rPr>
          <w:rFonts w:cs="Arial"/>
          <w:szCs w:val="20"/>
        </w:rPr>
        <w:t xml:space="preserve">eerste lid </w:t>
      </w:r>
      <w:r w:rsidRPr="00B65B22">
        <w:rPr>
          <w:rFonts w:cs="Arial"/>
          <w:szCs w:val="20"/>
        </w:rPr>
        <w:t>mogen de beloningen ontvangen door personen in hun hoedanigheid van bestuurder van een lichaam worden belast in het land waarvan het lichaam inwoner is. In afwijking van he</w:t>
      </w:r>
      <w:r w:rsidRPr="00B65B22" w:rsidR="00CA7CC4">
        <w:rPr>
          <w:rFonts w:cs="Arial"/>
          <w:szCs w:val="20"/>
        </w:rPr>
        <w:t>t OESO-modelverdrag is de uitdrukking “andere beloningen” gehanteerd in plaats van “</w:t>
      </w:r>
      <w:r w:rsidRPr="00B65B22">
        <w:rPr>
          <w:rFonts w:cs="Arial"/>
          <w:szCs w:val="20"/>
        </w:rPr>
        <w:t>vergelijkbare betalinge</w:t>
      </w:r>
      <w:r w:rsidRPr="00B65B22" w:rsidR="00CA7CC4">
        <w:rPr>
          <w:rFonts w:cs="Arial"/>
          <w:szCs w:val="20"/>
        </w:rPr>
        <w:t>n”</w:t>
      </w:r>
      <w:r w:rsidRPr="00B65B22">
        <w:rPr>
          <w:rFonts w:cs="Arial"/>
          <w:szCs w:val="20"/>
        </w:rPr>
        <w:t xml:space="preserve">. Hiermee wordt buiten twijfel gesteld dat ook vergoedingen in natura en aandelenopties onder deze bepaling vallen. </w:t>
      </w:r>
    </w:p>
    <w:p w:rsidRPr="00B65B22" w:rsidR="00C6736E" w:rsidP="00D2257E" w:rsidRDefault="00A945F8" w14:paraId="7CB94F75" w14:textId="77777777">
      <w:pPr>
        <w:ind w:firstLine="708"/>
      </w:pPr>
      <w:r w:rsidRPr="00B65B22">
        <w:t>Volgens het tweede lid</w:t>
      </w:r>
      <w:r w:rsidRPr="00B65B22" w:rsidR="00784C72">
        <w:t xml:space="preserve">, dat op verzoek van Nederland is opgenomen en </w:t>
      </w:r>
      <w:r w:rsidRPr="00B65B22" w:rsidR="007911BB">
        <w:t>dat eveneens</w:t>
      </w:r>
      <w:r w:rsidRPr="00B65B22" w:rsidR="00784C72">
        <w:t xml:space="preserve"> afwijkt van het OESO-modelverdrag,</w:t>
      </w:r>
      <w:r w:rsidRPr="00B65B22">
        <w:t xml:space="preserve"> </w:t>
      </w:r>
      <w:r w:rsidRPr="00B65B22" w:rsidR="00CA7CC4">
        <w:rPr>
          <w:rFonts w:cs="Arial"/>
          <w:szCs w:val="20"/>
        </w:rPr>
        <w:t>vallen onder de uitdrukking “lid van de raad van beheer”</w:t>
      </w:r>
      <w:r w:rsidRPr="00B65B22" w:rsidR="00D122CA">
        <w:rPr>
          <w:rFonts w:cs="Arial"/>
          <w:szCs w:val="20"/>
        </w:rPr>
        <w:t xml:space="preserve"> personen die belast zijn met het </w:t>
      </w:r>
      <w:r w:rsidRPr="00B65B22" w:rsidR="00B86626">
        <w:rPr>
          <w:rFonts w:cs="Arial"/>
          <w:szCs w:val="20"/>
        </w:rPr>
        <w:t>dagelijks</w:t>
      </w:r>
      <w:r w:rsidRPr="00B65B22" w:rsidR="001613DD">
        <w:rPr>
          <w:rFonts w:cs="Arial"/>
          <w:szCs w:val="20"/>
        </w:rPr>
        <w:t>e</w:t>
      </w:r>
      <w:r w:rsidRPr="00B65B22" w:rsidR="000E030D">
        <w:rPr>
          <w:rFonts w:cs="Arial"/>
          <w:szCs w:val="20"/>
        </w:rPr>
        <w:t xml:space="preserve"> </w:t>
      </w:r>
      <w:r w:rsidRPr="00B65B22" w:rsidR="00D122CA">
        <w:rPr>
          <w:rFonts w:cs="Arial"/>
          <w:szCs w:val="20"/>
        </w:rPr>
        <w:t>bestuur van de onderneming en personen die belast zijn met het toezicht daarop (zoals de leden van de raad van commissarissen).</w:t>
      </w:r>
      <w:r w:rsidRPr="00B65B22" w:rsidR="00784C72">
        <w:t xml:space="preserve"> </w:t>
      </w:r>
    </w:p>
    <w:p w:rsidRPr="00B65B22" w:rsidR="007B6437" w:rsidP="00901C1E" w:rsidRDefault="00D122CA" w14:paraId="6C2A3A48" w14:textId="77777777">
      <w:pPr>
        <w:pStyle w:val="Kop2"/>
        <w:numPr>
          <w:ilvl w:val="1"/>
          <w:numId w:val="1"/>
        </w:numPr>
        <w:rPr>
          <w:b w:val="0"/>
          <w:i/>
        </w:rPr>
      </w:pPr>
      <w:r w:rsidRPr="00B65B22">
        <w:rPr>
          <w:b w:val="0"/>
          <w:i/>
        </w:rPr>
        <w:t>Pensioen</w:t>
      </w:r>
      <w:r w:rsidRPr="00B65B22" w:rsidR="00441B88">
        <w:rPr>
          <w:b w:val="0"/>
          <w:i/>
        </w:rPr>
        <w:t>en</w:t>
      </w:r>
      <w:r w:rsidRPr="00B65B22">
        <w:rPr>
          <w:b w:val="0"/>
          <w:i/>
        </w:rPr>
        <w:t xml:space="preserve">, lijfrenten en socialezekerheidsuitkeringen (artikel </w:t>
      </w:r>
      <w:r w:rsidRPr="00B65B22" w:rsidR="00A7222C">
        <w:rPr>
          <w:b w:val="0"/>
          <w:i/>
        </w:rPr>
        <w:t>16</w:t>
      </w:r>
      <w:r w:rsidRPr="00B65B22" w:rsidR="00F05AE9">
        <w:rPr>
          <w:b w:val="0"/>
          <w:i/>
        </w:rPr>
        <w:t xml:space="preserve"> van het Verdrag</w:t>
      </w:r>
      <w:r w:rsidRPr="00B65B22">
        <w:rPr>
          <w:b w:val="0"/>
          <w:i/>
        </w:rPr>
        <w:t>)</w:t>
      </w:r>
    </w:p>
    <w:p w:rsidRPr="00B65B22" w:rsidR="00D02D31" w:rsidP="00FF14C4" w:rsidRDefault="000F0A80" w14:paraId="2B0AC2E2" w14:textId="3B0608F1">
      <w:r w:rsidRPr="00B65B22">
        <w:rPr>
          <w:rFonts w:cs="Arial"/>
          <w:szCs w:val="20"/>
        </w:rPr>
        <w:t>Artikel 1</w:t>
      </w:r>
      <w:r w:rsidRPr="00B65B22" w:rsidR="00A945F8">
        <w:rPr>
          <w:rFonts w:cs="Arial"/>
          <w:szCs w:val="20"/>
        </w:rPr>
        <w:t>6</w:t>
      </w:r>
      <w:r w:rsidRPr="00B65B22" w:rsidR="00D122CA">
        <w:rPr>
          <w:rFonts w:cs="Arial"/>
          <w:szCs w:val="20"/>
        </w:rPr>
        <w:t xml:space="preserve"> </w:t>
      </w:r>
      <w:r w:rsidRPr="00B65B22" w:rsidR="00C85676">
        <w:rPr>
          <w:rFonts w:cs="Arial"/>
          <w:szCs w:val="20"/>
        </w:rPr>
        <w:t xml:space="preserve">van het Verdrag </w:t>
      </w:r>
      <w:r w:rsidRPr="00B65B22" w:rsidR="00D122CA">
        <w:rPr>
          <w:rFonts w:cs="Arial"/>
          <w:szCs w:val="20"/>
        </w:rPr>
        <w:t xml:space="preserve">ziet op het heffingsrecht over pensioenen, lijfrenten en socialezekerheidsuitkeringen. </w:t>
      </w:r>
      <w:r w:rsidRPr="00B65B22" w:rsidR="007B6437">
        <w:t>In lijn met onderdeel 2.11</w:t>
      </w:r>
      <w:r w:rsidRPr="00B65B22" w:rsidR="00FF14C4">
        <w:t>.1</w:t>
      </w:r>
      <w:r w:rsidRPr="00B65B22" w:rsidR="007B6437">
        <w:t xml:space="preserve"> van de NFV 2011 heeft Nederland ingezet op een </w:t>
      </w:r>
      <w:r w:rsidRPr="00B65B22" w:rsidR="00FF14C4">
        <w:t xml:space="preserve">uitsluitende </w:t>
      </w:r>
      <w:r w:rsidRPr="00B65B22" w:rsidR="007B6437">
        <w:t xml:space="preserve">bronstaatheffing voor pensioenen, lijfrenten en socialezekerheidsuitkeringen (hierna: ‘pensioenen’). </w:t>
      </w:r>
      <w:r w:rsidRPr="00B65B22" w:rsidR="00C85676">
        <w:t xml:space="preserve">Voor </w:t>
      </w:r>
      <w:r w:rsidRPr="00B65B22" w:rsidR="00511C26">
        <w:t xml:space="preserve">Cyprus </w:t>
      </w:r>
      <w:r w:rsidRPr="00B65B22" w:rsidR="00C85676">
        <w:t xml:space="preserve">was </w:t>
      </w:r>
      <w:r w:rsidRPr="00B65B22" w:rsidR="00B20F98">
        <w:t>het een brug te ver om akkoord te gaan met uitsluitende bronstaatheffing voor pensioenen</w:t>
      </w:r>
      <w:r w:rsidRPr="00B65B22" w:rsidR="00C85676">
        <w:t>,</w:t>
      </w:r>
      <w:r w:rsidRPr="00B65B22" w:rsidR="00B20F98">
        <w:t xml:space="preserve"> maar </w:t>
      </w:r>
      <w:r w:rsidRPr="00B65B22" w:rsidR="00F554E7">
        <w:t xml:space="preserve">Cyprus </w:t>
      </w:r>
      <w:r w:rsidRPr="00B65B22" w:rsidR="00511C26">
        <w:t>heeft uiteindelijk ingestemd met een gedeeltelijke bronstaatheffing</w:t>
      </w:r>
      <w:r w:rsidRPr="00B65B22" w:rsidR="00752339">
        <w:t xml:space="preserve">. </w:t>
      </w:r>
      <w:r w:rsidRPr="00B65B22">
        <w:t>I</w:t>
      </w:r>
      <w:r w:rsidRPr="00B65B22" w:rsidR="007B6437">
        <w:t xml:space="preserve">n artikel </w:t>
      </w:r>
      <w:r w:rsidRPr="00B65B22" w:rsidR="00475FD7">
        <w:t xml:space="preserve">16 </w:t>
      </w:r>
      <w:r w:rsidRPr="00B65B22">
        <w:t xml:space="preserve">komen de </w:t>
      </w:r>
      <w:r w:rsidRPr="00B65B22" w:rsidR="00FF14C4">
        <w:t xml:space="preserve">verschillende </w:t>
      </w:r>
      <w:r w:rsidRPr="00B65B22" w:rsidR="007B6437">
        <w:t>uitgangspunten</w:t>
      </w:r>
      <w:r w:rsidRPr="00B65B22" w:rsidR="00FF14C4">
        <w:t xml:space="preserve"> </w:t>
      </w:r>
      <w:r w:rsidRPr="00B65B22" w:rsidR="00DE3172">
        <w:t xml:space="preserve">van Nederland en </w:t>
      </w:r>
      <w:r w:rsidRPr="00B65B22" w:rsidR="00A945F8">
        <w:t xml:space="preserve">Cyprus </w:t>
      </w:r>
      <w:r w:rsidRPr="00B65B22">
        <w:t>duidelijk naar voren</w:t>
      </w:r>
      <w:r w:rsidRPr="00B65B22" w:rsidR="008E5908">
        <w:t>. I</w:t>
      </w:r>
      <w:r w:rsidRPr="00B65B22" w:rsidR="007B6437">
        <w:t xml:space="preserve">n </w:t>
      </w:r>
      <w:r w:rsidRPr="00B65B22" w:rsidR="00DE3172">
        <w:t xml:space="preserve">het eerste lid </w:t>
      </w:r>
      <w:r w:rsidRPr="00B65B22">
        <w:t xml:space="preserve">wordt </w:t>
      </w:r>
      <w:r w:rsidRPr="00B65B22" w:rsidR="00DE3172">
        <w:t>i</w:t>
      </w:r>
      <w:r w:rsidRPr="00B65B22" w:rsidR="007B6437">
        <w:t xml:space="preserve">n </w:t>
      </w:r>
      <w:r w:rsidRPr="00B65B22">
        <w:t xml:space="preserve">zijn </w:t>
      </w:r>
      <w:r w:rsidRPr="00B65B22" w:rsidR="007B6437">
        <w:t xml:space="preserve">algemeenheid </w:t>
      </w:r>
      <w:r w:rsidRPr="00B65B22" w:rsidR="00FF14C4">
        <w:t>uitgegaan</w:t>
      </w:r>
      <w:r w:rsidRPr="00B65B22" w:rsidR="007B6437">
        <w:t xml:space="preserve"> van een uitsluitende woonstaatheffing voor pensioenen, </w:t>
      </w:r>
      <w:r w:rsidRPr="00B65B22" w:rsidR="00DE3172">
        <w:t xml:space="preserve">maar </w:t>
      </w:r>
      <w:r w:rsidRPr="00B65B22" w:rsidR="00FF14C4">
        <w:t xml:space="preserve">in </w:t>
      </w:r>
      <w:r w:rsidRPr="00B65B22">
        <w:t xml:space="preserve">het tweede lid wordt hier een </w:t>
      </w:r>
      <w:r w:rsidRPr="00B65B22" w:rsidR="00FF14C4">
        <w:t xml:space="preserve">uitzondering </w:t>
      </w:r>
      <w:r w:rsidRPr="00B65B22">
        <w:t>op</w:t>
      </w:r>
      <w:r w:rsidRPr="00B65B22" w:rsidR="008E5908">
        <w:t xml:space="preserve"> </w:t>
      </w:r>
      <w:r w:rsidRPr="00B65B22">
        <w:t xml:space="preserve">gemaakt </w:t>
      </w:r>
      <w:r w:rsidRPr="00B65B22" w:rsidR="005C2AE9">
        <w:t xml:space="preserve">met een </w:t>
      </w:r>
      <w:r w:rsidRPr="00B65B22" w:rsidR="007B6437">
        <w:t>bronstaathef</w:t>
      </w:r>
      <w:r w:rsidRPr="00B65B22" w:rsidR="00FF14C4">
        <w:t>fing</w:t>
      </w:r>
      <w:r w:rsidRPr="00B65B22">
        <w:t xml:space="preserve"> </w:t>
      </w:r>
      <w:r w:rsidRPr="00B65B22" w:rsidR="00FF14C4">
        <w:t>voor pensioenen</w:t>
      </w:r>
      <w:r w:rsidRPr="00B65B22" w:rsidR="007B6437">
        <w:t xml:space="preserve"> met inachtneming van een drempel</w:t>
      </w:r>
      <w:r w:rsidRPr="00B65B22" w:rsidR="00D02D31">
        <w:t xml:space="preserve">. </w:t>
      </w:r>
    </w:p>
    <w:p w:rsidRPr="00B65B22" w:rsidR="007B6437" w:rsidP="00FF14C4" w:rsidRDefault="00FF14C4" w14:paraId="56E33323" w14:textId="77777777">
      <w:r w:rsidRPr="00B65B22">
        <w:t>Het eerste lid wijst het heffingsrecht over pensioenen</w:t>
      </w:r>
      <w:r w:rsidRPr="00B65B22" w:rsidR="00555CE7">
        <w:t>, behoudens de pensioenen die onder de reikwijdte van artikel 1</w:t>
      </w:r>
      <w:r w:rsidRPr="00B65B22" w:rsidR="00F37757">
        <w:t>7</w:t>
      </w:r>
      <w:r w:rsidRPr="00B65B22" w:rsidR="00555CE7">
        <w:t>, tweede lid, vallen (overheids</w:t>
      </w:r>
      <w:r w:rsidRPr="00B65B22" w:rsidR="00C475D3">
        <w:t>pensioenen</w:t>
      </w:r>
      <w:r w:rsidRPr="00B65B22" w:rsidR="00555CE7">
        <w:t>),</w:t>
      </w:r>
      <w:r w:rsidRPr="00B65B22" w:rsidR="00AE6774">
        <w:t xml:space="preserve"> </w:t>
      </w:r>
      <w:r w:rsidRPr="00B65B22" w:rsidR="00D847BB">
        <w:rPr>
          <w:rFonts w:cs="Arial"/>
          <w:szCs w:val="20"/>
        </w:rPr>
        <w:t xml:space="preserve">die </w:t>
      </w:r>
      <w:r w:rsidRPr="00B65B22" w:rsidR="00E051E3">
        <w:rPr>
          <w:rFonts w:cs="Arial"/>
          <w:szCs w:val="20"/>
        </w:rPr>
        <w:t>afkomstig</w:t>
      </w:r>
      <w:r w:rsidRPr="00B65B22" w:rsidR="0070013F">
        <w:rPr>
          <w:rFonts w:cs="Arial"/>
          <w:szCs w:val="20"/>
        </w:rPr>
        <w:t xml:space="preserve"> zijn uit een </w:t>
      </w:r>
      <w:r w:rsidRPr="00B65B22" w:rsidR="00E051E3">
        <w:rPr>
          <w:rFonts w:cs="Arial"/>
          <w:szCs w:val="20"/>
        </w:rPr>
        <w:t>verdragsluitende</w:t>
      </w:r>
      <w:r w:rsidRPr="00B65B22" w:rsidR="0070013F">
        <w:rPr>
          <w:rFonts w:cs="Arial"/>
          <w:szCs w:val="20"/>
        </w:rPr>
        <w:t xml:space="preserve"> staat </w:t>
      </w:r>
      <w:r w:rsidRPr="00B65B22" w:rsidR="00E051E3">
        <w:rPr>
          <w:rFonts w:cs="Arial"/>
          <w:szCs w:val="20"/>
        </w:rPr>
        <w:t xml:space="preserve">(de bronstaat) </w:t>
      </w:r>
      <w:r w:rsidRPr="00B65B22" w:rsidR="0070013F">
        <w:rPr>
          <w:rFonts w:cs="Arial"/>
          <w:szCs w:val="20"/>
        </w:rPr>
        <w:t xml:space="preserve">en die </w:t>
      </w:r>
      <w:r w:rsidRPr="00B65B22" w:rsidR="00D847BB">
        <w:rPr>
          <w:rFonts w:cs="Arial"/>
          <w:szCs w:val="20"/>
        </w:rPr>
        <w:t xml:space="preserve">worden betaald aan een inwoner van </w:t>
      </w:r>
      <w:r w:rsidRPr="00B65B22" w:rsidR="0070013F">
        <w:rPr>
          <w:rFonts w:cs="Arial"/>
          <w:szCs w:val="20"/>
        </w:rPr>
        <w:t xml:space="preserve">de andere </w:t>
      </w:r>
      <w:r w:rsidRPr="00B65B22" w:rsidR="00C540AB">
        <w:rPr>
          <w:rFonts w:cs="Arial"/>
          <w:szCs w:val="20"/>
        </w:rPr>
        <w:t>verdragsluitende</w:t>
      </w:r>
      <w:r w:rsidRPr="00B65B22" w:rsidR="00D847BB">
        <w:rPr>
          <w:rFonts w:cs="Arial"/>
          <w:szCs w:val="20"/>
        </w:rPr>
        <w:t xml:space="preserve"> staat</w:t>
      </w:r>
      <w:r w:rsidRPr="00B65B22" w:rsidR="00D847BB">
        <w:t xml:space="preserve"> </w:t>
      </w:r>
      <w:r w:rsidRPr="00B65B22">
        <w:t xml:space="preserve">in beginsel uitsluitend toe aan </w:t>
      </w:r>
      <w:r w:rsidRPr="00B65B22" w:rsidR="00C540AB">
        <w:t xml:space="preserve">die </w:t>
      </w:r>
      <w:r w:rsidRPr="00B65B22" w:rsidR="00E051E3">
        <w:t xml:space="preserve">andere </w:t>
      </w:r>
      <w:r w:rsidRPr="00B65B22" w:rsidR="00C540AB">
        <w:t>staat (</w:t>
      </w:r>
      <w:r w:rsidRPr="00B65B22">
        <w:t>de woonstaat</w:t>
      </w:r>
      <w:r w:rsidRPr="00B65B22" w:rsidR="00C540AB">
        <w:t>)</w:t>
      </w:r>
      <w:r w:rsidRPr="00B65B22">
        <w:t>.</w:t>
      </w:r>
      <w:r w:rsidRPr="00B65B22" w:rsidR="007B6437">
        <w:t xml:space="preserve"> </w:t>
      </w:r>
    </w:p>
    <w:p w:rsidRPr="00B65B22" w:rsidR="00D01C4C" w:rsidP="00FF3B92" w:rsidRDefault="00DC21F7" w14:paraId="652DBA27" w14:textId="77777777">
      <w:r w:rsidRPr="00B65B22">
        <w:t>Volgens</w:t>
      </w:r>
      <w:r w:rsidRPr="00B65B22" w:rsidR="007B6437">
        <w:t xml:space="preserve"> het tweede lid </w:t>
      </w:r>
      <w:r w:rsidRPr="00B65B22" w:rsidR="00E051E3">
        <w:t xml:space="preserve">mogen </w:t>
      </w:r>
      <w:r w:rsidRPr="00B65B22" w:rsidR="002474EA">
        <w:t xml:space="preserve">die </w:t>
      </w:r>
      <w:r w:rsidRPr="00B65B22" w:rsidR="00E051E3">
        <w:t xml:space="preserve">pensioenen ook in </w:t>
      </w:r>
      <w:r w:rsidRPr="00B65B22" w:rsidR="007B6437">
        <w:t xml:space="preserve">de bronstaat </w:t>
      </w:r>
      <w:r w:rsidRPr="00B65B22" w:rsidR="00E051E3">
        <w:t xml:space="preserve">worden belast </w:t>
      </w:r>
      <w:r w:rsidRPr="00B65B22" w:rsidR="007B6437">
        <w:t xml:space="preserve">indien het gezamenlijke brutobedrag van de </w:t>
      </w:r>
      <w:r w:rsidRPr="00B65B22" w:rsidR="001038D5">
        <w:t xml:space="preserve">door een persoon ontvangen </w:t>
      </w:r>
      <w:r w:rsidRPr="00B65B22" w:rsidR="007B6437">
        <w:t xml:space="preserve">pensioenen in </w:t>
      </w:r>
      <w:r w:rsidRPr="00B65B22" w:rsidR="00F554E7">
        <w:t>het desbetreffende</w:t>
      </w:r>
      <w:r w:rsidRPr="00B65B22" w:rsidR="007B6437">
        <w:t xml:space="preserve"> belastingjaar meer bedraagt dan </w:t>
      </w:r>
      <w:r w:rsidRPr="00B65B22" w:rsidR="00426523">
        <w:t xml:space="preserve">€ </w:t>
      </w:r>
      <w:r w:rsidRPr="00B65B22" w:rsidR="00D02D31">
        <w:t>15</w:t>
      </w:r>
      <w:r w:rsidRPr="00B65B22" w:rsidR="007B6437">
        <w:t>.000.</w:t>
      </w:r>
      <w:r w:rsidRPr="00B65B22" w:rsidR="00F22C1A">
        <w:t xml:space="preserve"> </w:t>
      </w:r>
      <w:r w:rsidRPr="00B65B22" w:rsidR="007B6437">
        <w:t xml:space="preserve">Bij </w:t>
      </w:r>
      <w:r w:rsidRPr="00B65B22" w:rsidR="0032797E">
        <w:t xml:space="preserve">de </w:t>
      </w:r>
      <w:r w:rsidRPr="00B65B22" w:rsidR="007B6437">
        <w:t>vaststelling of aan de</w:t>
      </w:r>
      <w:r w:rsidRPr="00B65B22" w:rsidR="0032797E">
        <w:t>ze</w:t>
      </w:r>
      <w:r w:rsidRPr="00B65B22" w:rsidR="007B6437">
        <w:t xml:space="preserve"> drempel is voldaan</w:t>
      </w:r>
      <w:r w:rsidRPr="00CF0A8D" w:rsidR="00F66234">
        <w:t>,</w:t>
      </w:r>
      <w:r w:rsidRPr="00CF0A8D" w:rsidR="007B6437">
        <w:t xml:space="preserve"> worden </w:t>
      </w:r>
      <w:r w:rsidRPr="009C6DBA" w:rsidR="0032797E">
        <w:t xml:space="preserve">ook </w:t>
      </w:r>
      <w:r w:rsidRPr="009C6DBA" w:rsidR="00D122CA">
        <w:rPr>
          <w:rFonts w:cs="Arial"/>
          <w:szCs w:val="20"/>
        </w:rPr>
        <w:t xml:space="preserve">pensioenen die zijn opgebouwd in </w:t>
      </w:r>
      <w:r w:rsidRPr="009C6DBA" w:rsidR="006F45C1">
        <w:rPr>
          <w:rFonts w:cs="Arial"/>
          <w:szCs w:val="20"/>
        </w:rPr>
        <w:t xml:space="preserve">het kader van </w:t>
      </w:r>
      <w:r w:rsidRPr="009C6DBA" w:rsidR="00326099">
        <w:rPr>
          <w:rFonts w:cs="Arial"/>
          <w:szCs w:val="20"/>
        </w:rPr>
        <w:t>een bij de overheid vervulde</w:t>
      </w:r>
      <w:r w:rsidRPr="009C6DBA" w:rsidR="00D122CA">
        <w:rPr>
          <w:rFonts w:cs="Arial"/>
          <w:szCs w:val="20"/>
        </w:rPr>
        <w:t xml:space="preserve"> dienstbetrekking </w:t>
      </w:r>
      <w:r w:rsidRPr="009C6DBA" w:rsidR="0086239D">
        <w:rPr>
          <w:rFonts w:cs="Arial"/>
          <w:szCs w:val="20"/>
        </w:rPr>
        <w:t xml:space="preserve">(overheidsfuncties) </w:t>
      </w:r>
      <w:r w:rsidRPr="009C6DBA" w:rsidR="008E5908">
        <w:rPr>
          <w:rFonts w:cs="Arial"/>
          <w:szCs w:val="20"/>
        </w:rPr>
        <w:t xml:space="preserve">en die ter belastingheffing zijn toegewezen aan de "kasstaat" </w:t>
      </w:r>
      <w:r w:rsidRPr="009C6DBA" w:rsidR="001F32C0">
        <w:rPr>
          <w:rFonts w:cs="Arial"/>
          <w:szCs w:val="20"/>
        </w:rPr>
        <w:t xml:space="preserve">(daarop ziet artikel </w:t>
      </w:r>
      <w:r w:rsidRPr="00111169" w:rsidR="004E1C31">
        <w:rPr>
          <w:rFonts w:cs="Arial"/>
          <w:szCs w:val="20"/>
        </w:rPr>
        <w:t>17</w:t>
      </w:r>
      <w:r w:rsidRPr="00363E1C" w:rsidR="001F32C0">
        <w:rPr>
          <w:rFonts w:cs="Arial"/>
          <w:szCs w:val="20"/>
        </w:rPr>
        <w:t xml:space="preserve">) </w:t>
      </w:r>
      <w:r w:rsidRPr="00363E1C" w:rsidR="007B6437">
        <w:t>meegeteld</w:t>
      </w:r>
      <w:r w:rsidRPr="00363E1C" w:rsidR="006C25F6">
        <w:t xml:space="preserve">. Hiermee wordt </w:t>
      </w:r>
      <w:r w:rsidRPr="00363E1C" w:rsidR="007B6437">
        <w:t xml:space="preserve">voorkomen dat personen die gedurende hun werkzame leven alleen in de </w:t>
      </w:r>
      <w:r w:rsidRPr="000F52B8" w:rsidR="001F32C0">
        <w:t xml:space="preserve">private </w:t>
      </w:r>
      <w:r w:rsidRPr="002006EE" w:rsidR="007B6437">
        <w:t>sector hebben gewerkt en</w:t>
      </w:r>
      <w:r w:rsidRPr="002006EE">
        <w:t xml:space="preserve"> daar</w:t>
      </w:r>
      <w:r w:rsidRPr="008B1145" w:rsidR="007B6437">
        <w:t xml:space="preserve"> pensioen hebben opgebouwd anders </w:t>
      </w:r>
      <w:r w:rsidRPr="008B1145" w:rsidR="006C25F6">
        <w:t xml:space="preserve">zouden </w:t>
      </w:r>
      <w:r w:rsidRPr="00F83EE2" w:rsidR="007B6437">
        <w:t xml:space="preserve">worden behandeld dan mensen die zowel in de </w:t>
      </w:r>
      <w:r w:rsidRPr="00F83EE2" w:rsidR="001F32C0">
        <w:t>private</w:t>
      </w:r>
      <w:r w:rsidRPr="005B15A0" w:rsidR="001F32C0">
        <w:t xml:space="preserve"> </w:t>
      </w:r>
      <w:r w:rsidRPr="005B15A0" w:rsidR="007B6437">
        <w:t xml:space="preserve">als </w:t>
      </w:r>
      <w:r w:rsidRPr="005B15A0" w:rsidR="00461812">
        <w:t xml:space="preserve">de </w:t>
      </w:r>
      <w:r w:rsidRPr="005B15A0" w:rsidR="007B6437">
        <w:t xml:space="preserve">publieke sector </w:t>
      </w:r>
      <w:r w:rsidRPr="005B15A0" w:rsidR="00343618">
        <w:t>werkzaam zijn geweest</w:t>
      </w:r>
      <w:r w:rsidRPr="005B15A0" w:rsidR="007B6437">
        <w:t xml:space="preserve"> en </w:t>
      </w:r>
      <w:r w:rsidRPr="005B15A0">
        <w:t xml:space="preserve">in beide sectoren </w:t>
      </w:r>
      <w:r w:rsidRPr="00B65B22" w:rsidR="007B6437">
        <w:t>pensioen hebben opgebouwd.</w:t>
      </w:r>
    </w:p>
    <w:p w:rsidRPr="00FC1494" w:rsidR="00B6159F" w:rsidP="00B6159F" w:rsidRDefault="00B6159F" w14:paraId="264B4E59" w14:textId="05BBE232">
      <w:pPr>
        <w:ind w:firstLine="720"/>
        <w:rPr>
          <w:rFonts w:cs="Arial"/>
          <w:szCs w:val="20"/>
        </w:rPr>
      </w:pPr>
      <w:r w:rsidRPr="00B65B22">
        <w:rPr>
          <w:rFonts w:cs="Arial"/>
          <w:szCs w:val="20"/>
        </w:rPr>
        <w:t xml:space="preserve">Het derde lid bevat de definitie van de uitdrukking ‘lijfrente’, namelijk: een vaste som, periodiek betaalbaar op vaste tijdstippen, hetzij gedurende het leven, hetzij gedurende een vastgesteld of voor vaststelling vatbaar tijdvak, ingevolge een verbintenis tot het doen van betalingen, </w:t>
      </w:r>
      <w:r w:rsidR="00FC1494">
        <w:rPr>
          <w:rFonts w:cs="Arial"/>
          <w:szCs w:val="20"/>
        </w:rPr>
        <w:t>die</w:t>
      </w:r>
      <w:r w:rsidRPr="00FC1494" w:rsidR="00FC1494">
        <w:rPr>
          <w:rFonts w:cs="Arial"/>
          <w:szCs w:val="20"/>
        </w:rPr>
        <w:t xml:space="preserve"> </w:t>
      </w:r>
      <w:r w:rsidRPr="00FC1494">
        <w:rPr>
          <w:rFonts w:cs="Arial"/>
          <w:szCs w:val="20"/>
        </w:rPr>
        <w:t xml:space="preserve">tegenover een voldoende en volledige tegenprestatie in geld of geldswaarde staat. </w:t>
      </w:r>
    </w:p>
    <w:p w:rsidRPr="00B65B22" w:rsidR="008F7C39" w:rsidP="00B910DE" w:rsidRDefault="007B6437" w14:paraId="3209808D" w14:textId="77777777">
      <w:r w:rsidRPr="00B65B22">
        <w:t>Het vierde</w:t>
      </w:r>
      <w:r w:rsidRPr="00B65B22" w:rsidR="002951CC">
        <w:t xml:space="preserve"> lid</w:t>
      </w:r>
      <w:r w:rsidRPr="00B65B22">
        <w:t xml:space="preserve"> regelt </w:t>
      </w:r>
      <w:r w:rsidRPr="00B65B22" w:rsidR="008E1091">
        <w:t>wanneer een verdragsluitende staat</w:t>
      </w:r>
      <w:r w:rsidRPr="00B65B22">
        <w:t xml:space="preserve"> kan worden aangemerkt als </w:t>
      </w:r>
      <w:r w:rsidRPr="00B65B22" w:rsidR="006A6FB6">
        <w:t>de bronstaat van een pensioen,</w:t>
      </w:r>
      <w:r w:rsidRPr="00B65B22">
        <w:t xml:space="preserve"> andere soortgelijke beloningen en lijfrente. </w:t>
      </w:r>
      <w:r w:rsidRPr="00B65B22" w:rsidR="008E1091">
        <w:t xml:space="preserve">Dit is het geval voor zover de daarvoor betaalde premies, dan wel de aanspraken op pensioenen, andere soortgelijke beloningen en lijfrenten, in die staat in aanmerking zijn gekomen voor fiscale </w:t>
      </w:r>
      <w:r w:rsidRPr="00B65B22" w:rsidR="0010737F">
        <w:t>tegemoetkoming</w:t>
      </w:r>
      <w:r w:rsidRPr="00B65B22" w:rsidR="008E1091">
        <w:t>. Tevens is buiten twijfel gesteld dat de overdracht van een pensioen, andere soortgelijke uitkering of lijfrente van een pensioenfonds of een verzekeringsmaatschappij van een staat naar een pensioenfonds of een verzekeringsmaatschappij in enige andere staat, het heffingsrecht van de bronstaat niet aantast.</w:t>
      </w:r>
    </w:p>
    <w:p w:rsidRPr="00111169" w:rsidR="007B6437" w:rsidP="00B910DE" w:rsidRDefault="00D02D31" w14:paraId="3195815B" w14:textId="77777777">
      <w:r w:rsidRPr="00CF0A8D">
        <w:t xml:space="preserve">Ingevolge het vijfde lid </w:t>
      </w:r>
      <w:r w:rsidRPr="00CF0A8D" w:rsidR="00164C81">
        <w:t xml:space="preserve">zijn de bepalingen van artikel </w:t>
      </w:r>
      <w:r w:rsidRPr="009C6DBA" w:rsidR="00465C04">
        <w:t xml:space="preserve">16 </w:t>
      </w:r>
      <w:r w:rsidRPr="009C6DBA" w:rsidR="00164C81">
        <w:t>ook van toepassing</w:t>
      </w:r>
      <w:r w:rsidRPr="009C6DBA">
        <w:t xml:space="preserve"> o</w:t>
      </w:r>
      <w:r w:rsidRPr="009C6DBA" w:rsidR="00164C81">
        <w:t>p</w:t>
      </w:r>
      <w:r w:rsidRPr="009C6DBA">
        <w:t xml:space="preserve"> </w:t>
      </w:r>
      <w:r w:rsidRPr="009C6DBA" w:rsidR="00D17DB0">
        <w:t>afkoopsommen</w:t>
      </w:r>
      <w:r w:rsidRPr="009C6DBA" w:rsidR="00B6159F">
        <w:t xml:space="preserve"> van pensioenen, andere soortgelijke beloningen en lijfrenten</w:t>
      </w:r>
      <w:r w:rsidRPr="009C6DBA" w:rsidR="00D17DB0">
        <w:t>. Dit lid is op verzoek van Nederland opgenomen omdat Nederland fiscaal gedreven emigratie naar een staat met een gunstig fiscaal regime voor pensioenafkoop wenst tegen te gaan.</w:t>
      </w:r>
    </w:p>
    <w:p w:rsidRPr="000F52B8" w:rsidR="00D2257E" w:rsidP="00D2257E" w:rsidRDefault="007B6437" w14:paraId="4F905B9F" w14:textId="77777777">
      <w:pPr>
        <w:pStyle w:val="Kop2"/>
        <w:rPr>
          <w:b w:val="0"/>
        </w:rPr>
      </w:pPr>
      <w:r w:rsidRPr="00363E1C">
        <w:rPr>
          <w:b w:val="0"/>
          <w:i/>
        </w:rPr>
        <w:t xml:space="preserve">Overheidsfuncties (artikel </w:t>
      </w:r>
      <w:r w:rsidRPr="00363E1C" w:rsidR="00A7222C">
        <w:rPr>
          <w:b w:val="0"/>
          <w:i/>
        </w:rPr>
        <w:t>17</w:t>
      </w:r>
      <w:r w:rsidRPr="00363E1C" w:rsidR="00F05AE9">
        <w:rPr>
          <w:b w:val="0"/>
          <w:i/>
        </w:rPr>
        <w:t xml:space="preserve"> van het Verdrag</w:t>
      </w:r>
      <w:r w:rsidRPr="00363E1C">
        <w:rPr>
          <w:b w:val="0"/>
          <w:i/>
        </w:rPr>
        <w:t>)</w:t>
      </w:r>
    </w:p>
    <w:p w:rsidRPr="00F83EE2" w:rsidR="00D2257E" w:rsidP="00D2257E" w:rsidRDefault="00D2257E" w14:paraId="7017BB40" w14:textId="77777777">
      <w:r w:rsidRPr="002006EE">
        <w:rPr>
          <w:rFonts w:cs="Arial"/>
          <w:szCs w:val="20"/>
        </w:rPr>
        <w:t xml:space="preserve">Artikel 17 </w:t>
      </w:r>
      <w:r w:rsidRPr="008B1145" w:rsidR="00871D7E">
        <w:rPr>
          <w:rFonts w:cs="Arial"/>
          <w:szCs w:val="20"/>
        </w:rPr>
        <w:t xml:space="preserve">van het Verdrag </w:t>
      </w:r>
      <w:r w:rsidRPr="00F83EE2">
        <w:rPr>
          <w:rFonts w:cs="Arial"/>
          <w:szCs w:val="20"/>
        </w:rPr>
        <w:t>regelt de toewijzing van het heffingsrecht over inkomsten die worden ontvangen door een natuurlijke persoon vanwege werkzaamheden die (in dienstverband) voor de overheid zijn verricht. De bepaling is gebaseerd op artikel 19 van het OESO-modelverdrag</w:t>
      </w:r>
      <w:r w:rsidRPr="00F83EE2" w:rsidR="00D93961">
        <w:rPr>
          <w:rFonts w:cs="Arial"/>
          <w:szCs w:val="20"/>
        </w:rPr>
        <w:t>.</w:t>
      </w:r>
    </w:p>
    <w:p w:rsidRPr="00E255BF" w:rsidR="001445CF" w:rsidP="001445CF" w:rsidRDefault="001445CF" w14:paraId="597773F2" w14:textId="47392C11">
      <w:pPr>
        <w:ind w:firstLine="720"/>
        <w:rPr>
          <w:rFonts w:cs="Arial"/>
          <w:szCs w:val="20"/>
        </w:rPr>
      </w:pPr>
      <w:r w:rsidRPr="005B15A0">
        <w:rPr>
          <w:rFonts w:cs="Arial"/>
          <w:szCs w:val="20"/>
        </w:rPr>
        <w:t>Volgens het eerste lid</w:t>
      </w:r>
      <w:r w:rsidRPr="005B15A0" w:rsidR="00101F90">
        <w:rPr>
          <w:rFonts w:cs="Arial"/>
          <w:szCs w:val="20"/>
        </w:rPr>
        <w:t>, onderdeel a,</w:t>
      </w:r>
      <w:r w:rsidRPr="00FC1494">
        <w:rPr>
          <w:rFonts w:cs="Arial"/>
          <w:szCs w:val="20"/>
        </w:rPr>
        <w:t xml:space="preserve"> mogen salarissen, lonen en andere soortgelijke beloningen worden belast in de verdragsluitende staat die deze beloningen betaalt. Het eerste lid, onderdeel b, maakt daarop een uitzondering. De staat waarin de werkzaamheden worden verricht heeft het heffingsrecht als de werknemer inwoner is van de werkstaat en tevens de nationaliteit heeft van die staat, of niet inwoner van die staat is geworden enkel om daar werk te verrichten voor de overheid van de andere staat. Deze uitz</w:t>
      </w:r>
      <w:r w:rsidRPr="00B65B22">
        <w:rPr>
          <w:rFonts w:cs="Arial"/>
          <w:szCs w:val="20"/>
        </w:rPr>
        <w:t xml:space="preserve">ondering strekt ertoe lokaal aangeworven medewerkers van bijvoorbeeld een ambassade in hun woonland belastingplichtig te laten zijn in plaats van in de staat </w:t>
      </w:r>
      <w:r w:rsidR="00E255BF">
        <w:rPr>
          <w:rFonts w:cs="Arial"/>
          <w:szCs w:val="20"/>
        </w:rPr>
        <w:t xml:space="preserve">waarvoor zij </w:t>
      </w:r>
      <w:r w:rsidRPr="00E255BF">
        <w:rPr>
          <w:rFonts w:cs="Arial"/>
          <w:szCs w:val="20"/>
        </w:rPr>
        <w:t xml:space="preserve">bij </w:t>
      </w:r>
      <w:r w:rsidR="00E255BF">
        <w:rPr>
          <w:rFonts w:cs="Arial"/>
          <w:szCs w:val="20"/>
        </w:rPr>
        <w:t>de</w:t>
      </w:r>
      <w:r w:rsidRPr="00E255BF">
        <w:rPr>
          <w:rFonts w:cs="Arial"/>
          <w:szCs w:val="20"/>
        </w:rPr>
        <w:t xml:space="preserve"> ambassade werkzaam zijn. </w:t>
      </w:r>
    </w:p>
    <w:p w:rsidRPr="009C6DBA" w:rsidR="001445CF" w:rsidP="001445CF" w:rsidRDefault="001445CF" w14:paraId="56A7E1C1" w14:textId="77777777">
      <w:pPr>
        <w:ind w:firstLine="720"/>
        <w:rPr>
          <w:rFonts w:cs="Arial"/>
          <w:szCs w:val="20"/>
        </w:rPr>
      </w:pPr>
      <w:r w:rsidRPr="00E255BF">
        <w:rPr>
          <w:rFonts w:cs="Arial"/>
          <w:szCs w:val="20"/>
        </w:rPr>
        <w:t>In</w:t>
      </w:r>
      <w:r w:rsidRPr="00E255BF" w:rsidR="00556E2F">
        <w:rPr>
          <w:rFonts w:cs="Arial"/>
          <w:szCs w:val="20"/>
        </w:rPr>
        <w:t>gevolge</w:t>
      </w:r>
      <w:r w:rsidRPr="00E255BF">
        <w:rPr>
          <w:rFonts w:cs="Arial"/>
          <w:szCs w:val="20"/>
        </w:rPr>
        <w:t xml:space="preserve"> het tweede lid</w:t>
      </w:r>
      <w:r w:rsidRPr="00E255BF" w:rsidR="00556E2F">
        <w:rPr>
          <w:rFonts w:cs="Arial"/>
          <w:szCs w:val="20"/>
        </w:rPr>
        <w:t>, onderdeel a,</w:t>
      </w:r>
      <w:r w:rsidRPr="00E255BF">
        <w:rPr>
          <w:rFonts w:cs="Arial"/>
          <w:szCs w:val="20"/>
        </w:rPr>
        <w:t xml:space="preserve"> </w:t>
      </w:r>
      <w:r w:rsidRPr="00E255BF" w:rsidR="00556E2F">
        <w:rPr>
          <w:rFonts w:cs="Arial"/>
          <w:szCs w:val="20"/>
        </w:rPr>
        <w:t xml:space="preserve">mogen </w:t>
      </w:r>
      <w:r w:rsidRPr="00B65B22">
        <w:rPr>
          <w:rFonts w:cs="Arial"/>
          <w:szCs w:val="20"/>
        </w:rPr>
        <w:t>overheidspensioenen en andere soort</w:t>
      </w:r>
      <w:r w:rsidRPr="00B65B22" w:rsidR="008B3D9D">
        <w:rPr>
          <w:rFonts w:cs="Arial"/>
          <w:szCs w:val="20"/>
        </w:rPr>
        <w:t>g</w:t>
      </w:r>
      <w:r w:rsidRPr="00B65B22">
        <w:rPr>
          <w:rFonts w:cs="Arial"/>
          <w:szCs w:val="20"/>
        </w:rPr>
        <w:t xml:space="preserve">elijke beloningen </w:t>
      </w:r>
      <w:r w:rsidRPr="00B65B22" w:rsidR="00556E2F">
        <w:rPr>
          <w:rFonts w:cs="Arial"/>
          <w:szCs w:val="20"/>
        </w:rPr>
        <w:t>worden belast in</w:t>
      </w:r>
      <w:r w:rsidRPr="00CF0A8D" w:rsidR="008B3D9D">
        <w:rPr>
          <w:rFonts w:cs="Arial"/>
          <w:szCs w:val="20"/>
        </w:rPr>
        <w:t xml:space="preserve"> </w:t>
      </w:r>
      <w:r w:rsidRPr="00CF0A8D">
        <w:rPr>
          <w:rFonts w:cs="Arial"/>
          <w:szCs w:val="20"/>
        </w:rPr>
        <w:t xml:space="preserve">de staat die het pensioen betaalt of het fonds, waaruit het pensioen wordt betaald, in leven heeft geroepen. </w:t>
      </w:r>
      <w:r w:rsidRPr="009C6DBA" w:rsidR="00556E2F">
        <w:rPr>
          <w:rFonts w:cs="Arial"/>
          <w:szCs w:val="20"/>
        </w:rPr>
        <w:t>Volgens het tweede lid, onderdeel b, komt h</w:t>
      </w:r>
      <w:r w:rsidRPr="009C6DBA">
        <w:rPr>
          <w:rFonts w:cs="Arial"/>
          <w:szCs w:val="20"/>
        </w:rPr>
        <w:t>et heffingsrecht over deze overheidspensioenen en andere soort</w:t>
      </w:r>
      <w:r w:rsidRPr="009C6DBA" w:rsidR="00871D7E">
        <w:rPr>
          <w:rFonts w:cs="Arial"/>
          <w:szCs w:val="20"/>
        </w:rPr>
        <w:t>g</w:t>
      </w:r>
      <w:r w:rsidRPr="009C6DBA">
        <w:rPr>
          <w:rFonts w:cs="Arial"/>
          <w:szCs w:val="20"/>
        </w:rPr>
        <w:t xml:space="preserve">elijke beloningen, echter uitsluitend toe aan de woonstaat van de pensioengenieter als hij tevens de nationaliteit heeft van de woonstaat. </w:t>
      </w:r>
    </w:p>
    <w:p w:rsidRPr="005B15A0" w:rsidR="001445CF" w:rsidP="001445CF" w:rsidRDefault="001445CF" w14:paraId="018C96F6" w14:textId="77777777">
      <w:pPr>
        <w:ind w:firstLine="720"/>
        <w:rPr>
          <w:rFonts w:cs="Arial"/>
          <w:szCs w:val="20"/>
        </w:rPr>
      </w:pPr>
      <w:r w:rsidRPr="009C6DBA">
        <w:rPr>
          <w:rFonts w:cs="Arial"/>
          <w:szCs w:val="20"/>
        </w:rPr>
        <w:t>Ingevolge het derde lid geldt de in het eerste en tweede lid opgenomen verdeling van heffingsrechten niet voor inkomsten en pensioenen en soortgelijke beloningen die worden ontvangen tet zake van werkzaamheden die zijn of worden verricht voor een door de overheid gedreven onderneming. Artikel 14 (</w:t>
      </w:r>
      <w:r w:rsidRPr="00111169" w:rsidR="00CF0385">
        <w:rPr>
          <w:rFonts w:cs="Arial"/>
          <w:szCs w:val="20"/>
        </w:rPr>
        <w:t>I</w:t>
      </w:r>
      <w:r w:rsidRPr="00363E1C">
        <w:rPr>
          <w:rFonts w:cs="Arial"/>
          <w:szCs w:val="20"/>
        </w:rPr>
        <w:t>nkomsten uit dienstbetrekking), artikel 15 (</w:t>
      </w:r>
      <w:r w:rsidRPr="00363E1C" w:rsidR="00CF0385">
        <w:rPr>
          <w:rFonts w:cs="Arial"/>
          <w:szCs w:val="20"/>
        </w:rPr>
        <w:t>D</w:t>
      </w:r>
      <w:r w:rsidRPr="00363E1C">
        <w:rPr>
          <w:rFonts w:cs="Arial"/>
          <w:szCs w:val="20"/>
        </w:rPr>
        <w:t>irecteursbeloningen) of artikel 16 (</w:t>
      </w:r>
      <w:r w:rsidRPr="000F52B8" w:rsidR="00CF0385">
        <w:rPr>
          <w:rFonts w:cs="Arial"/>
          <w:szCs w:val="20"/>
        </w:rPr>
        <w:t>P</w:t>
      </w:r>
      <w:r w:rsidRPr="002006EE">
        <w:rPr>
          <w:rFonts w:cs="Arial"/>
          <w:szCs w:val="20"/>
        </w:rPr>
        <w:t>ensioenen, lijfrenten en socialezekerheidsuitkeringen</w:t>
      </w:r>
      <w:r w:rsidRPr="008B1145" w:rsidR="00465C04">
        <w:rPr>
          <w:rFonts w:cs="Arial"/>
          <w:szCs w:val="20"/>
        </w:rPr>
        <w:t>)</w:t>
      </w:r>
      <w:r w:rsidRPr="00F83EE2">
        <w:rPr>
          <w:rFonts w:cs="Arial"/>
          <w:szCs w:val="20"/>
        </w:rPr>
        <w:t xml:space="preserve"> </w:t>
      </w:r>
      <w:r w:rsidRPr="00F83EE2" w:rsidR="00D00FEF">
        <w:rPr>
          <w:rFonts w:cs="Arial"/>
          <w:szCs w:val="20"/>
        </w:rPr>
        <w:t xml:space="preserve">is </w:t>
      </w:r>
      <w:r w:rsidRPr="005B15A0">
        <w:rPr>
          <w:rFonts w:cs="Arial"/>
          <w:szCs w:val="20"/>
        </w:rPr>
        <w:t xml:space="preserve">dan van toepassing. </w:t>
      </w:r>
    </w:p>
    <w:p w:rsidRPr="00E255BF" w:rsidR="007B6437" w:rsidP="00901C1E" w:rsidRDefault="007B6437" w14:paraId="098819C9" w14:textId="77777777">
      <w:pPr>
        <w:pStyle w:val="Kop2"/>
        <w:numPr>
          <w:ilvl w:val="1"/>
          <w:numId w:val="1"/>
        </w:numPr>
        <w:rPr>
          <w:b w:val="0"/>
          <w:i/>
        </w:rPr>
      </w:pPr>
      <w:r w:rsidRPr="005B15A0">
        <w:rPr>
          <w:b w:val="0"/>
          <w:i/>
        </w:rPr>
        <w:t xml:space="preserve">Studenten (artikel </w:t>
      </w:r>
      <w:r w:rsidRPr="005B15A0" w:rsidR="007559BA">
        <w:rPr>
          <w:b w:val="0"/>
          <w:i/>
        </w:rPr>
        <w:t>18</w:t>
      </w:r>
      <w:r w:rsidRPr="00FC1494" w:rsidR="00F05AE9">
        <w:rPr>
          <w:b w:val="0"/>
          <w:i/>
        </w:rPr>
        <w:t xml:space="preserve"> van het Verdrag</w:t>
      </w:r>
      <w:r w:rsidRPr="00FC1494">
        <w:rPr>
          <w:b w:val="0"/>
          <w:i/>
        </w:rPr>
        <w:t>)</w:t>
      </w:r>
    </w:p>
    <w:p w:rsidRPr="00B65B22" w:rsidR="00DC7356" w:rsidP="00DC7356" w:rsidRDefault="00DC7356" w14:paraId="4551F343" w14:textId="77777777">
      <w:r w:rsidRPr="001F45C0">
        <w:t xml:space="preserve">Artikel </w:t>
      </w:r>
      <w:r w:rsidRPr="001F45C0" w:rsidR="007559BA">
        <w:t xml:space="preserve">18 </w:t>
      </w:r>
      <w:r w:rsidRPr="001F45C0" w:rsidR="00BE04EE">
        <w:t xml:space="preserve">van het Verdrag </w:t>
      </w:r>
      <w:r w:rsidRPr="001F45C0">
        <w:t xml:space="preserve">ziet op vergoedingen aan studenten en stagiairs (hierna: studenten) voor </w:t>
      </w:r>
      <w:r w:rsidRPr="00B65B22" w:rsidR="00FD2D3E">
        <w:t xml:space="preserve">hun </w:t>
      </w:r>
      <w:r w:rsidRPr="00B65B22">
        <w:t xml:space="preserve">onderhoud, studie of opleiding. Indien een student een opleiding volgt in de ene verdragsluitende staat en inwoner is (of direct voor zijn vertrek naar de eerstgenoemde staat inwoner was) van de andere verdragsluitende staat, dan mag de eerstgenoemde staat de vergoedingen die de student ontvangt voor zijn onderhoud, studie of opleiding niet belasten als deze vergoedingen afkomstig zijn uit bronnen buiten die staat. De bepaling </w:t>
      </w:r>
      <w:r w:rsidRPr="00B65B22" w:rsidR="003578B1">
        <w:t xml:space="preserve">komt overeen met </w:t>
      </w:r>
      <w:r w:rsidRPr="00B65B22">
        <w:t>artikel 20 van het OESO-modelverdrag.</w:t>
      </w:r>
    </w:p>
    <w:p w:rsidRPr="00B65B22" w:rsidR="002D2D86" w:rsidP="00403D2F" w:rsidRDefault="00BB74B4" w14:paraId="73EE1C01" w14:textId="77777777">
      <w:pPr>
        <w:pStyle w:val="Kop2"/>
        <w:rPr>
          <w:i/>
        </w:rPr>
      </w:pPr>
      <w:r w:rsidRPr="00B65B22">
        <w:rPr>
          <w:b w:val="0"/>
          <w:i/>
        </w:rPr>
        <w:t>Werkzaamheden buitengaats</w:t>
      </w:r>
      <w:r w:rsidRPr="00B65B22" w:rsidR="00587712">
        <w:t xml:space="preserve"> </w:t>
      </w:r>
      <w:r w:rsidRPr="00B65B22" w:rsidR="002D2D86">
        <w:rPr>
          <w:b w:val="0"/>
          <w:i/>
        </w:rPr>
        <w:t>(artikel 19</w:t>
      </w:r>
      <w:r w:rsidRPr="00B65B22" w:rsidR="00F05AE9">
        <w:rPr>
          <w:b w:val="0"/>
          <w:i/>
        </w:rPr>
        <w:t xml:space="preserve"> van het Verdrag</w:t>
      </w:r>
      <w:r w:rsidRPr="00B65B22" w:rsidR="002D2D86">
        <w:rPr>
          <w:b w:val="0"/>
          <w:i/>
        </w:rPr>
        <w:t>)</w:t>
      </w:r>
    </w:p>
    <w:p w:rsidRPr="00B65B22" w:rsidR="00BD4E95" w:rsidP="00D2257E" w:rsidRDefault="00734869" w14:paraId="10B53F9D" w14:textId="77777777">
      <w:pPr>
        <w:ind w:firstLine="708"/>
      </w:pPr>
      <w:r w:rsidRPr="00B65B22">
        <w:t xml:space="preserve">Artikel 19 </w:t>
      </w:r>
      <w:r w:rsidRPr="00B65B22" w:rsidR="00BE04EE">
        <w:t xml:space="preserve">van het Verdrag </w:t>
      </w:r>
      <w:r w:rsidRPr="00B65B22" w:rsidR="006E2305">
        <w:rPr>
          <w:rFonts w:cs="Arial"/>
          <w:szCs w:val="20"/>
        </w:rPr>
        <w:t xml:space="preserve">bevat specifieke </w:t>
      </w:r>
      <w:r w:rsidRPr="00B65B22" w:rsidR="00451C48">
        <w:rPr>
          <w:rFonts w:cs="Arial"/>
          <w:szCs w:val="20"/>
        </w:rPr>
        <w:t xml:space="preserve">bepalingen, </w:t>
      </w:r>
      <w:r w:rsidRPr="00B65B22" w:rsidR="006E2305">
        <w:rPr>
          <w:rFonts w:cs="Arial"/>
          <w:szCs w:val="20"/>
        </w:rPr>
        <w:t xml:space="preserve">overeenkomstig het in onderdeel 2.6.3 van de NFV 2011 uiteengezette </w:t>
      </w:r>
      <w:r w:rsidRPr="00B65B22" w:rsidR="008028EC">
        <w:rPr>
          <w:rFonts w:cs="Arial"/>
          <w:szCs w:val="20"/>
        </w:rPr>
        <w:t>beleid, die betrekking hebben</w:t>
      </w:r>
      <w:r w:rsidRPr="00B65B22">
        <w:t xml:space="preserve"> </w:t>
      </w:r>
      <w:r w:rsidRPr="00B65B22" w:rsidR="008656B3">
        <w:t>op werkzaamheden die verband houden met de opsporing en winning van natuurlijke rijkdommen binnen de territoriale wateren en de exclusieve economische zone (werkzaamheden buitengaats</w:t>
      </w:r>
      <w:r w:rsidRPr="00B65B22" w:rsidR="00DF006D">
        <w:t xml:space="preserve">). </w:t>
      </w:r>
      <w:r w:rsidRPr="00B65B22" w:rsidR="003D6F9C">
        <w:t xml:space="preserve">Artikel 19 heeft betrekking op de </w:t>
      </w:r>
      <w:r w:rsidRPr="00B65B22" w:rsidR="003D6F9C">
        <w:rPr>
          <w:szCs w:val="20"/>
        </w:rPr>
        <w:t>ondernemingsactiviteiten</w:t>
      </w:r>
      <w:r w:rsidRPr="00B65B22" w:rsidR="00E91671">
        <w:rPr>
          <w:rFonts w:cs="Arial"/>
          <w:szCs w:val="20"/>
        </w:rPr>
        <w:t xml:space="preserve">, </w:t>
      </w:r>
      <w:r w:rsidRPr="00B65B22" w:rsidR="003D6F9C">
        <w:rPr>
          <w:rFonts w:cs="Arial"/>
          <w:szCs w:val="20"/>
        </w:rPr>
        <w:t xml:space="preserve">werkzaamheden verricht in dienstbetrekking </w:t>
      </w:r>
      <w:r w:rsidRPr="00B65B22" w:rsidR="00E91671">
        <w:rPr>
          <w:rFonts w:cs="Arial"/>
          <w:szCs w:val="20"/>
        </w:rPr>
        <w:t xml:space="preserve">en </w:t>
      </w:r>
      <w:r w:rsidRPr="00B65B22" w:rsidR="00E91671">
        <w:rPr>
          <w:szCs w:val="20"/>
        </w:rPr>
        <w:t>voordelen verkregen uit de vervreemding van activa die verband houden met de exploratie en exploitatie</w:t>
      </w:r>
      <w:r w:rsidRPr="00B65B22" w:rsidR="00E91671">
        <w:t xml:space="preserve"> van het continentale pla</w:t>
      </w:r>
      <w:r w:rsidRPr="00B65B22" w:rsidR="00C8565D">
        <w:t>t</w:t>
      </w:r>
      <w:r w:rsidRPr="00B65B22" w:rsidR="002D4AAC">
        <w:rPr>
          <w:lang w:eastAsia="el-GR"/>
        </w:rPr>
        <w:t xml:space="preserve"> </w:t>
      </w:r>
      <w:r w:rsidRPr="00B65B22" w:rsidR="00747AC8">
        <w:rPr>
          <w:i/>
          <w:lang w:eastAsia="el-GR"/>
        </w:rPr>
        <w:t>van</w:t>
      </w:r>
      <w:r w:rsidRPr="00B65B22" w:rsidR="00747AC8">
        <w:rPr>
          <w:lang w:eastAsia="el-GR"/>
        </w:rPr>
        <w:t xml:space="preserve"> </w:t>
      </w:r>
      <w:r w:rsidRPr="00B65B22" w:rsidR="002D4AAC">
        <w:rPr>
          <w:lang w:eastAsia="el-GR"/>
        </w:rPr>
        <w:t xml:space="preserve">en de natuurlijke rijkdommen gelegen </w:t>
      </w:r>
      <w:r w:rsidRPr="00B65B22" w:rsidR="002D4AAC">
        <w:rPr>
          <w:i/>
          <w:lang w:eastAsia="el-GR"/>
        </w:rPr>
        <w:t>in</w:t>
      </w:r>
      <w:r w:rsidRPr="00B65B22" w:rsidR="002D4AAC">
        <w:rPr>
          <w:lang w:eastAsia="el-GR"/>
        </w:rPr>
        <w:t xml:space="preserve"> die verdragsluitende staat</w:t>
      </w:r>
      <w:r w:rsidRPr="00B65B22" w:rsidR="00C8565D">
        <w:t xml:space="preserve">, inclusief werkzaamheden </w:t>
      </w:r>
      <w:r w:rsidRPr="00B65B22" w:rsidR="00C8565D">
        <w:rPr>
          <w:rFonts w:cs="Arial"/>
          <w:szCs w:val="20"/>
        </w:rPr>
        <w:t>die verband houden met energiewinning uit water, getijdestromen, zon en wind.</w:t>
      </w:r>
    </w:p>
    <w:p w:rsidRPr="00B65B22" w:rsidR="00BD4E95" w:rsidP="00403D2F" w:rsidRDefault="00BB63E7" w14:paraId="14561738" w14:textId="7EAF5DA9">
      <w:r w:rsidRPr="00B65B22">
        <w:t xml:space="preserve">In het eerste lid is neergelegd dat de bepalingen van artikel 19 toepassing vinden niettegenstaande enigerlei andere bepaling van het Verdrag. Dit moet niet worden opgevat in de zin dat </w:t>
      </w:r>
      <w:r w:rsidR="00406B4C">
        <w:t>alle</w:t>
      </w:r>
      <w:r w:rsidRPr="00B65B22">
        <w:t xml:space="preserve"> </w:t>
      </w:r>
      <w:r w:rsidR="00D11710">
        <w:t xml:space="preserve">andere </w:t>
      </w:r>
      <w:r w:rsidRPr="00B65B22">
        <w:t xml:space="preserve">bepalingen van het Verdrag hun zin en betekenis zouden verliezen indien het gaat om de belastingheffing ter zake van werkzaamheden buitengaats. Voor zover andere bepalingen niet in strijd zijn met hetgeen in artikel 19 is bepaald, blijven zij onverkort van kracht. </w:t>
      </w:r>
    </w:p>
    <w:p w:rsidRPr="009C6DBA" w:rsidR="00BD4E95" w:rsidP="00403D2F" w:rsidRDefault="00BD4E95" w14:paraId="45C58720" w14:textId="77777777">
      <w:r w:rsidRPr="00B65B22">
        <w:t>In het tweede</w:t>
      </w:r>
      <w:r w:rsidRPr="00B65B22" w:rsidR="00BB63E7">
        <w:t xml:space="preserve"> lid is bepaald dat de werkzaamheden buitengaats die een onderneming </w:t>
      </w:r>
      <w:r w:rsidRPr="00B65B22" w:rsidR="001C46B6">
        <w:t xml:space="preserve">van een verdragsluitende staat </w:t>
      </w:r>
      <w:r w:rsidRPr="00B65B22" w:rsidR="00BB63E7">
        <w:t xml:space="preserve">op het continentale plat van de andere verdragsluitende </w:t>
      </w:r>
      <w:r w:rsidRPr="00CF0A8D" w:rsidR="0061678B">
        <w:t>s</w:t>
      </w:r>
      <w:r w:rsidRPr="00CF0A8D" w:rsidR="00BB63E7">
        <w:t>taat verricht, geacht worden te geschieden met behulp van</w:t>
      </w:r>
      <w:r w:rsidRPr="009C6DBA" w:rsidR="00BB63E7">
        <w:t xml:space="preserve"> een in die andere </w:t>
      </w:r>
      <w:r w:rsidRPr="009C6DBA" w:rsidR="006B4387">
        <w:t>s</w:t>
      </w:r>
      <w:r w:rsidRPr="009C6DBA" w:rsidR="00BB63E7">
        <w:t xml:space="preserve">taat </w:t>
      </w:r>
      <w:r w:rsidRPr="009C6DBA" w:rsidR="00386167">
        <w:t xml:space="preserve">gelegen </w:t>
      </w:r>
      <w:r w:rsidRPr="009C6DBA" w:rsidR="00BB63E7">
        <w:t xml:space="preserve">vaste inrichting, zodat de daarmee behaalde winst volgens de bepalingen van artikel </w:t>
      </w:r>
      <w:r w:rsidRPr="009C6DBA" w:rsidR="006E2305">
        <w:t>7</w:t>
      </w:r>
      <w:r w:rsidRPr="009C6DBA" w:rsidR="00BB63E7">
        <w:t xml:space="preserve"> aldaar mag worden belast. </w:t>
      </w:r>
    </w:p>
    <w:p w:rsidRPr="001F45C0" w:rsidR="0038237A" w:rsidP="0038237A" w:rsidRDefault="00BD4E95" w14:paraId="45DDB0EA" w14:textId="77777777">
      <w:pPr>
        <w:ind w:firstLine="708"/>
      </w:pPr>
      <w:r w:rsidRPr="00111169">
        <w:t xml:space="preserve">Het </w:t>
      </w:r>
      <w:r w:rsidRPr="00363E1C">
        <w:t>derde lid bevat de definitie van de uitdrukking ‘werkzaamheden buitengaats’. Daaronder worden verstaan alle werkzaamheden die buitengaats worden verricht in verband met de exploratie en exploitatie van het continentale plat waarover Cyprus</w:t>
      </w:r>
      <w:r w:rsidRPr="000F52B8" w:rsidR="00596A37">
        <w:t>,</w:t>
      </w:r>
      <w:r w:rsidRPr="002006EE">
        <w:t xml:space="preserve"> respectievelijk Nederland</w:t>
      </w:r>
      <w:r w:rsidRPr="008B1145" w:rsidR="00596A37">
        <w:t>,</w:t>
      </w:r>
      <w:r w:rsidRPr="00F83EE2">
        <w:t xml:space="preserve"> jurisdictie heeft alsmede van hun natuurlijke rijkdommen. </w:t>
      </w:r>
      <w:r w:rsidRPr="00F83EE2" w:rsidR="0038237A">
        <w:rPr>
          <w:rFonts w:cs="Arial"/>
          <w:szCs w:val="20"/>
        </w:rPr>
        <w:t>Daarnaast is</w:t>
      </w:r>
      <w:r w:rsidRPr="00F83EE2">
        <w:rPr>
          <w:rFonts w:cs="Arial"/>
          <w:szCs w:val="20"/>
        </w:rPr>
        <w:t xml:space="preserve"> het begrip "werkzaamhed</w:t>
      </w:r>
      <w:r w:rsidRPr="005B15A0">
        <w:rPr>
          <w:rFonts w:cs="Arial"/>
          <w:szCs w:val="20"/>
        </w:rPr>
        <w:t xml:space="preserve">en buitengaats" </w:t>
      </w:r>
      <w:r w:rsidRPr="005B15A0" w:rsidR="0038237A">
        <w:rPr>
          <w:rFonts w:cs="Arial"/>
          <w:szCs w:val="20"/>
        </w:rPr>
        <w:t>op verzoek van Nederland uitgebreid met</w:t>
      </w:r>
      <w:r w:rsidRPr="00FC1494">
        <w:rPr>
          <w:rFonts w:cs="Arial"/>
          <w:szCs w:val="20"/>
        </w:rPr>
        <w:t xml:space="preserve"> werkzaamheden die verband houden met energiewinning uit water</w:t>
      </w:r>
      <w:r w:rsidRPr="00FC1494" w:rsidR="00E337DA">
        <w:rPr>
          <w:rFonts w:cs="Arial"/>
          <w:szCs w:val="20"/>
        </w:rPr>
        <w:t>,</w:t>
      </w:r>
      <w:r w:rsidRPr="00E255BF">
        <w:rPr>
          <w:rFonts w:cs="Arial"/>
          <w:szCs w:val="20"/>
        </w:rPr>
        <w:t xml:space="preserve"> getijdestromen, zon en wind. </w:t>
      </w:r>
    </w:p>
    <w:p w:rsidRPr="009037FC" w:rsidR="00CC2075" w:rsidP="00403D2F" w:rsidRDefault="00795481" w14:paraId="64D8D620" w14:textId="77777777">
      <w:pPr>
        <w:outlineLvl w:val="2"/>
      </w:pPr>
      <w:r w:rsidRPr="009037FC">
        <w:t>In het vierde lid wordt o</w:t>
      </w:r>
      <w:r w:rsidRPr="009037FC" w:rsidR="00BB63E7">
        <w:t>p praktische gronden geen vaste inrichting aanwezig geacht indien die werkzaam</w:t>
      </w:r>
      <w:r w:rsidRPr="009037FC" w:rsidR="00BB63E7">
        <w:softHyphen/>
        <w:t xml:space="preserve">heden in een tijdvak van </w:t>
      </w:r>
      <w:r w:rsidRPr="009037FC" w:rsidR="001C46B6">
        <w:t xml:space="preserve">twaalf </w:t>
      </w:r>
      <w:r w:rsidRPr="009037FC" w:rsidR="00BB63E7">
        <w:t xml:space="preserve">maanden al dan niet aansluitend niet meer dan 30 dagen duren. </w:t>
      </w:r>
      <w:r w:rsidRPr="009037FC" w:rsidR="00084197">
        <w:t>In het vierde lid</w:t>
      </w:r>
      <w:r w:rsidRPr="009037FC" w:rsidR="003832FA">
        <w:t>,</w:t>
      </w:r>
      <w:r w:rsidRPr="009037FC" w:rsidR="00084197">
        <w:t xml:space="preserve"> </w:t>
      </w:r>
      <w:r w:rsidRPr="009037FC" w:rsidR="003832FA">
        <w:t xml:space="preserve">onderdeel a, </w:t>
      </w:r>
      <w:r w:rsidRPr="009037FC" w:rsidR="00084197">
        <w:t xml:space="preserve">is opgenomen dat voor de vaststelling of is voldaan aan de </w:t>
      </w:r>
      <w:r w:rsidRPr="009037FC" w:rsidR="00084197">
        <w:rPr>
          <w:rFonts w:cs="Arial"/>
          <w:szCs w:val="20"/>
        </w:rPr>
        <w:t xml:space="preserve">termijn voor het constateren van een </w:t>
      </w:r>
      <w:r w:rsidRPr="009037FC" w:rsidR="006B1396">
        <w:rPr>
          <w:rFonts w:cs="Arial"/>
          <w:szCs w:val="20"/>
        </w:rPr>
        <w:t>vaste inrichting</w:t>
      </w:r>
      <w:r w:rsidRPr="009037FC" w:rsidR="00084197">
        <w:rPr>
          <w:rFonts w:cs="Arial"/>
          <w:szCs w:val="20"/>
        </w:rPr>
        <w:t xml:space="preserve"> ingevolge het </w:t>
      </w:r>
      <w:r w:rsidRPr="009037FC" w:rsidR="006B1396">
        <w:rPr>
          <w:rFonts w:cs="Arial"/>
          <w:szCs w:val="20"/>
        </w:rPr>
        <w:t xml:space="preserve">tweede </w:t>
      </w:r>
      <w:r w:rsidRPr="009037FC" w:rsidR="00084197">
        <w:rPr>
          <w:rFonts w:cs="Arial"/>
          <w:szCs w:val="20"/>
        </w:rPr>
        <w:t>lid</w:t>
      </w:r>
      <w:r w:rsidRPr="009037FC" w:rsidR="00084197">
        <w:t xml:space="preserve"> de samenhangende</w:t>
      </w:r>
      <w:r w:rsidRPr="009037FC" w:rsidR="009031A3">
        <w:t xml:space="preserve"> activiteiten van verbonden</w:t>
      </w:r>
      <w:r w:rsidRPr="009037FC" w:rsidR="00084197">
        <w:t xml:space="preserve"> ondernemingen bij elkaar worden geteld. Met deze bepaling wordt </w:t>
      </w:r>
      <w:r w:rsidRPr="009037FC" w:rsidR="006454AA">
        <w:t xml:space="preserve">beoogd te </w:t>
      </w:r>
      <w:r w:rsidRPr="009037FC" w:rsidR="00084197">
        <w:t xml:space="preserve">voorkomen dat de aanwezigheid van een vaste inrichting kan worden ontgaan door activiteiten te verdelen over verschillende verbonden ondernemingen. In </w:t>
      </w:r>
      <w:r w:rsidRPr="009037FC" w:rsidR="00783412">
        <w:rPr>
          <w:rFonts w:cs="Arial"/>
          <w:szCs w:val="20"/>
        </w:rPr>
        <w:t xml:space="preserve">paragraaf 52 van het commentaar op artikel </w:t>
      </w:r>
      <w:r w:rsidRPr="009037FC" w:rsidR="005F2F36">
        <w:rPr>
          <w:rFonts w:cs="Arial"/>
          <w:szCs w:val="20"/>
        </w:rPr>
        <w:t xml:space="preserve">5 </w:t>
      </w:r>
      <w:r w:rsidRPr="009037FC" w:rsidR="00783412">
        <w:rPr>
          <w:rFonts w:cs="Arial"/>
          <w:szCs w:val="20"/>
        </w:rPr>
        <w:t>van het OESO-modelverdrag</w:t>
      </w:r>
      <w:r w:rsidRPr="009037FC" w:rsidR="00084197">
        <w:rPr>
          <w:rFonts w:cs="Arial"/>
          <w:szCs w:val="20"/>
        </w:rPr>
        <w:t xml:space="preserve"> </w:t>
      </w:r>
      <w:r w:rsidRPr="009037FC" w:rsidR="00783412">
        <w:rPr>
          <w:rFonts w:cs="Arial"/>
          <w:szCs w:val="20"/>
        </w:rPr>
        <w:t xml:space="preserve">is </w:t>
      </w:r>
      <w:r w:rsidRPr="009037FC" w:rsidR="00084197">
        <w:rPr>
          <w:rFonts w:cs="Arial"/>
          <w:szCs w:val="20"/>
        </w:rPr>
        <w:t>een dergelijke bepaling</w:t>
      </w:r>
      <w:r w:rsidRPr="009037FC" w:rsidR="006B4387">
        <w:rPr>
          <w:rFonts w:cs="Arial"/>
          <w:szCs w:val="20"/>
        </w:rPr>
        <w:t xml:space="preserve"> </w:t>
      </w:r>
      <w:r w:rsidRPr="009037FC" w:rsidR="00783412">
        <w:rPr>
          <w:rFonts w:cs="Arial"/>
          <w:szCs w:val="20"/>
        </w:rPr>
        <w:t xml:space="preserve">opgenomen </w:t>
      </w:r>
      <w:r w:rsidRPr="009037FC" w:rsidR="00084197">
        <w:rPr>
          <w:rFonts w:cs="Arial"/>
          <w:szCs w:val="20"/>
        </w:rPr>
        <w:t>voor de vaststelling van de aanwezigheid van een vaste inrichting bij bouwwerk- of constructiewerkzaamheden in de zin van het derde lid</w:t>
      </w:r>
      <w:r w:rsidRPr="009037FC" w:rsidR="00451C48">
        <w:rPr>
          <w:rFonts w:cs="Arial"/>
          <w:szCs w:val="20"/>
        </w:rPr>
        <w:t xml:space="preserve"> van artikel 5</w:t>
      </w:r>
      <w:r w:rsidRPr="009037FC" w:rsidR="00084197">
        <w:rPr>
          <w:rFonts w:cs="Arial"/>
          <w:szCs w:val="20"/>
        </w:rPr>
        <w:t>. Nederland pleegt in de belastingverdragen een vergelijkbare bepaling op te nemen voor de in het der</w:t>
      </w:r>
      <w:r w:rsidRPr="009037FC" w:rsidR="000428AF">
        <w:rPr>
          <w:rFonts w:cs="Arial"/>
          <w:szCs w:val="20"/>
        </w:rPr>
        <w:t>d</w:t>
      </w:r>
      <w:r w:rsidRPr="009037FC" w:rsidR="00084197">
        <w:rPr>
          <w:rFonts w:cs="Arial"/>
          <w:szCs w:val="20"/>
        </w:rPr>
        <w:t>e lid bedoelde werkzaamheden buitengaats.</w:t>
      </w:r>
      <w:r w:rsidRPr="009037FC" w:rsidR="000428AF">
        <w:rPr>
          <w:rFonts w:cs="Arial"/>
          <w:szCs w:val="20"/>
        </w:rPr>
        <w:t xml:space="preserve"> In </w:t>
      </w:r>
      <w:r w:rsidRPr="009037FC" w:rsidR="00FB091E">
        <w:rPr>
          <w:rFonts w:cs="Arial"/>
          <w:szCs w:val="20"/>
        </w:rPr>
        <w:t xml:space="preserve">het </w:t>
      </w:r>
      <w:r w:rsidRPr="009037FC" w:rsidR="000428AF">
        <w:rPr>
          <w:rFonts w:cs="Arial"/>
          <w:szCs w:val="20"/>
        </w:rPr>
        <w:t xml:space="preserve">vierde lid, onderdeel b, is </w:t>
      </w:r>
      <w:r w:rsidRPr="009037FC" w:rsidR="00D34A76">
        <w:rPr>
          <w:rFonts w:cs="Arial"/>
          <w:szCs w:val="20"/>
        </w:rPr>
        <w:t xml:space="preserve">voor de toepassing van het vierde lid </w:t>
      </w:r>
      <w:r w:rsidRPr="009037FC" w:rsidR="009031A3">
        <w:rPr>
          <w:rFonts w:cs="Arial"/>
          <w:szCs w:val="20"/>
        </w:rPr>
        <w:t xml:space="preserve">op verzoek van Cyprus </w:t>
      </w:r>
      <w:r w:rsidRPr="009037FC" w:rsidR="00D34A76">
        <w:rPr>
          <w:rFonts w:cs="Arial"/>
          <w:szCs w:val="20"/>
        </w:rPr>
        <w:t xml:space="preserve">een </w:t>
      </w:r>
      <w:r w:rsidRPr="009037FC" w:rsidR="00F00185">
        <w:rPr>
          <w:rFonts w:cs="Arial"/>
          <w:szCs w:val="20"/>
        </w:rPr>
        <w:t xml:space="preserve">afzonderlijke </w:t>
      </w:r>
      <w:r w:rsidRPr="009037FC" w:rsidR="00D34A76">
        <w:rPr>
          <w:rFonts w:cs="Arial"/>
          <w:szCs w:val="20"/>
        </w:rPr>
        <w:t>definitie van verbonden ondernemingen opgenomen. Van verbonden ondernemingen in de zin van het vierde lid, onderdeel b, is sprake</w:t>
      </w:r>
      <w:r w:rsidRPr="009037FC" w:rsidR="009031A3">
        <w:rPr>
          <w:rFonts w:cs="Arial"/>
          <w:szCs w:val="20"/>
        </w:rPr>
        <w:t xml:space="preserve"> </w:t>
      </w:r>
      <w:r w:rsidRPr="009037FC" w:rsidR="00596A37">
        <w:rPr>
          <w:rFonts w:cs="Arial"/>
          <w:szCs w:val="20"/>
        </w:rPr>
        <w:t xml:space="preserve">indien: </w:t>
      </w:r>
      <w:r w:rsidRPr="009037FC" w:rsidR="00670B0C">
        <w:rPr>
          <w:rFonts w:cs="Arial"/>
          <w:szCs w:val="20"/>
        </w:rPr>
        <w:t xml:space="preserve">i) </w:t>
      </w:r>
      <w:r w:rsidRPr="009037FC" w:rsidR="009031A3">
        <w:rPr>
          <w:rFonts w:cs="Arial"/>
          <w:szCs w:val="20"/>
        </w:rPr>
        <w:t>een onderneming</w:t>
      </w:r>
      <w:r w:rsidRPr="009037FC" w:rsidR="00D34A76">
        <w:rPr>
          <w:rFonts w:cs="Arial"/>
          <w:szCs w:val="20"/>
        </w:rPr>
        <w:t xml:space="preserve"> </w:t>
      </w:r>
      <w:r w:rsidRPr="009037FC" w:rsidR="009031A3">
        <w:rPr>
          <w:rFonts w:cs="Arial"/>
          <w:szCs w:val="20"/>
        </w:rPr>
        <w:t xml:space="preserve">direct of indirect </w:t>
      </w:r>
      <w:r w:rsidRPr="009037FC" w:rsidR="00D34A76">
        <w:rPr>
          <w:rFonts w:cs="Arial"/>
          <w:szCs w:val="20"/>
        </w:rPr>
        <w:t>deelneemt aan de</w:t>
      </w:r>
      <w:r w:rsidRPr="009037FC" w:rsidR="00670B0C">
        <w:rPr>
          <w:rFonts w:cs="Arial"/>
          <w:szCs w:val="20"/>
        </w:rPr>
        <w:t xml:space="preserve"> leiding van of het toezicht op,</w:t>
      </w:r>
      <w:r w:rsidRPr="009037FC" w:rsidR="00D34A76">
        <w:rPr>
          <w:rFonts w:cs="Arial"/>
          <w:szCs w:val="20"/>
        </w:rPr>
        <w:t xml:space="preserve"> dan wel </w:t>
      </w:r>
      <w:r w:rsidRPr="009037FC" w:rsidR="009031A3">
        <w:rPr>
          <w:rFonts w:cs="Arial"/>
          <w:szCs w:val="20"/>
        </w:rPr>
        <w:t>voor ten minste 30%</w:t>
      </w:r>
      <w:r w:rsidRPr="009037FC" w:rsidR="00D34A76">
        <w:rPr>
          <w:rFonts w:cs="Arial"/>
          <w:szCs w:val="20"/>
        </w:rPr>
        <w:t xml:space="preserve"> </w:t>
      </w:r>
      <w:r w:rsidRPr="009037FC" w:rsidR="00670B0C">
        <w:rPr>
          <w:rFonts w:cs="Arial"/>
          <w:szCs w:val="20"/>
        </w:rPr>
        <w:t>in het kapitaal van</w:t>
      </w:r>
      <w:r w:rsidRPr="009037FC" w:rsidR="009031A3">
        <w:rPr>
          <w:rFonts w:cs="Arial"/>
          <w:szCs w:val="20"/>
        </w:rPr>
        <w:t xml:space="preserve"> de </w:t>
      </w:r>
      <w:r w:rsidRPr="009037FC" w:rsidR="00D34A76">
        <w:rPr>
          <w:rFonts w:cs="Arial"/>
          <w:szCs w:val="20"/>
        </w:rPr>
        <w:t xml:space="preserve">andere </w:t>
      </w:r>
      <w:r w:rsidRPr="009037FC" w:rsidR="009031A3">
        <w:rPr>
          <w:rFonts w:cs="Arial"/>
          <w:szCs w:val="20"/>
        </w:rPr>
        <w:t>onderneming</w:t>
      </w:r>
      <w:r w:rsidRPr="009037FC" w:rsidR="00670B0C">
        <w:rPr>
          <w:rFonts w:cs="Arial"/>
          <w:szCs w:val="20"/>
        </w:rPr>
        <w:t>, of ii) een zelfde persoon direct of indirect deelneemt aan de leiding van of het toezicht op, dan wel voor ten minste 30% in het kapitaal van de andere onderneming</w:t>
      </w:r>
      <w:r w:rsidRPr="009037FC" w:rsidR="009031A3">
        <w:rPr>
          <w:rFonts w:cs="Arial"/>
          <w:szCs w:val="20"/>
        </w:rPr>
        <w:t>.</w:t>
      </w:r>
      <w:r w:rsidRPr="009037FC" w:rsidR="00451C48">
        <w:rPr>
          <w:rFonts w:cs="Arial"/>
          <w:szCs w:val="20"/>
        </w:rPr>
        <w:t xml:space="preserve"> </w:t>
      </w:r>
    </w:p>
    <w:p w:rsidRPr="00B65B22" w:rsidR="001C5D8A" w:rsidP="00B910DE" w:rsidRDefault="00BB63E7" w14:paraId="6D9B70A6" w14:textId="77777777">
      <w:pPr>
        <w:ind w:firstLine="720"/>
        <w:rPr>
          <w:rFonts w:cs="Arial"/>
          <w:szCs w:val="20"/>
        </w:rPr>
      </w:pPr>
      <w:r w:rsidRPr="00B65B22">
        <w:rPr>
          <w:rFonts w:cs="Arial"/>
          <w:szCs w:val="20"/>
        </w:rPr>
        <w:t>Ingevolge het vi</w:t>
      </w:r>
      <w:r w:rsidRPr="00B65B22" w:rsidR="00CC2075">
        <w:rPr>
          <w:rFonts w:cs="Arial"/>
          <w:szCs w:val="20"/>
        </w:rPr>
        <w:t>jfd</w:t>
      </w:r>
      <w:r w:rsidRPr="00B65B22">
        <w:rPr>
          <w:rFonts w:cs="Arial"/>
          <w:szCs w:val="20"/>
        </w:rPr>
        <w:t xml:space="preserve">e lid wordt de uitdrukking ‘werkzaamheden buitengaats’ voor de toepassing van derde lid geacht niet te omvatten: (a) </w:t>
      </w:r>
      <w:r w:rsidRPr="00B65B22" w:rsidR="00A413F0">
        <w:rPr>
          <w:rFonts w:cs="Arial"/>
          <w:szCs w:val="20"/>
        </w:rPr>
        <w:t xml:space="preserve">werkzaamheid of </w:t>
      </w:r>
      <w:r w:rsidRPr="00B65B22">
        <w:rPr>
          <w:rFonts w:cs="Arial"/>
          <w:szCs w:val="20"/>
        </w:rPr>
        <w:t xml:space="preserve">een combinatie van </w:t>
      </w:r>
      <w:r w:rsidRPr="00B65B22">
        <w:rPr>
          <w:rFonts w:cs="Arial"/>
          <w:szCs w:val="20"/>
        </w:rPr>
        <w:softHyphen/>
        <w:t xml:space="preserve">werkzaamheden </w:t>
      </w:r>
      <w:r w:rsidRPr="00B65B22" w:rsidR="00A413F0">
        <w:rPr>
          <w:rFonts w:cs="Arial"/>
          <w:szCs w:val="20"/>
        </w:rPr>
        <w:t>van voorbereiden</w:t>
      </w:r>
      <w:r w:rsidRPr="00B65B22" w:rsidR="00FA55DC">
        <w:rPr>
          <w:rFonts w:cs="Arial"/>
          <w:szCs w:val="20"/>
        </w:rPr>
        <w:t>de</w:t>
      </w:r>
      <w:r w:rsidRPr="00B65B22" w:rsidR="00A413F0">
        <w:rPr>
          <w:rFonts w:cs="Arial"/>
          <w:szCs w:val="20"/>
        </w:rPr>
        <w:t xml:space="preserve"> aard of ondersteunend karakter </w:t>
      </w:r>
      <w:r w:rsidRPr="00B65B22">
        <w:rPr>
          <w:rFonts w:cs="Arial"/>
          <w:szCs w:val="20"/>
        </w:rPr>
        <w:t>als bedoeld in het vi</w:t>
      </w:r>
      <w:r w:rsidRPr="00B65B22" w:rsidR="00A413F0">
        <w:rPr>
          <w:rFonts w:cs="Arial"/>
          <w:szCs w:val="20"/>
        </w:rPr>
        <w:t>jf</w:t>
      </w:r>
      <w:r w:rsidRPr="00B65B22">
        <w:rPr>
          <w:rFonts w:cs="Arial"/>
          <w:szCs w:val="20"/>
        </w:rPr>
        <w:t>de lid van artikel 5, (b) werkzaamheden die worden verricht met schepen die primair zijn ontworpen voor het verrichten van sleep- of ankerwerk</w:t>
      </w:r>
      <w:r w:rsidRPr="00B65B22">
        <w:rPr>
          <w:rFonts w:cs="Arial"/>
          <w:szCs w:val="20"/>
        </w:rPr>
        <w:softHyphen/>
        <w:t xml:space="preserve">zaamheden, en (c) het vervoer van voorraden en personeel door schepen of luchtvaartuigen in internationaal verkeer. </w:t>
      </w:r>
    </w:p>
    <w:p w:rsidRPr="00B65B22" w:rsidR="00C43B25" w:rsidP="00B910DE" w:rsidRDefault="00734479" w14:paraId="7F3D8723" w14:textId="77777777">
      <w:pPr>
        <w:ind w:firstLine="720"/>
        <w:rPr>
          <w:szCs w:val="20"/>
        </w:rPr>
      </w:pPr>
      <w:r w:rsidRPr="00B65B22">
        <w:rPr>
          <w:rFonts w:cs="Arial"/>
          <w:szCs w:val="20"/>
        </w:rPr>
        <w:t xml:space="preserve">Het zesde lid ziet op </w:t>
      </w:r>
      <w:r w:rsidRPr="00B65B22" w:rsidR="00651E17">
        <w:t xml:space="preserve">inkomsten uit </w:t>
      </w:r>
      <w:r w:rsidRPr="00B65B22">
        <w:rPr>
          <w:rFonts w:cs="Arial"/>
          <w:szCs w:val="20"/>
        </w:rPr>
        <w:t xml:space="preserve">dienstbetrekking </w:t>
      </w:r>
      <w:r w:rsidRPr="00B65B22" w:rsidR="003D6F9C">
        <w:rPr>
          <w:rFonts w:cs="Arial"/>
          <w:szCs w:val="20"/>
        </w:rPr>
        <w:t>in</w:t>
      </w:r>
      <w:r w:rsidRPr="00B65B22" w:rsidR="003D6F9C">
        <w:rPr>
          <w:szCs w:val="20"/>
        </w:rPr>
        <w:t xml:space="preserve"> verband met </w:t>
      </w:r>
      <w:r w:rsidRPr="00B65B22" w:rsidR="003832FA">
        <w:rPr>
          <w:szCs w:val="20"/>
        </w:rPr>
        <w:t>werkzaamheden buitengaats</w:t>
      </w:r>
      <w:r w:rsidRPr="00B65B22" w:rsidR="003D6F9C">
        <w:rPr>
          <w:szCs w:val="20"/>
        </w:rPr>
        <w:t>.</w:t>
      </w:r>
      <w:r w:rsidRPr="00B65B22" w:rsidR="003D6F9C">
        <w:rPr>
          <w:rFonts w:cs="Arial"/>
          <w:szCs w:val="20"/>
        </w:rPr>
        <w:t xml:space="preserve"> </w:t>
      </w:r>
      <w:r w:rsidRPr="00B65B22" w:rsidR="00081E12">
        <w:rPr>
          <w:rFonts w:cs="Arial"/>
          <w:szCs w:val="20"/>
        </w:rPr>
        <w:t xml:space="preserve">Deze bepaling komt overeen met de voor </w:t>
      </w:r>
      <w:r w:rsidRPr="00B65B22" w:rsidR="00441CA0">
        <w:t xml:space="preserve">inkomsten uit </w:t>
      </w:r>
      <w:r w:rsidRPr="00B65B22" w:rsidR="00081E12">
        <w:rPr>
          <w:rFonts w:cs="Arial"/>
          <w:szCs w:val="20"/>
        </w:rPr>
        <w:t xml:space="preserve">dienstbetrekking geldende hoofdregel, zoals neergelegd in artikel 14, eerste lid, van het Verdrag. </w:t>
      </w:r>
      <w:r w:rsidRPr="00B65B22" w:rsidR="00BB63E7">
        <w:rPr>
          <w:rFonts w:cs="Arial"/>
          <w:szCs w:val="20"/>
        </w:rPr>
        <w:t xml:space="preserve">De door een inwoner van de ene </w:t>
      </w:r>
      <w:r w:rsidRPr="00B65B22" w:rsidR="00EC10DE">
        <w:t>verdragsluitende s</w:t>
      </w:r>
      <w:r w:rsidRPr="00B65B22" w:rsidR="00BB63E7">
        <w:rPr>
          <w:rFonts w:cs="Arial"/>
          <w:szCs w:val="20"/>
        </w:rPr>
        <w:t xml:space="preserve">taat verkregen </w:t>
      </w:r>
      <w:r w:rsidRPr="00B65B22" w:rsidR="00FB091E">
        <w:rPr>
          <w:rFonts w:cs="Arial"/>
          <w:szCs w:val="20"/>
        </w:rPr>
        <w:t>inkomsten uit</w:t>
      </w:r>
      <w:r w:rsidRPr="00B65B22" w:rsidR="00BB63E7">
        <w:rPr>
          <w:rFonts w:cs="Arial"/>
          <w:szCs w:val="20"/>
        </w:rPr>
        <w:t xml:space="preserve"> dienstbetrekking uitgeoefend op het continentale plat van de andere </w:t>
      </w:r>
      <w:r w:rsidRPr="00B65B22" w:rsidR="00EC10DE">
        <w:t>verdragsluitende s</w:t>
      </w:r>
      <w:r w:rsidRPr="00B65B22" w:rsidR="00BB63E7">
        <w:rPr>
          <w:rFonts w:cs="Arial"/>
          <w:szCs w:val="20"/>
        </w:rPr>
        <w:t>taat m</w:t>
      </w:r>
      <w:r w:rsidRPr="00B65B22" w:rsidR="00FB091E">
        <w:rPr>
          <w:rFonts w:cs="Arial"/>
          <w:szCs w:val="20"/>
        </w:rPr>
        <w:t>o</w:t>
      </w:r>
      <w:r w:rsidRPr="00B65B22" w:rsidR="00BB63E7">
        <w:rPr>
          <w:rFonts w:cs="Arial"/>
          <w:szCs w:val="20"/>
        </w:rPr>
        <w:t>g</w:t>
      </w:r>
      <w:r w:rsidRPr="00B65B22" w:rsidR="00FB091E">
        <w:rPr>
          <w:rFonts w:cs="Arial"/>
          <w:szCs w:val="20"/>
        </w:rPr>
        <w:t>en</w:t>
      </w:r>
      <w:r w:rsidRPr="00B65B22" w:rsidR="00BB63E7">
        <w:rPr>
          <w:rFonts w:cs="Arial"/>
          <w:szCs w:val="20"/>
        </w:rPr>
        <w:t>, ingevolge het zesde lid, onder</w:t>
      </w:r>
      <w:r w:rsidRPr="00B65B22" w:rsidR="00BB63E7">
        <w:rPr>
          <w:rFonts w:cs="Arial"/>
          <w:szCs w:val="20"/>
        </w:rPr>
        <w:softHyphen/>
        <w:t xml:space="preserve">deel a, in de laatstgenoemde </w:t>
      </w:r>
      <w:r w:rsidRPr="00B65B22" w:rsidR="00EC10DE">
        <w:t>verdragsluitende s</w:t>
      </w:r>
      <w:r w:rsidRPr="00B65B22" w:rsidR="00BB63E7">
        <w:rPr>
          <w:rFonts w:cs="Arial"/>
          <w:szCs w:val="20"/>
        </w:rPr>
        <w:t xml:space="preserve">taat </w:t>
      </w:r>
      <w:r w:rsidRPr="00B65B22" w:rsidR="00C43B25">
        <w:rPr>
          <w:rFonts w:cs="Arial"/>
          <w:szCs w:val="20"/>
        </w:rPr>
        <w:t xml:space="preserve">(de werkstaat) </w:t>
      </w:r>
      <w:r w:rsidRPr="00B65B22" w:rsidR="00BB63E7">
        <w:rPr>
          <w:rFonts w:cs="Arial"/>
          <w:szCs w:val="20"/>
        </w:rPr>
        <w:t xml:space="preserve">worden belast. </w:t>
      </w:r>
      <w:r w:rsidRPr="00B65B22" w:rsidR="00C43B25">
        <w:rPr>
          <w:rFonts w:cs="Arial"/>
          <w:szCs w:val="20"/>
        </w:rPr>
        <w:br/>
      </w:r>
      <w:r w:rsidRPr="00B65B22" w:rsidR="009534E6">
        <w:rPr>
          <w:rFonts w:cs="Arial"/>
          <w:szCs w:val="20"/>
        </w:rPr>
        <w:t>H</w:t>
      </w:r>
      <w:r w:rsidRPr="00B65B22" w:rsidR="00CD20CA">
        <w:rPr>
          <w:rFonts w:cs="Arial"/>
          <w:szCs w:val="20"/>
        </w:rPr>
        <w:t xml:space="preserve">et zesde lid, onderdeel b, </w:t>
      </w:r>
      <w:r w:rsidRPr="00B65B22" w:rsidR="00081E12">
        <w:rPr>
          <w:rFonts w:cs="Arial"/>
          <w:szCs w:val="20"/>
        </w:rPr>
        <w:t xml:space="preserve">komt overeen met de in artikel 14, tweede lid, van het Verdrag neergelegde uitzonderingsbepaling en </w:t>
      </w:r>
      <w:r w:rsidRPr="00B65B22" w:rsidR="00C43B25">
        <w:rPr>
          <w:szCs w:val="20"/>
        </w:rPr>
        <w:t xml:space="preserve">voorziet in een exclusief heffingsrecht voor de woonstaat van de werknemer als </w:t>
      </w:r>
      <w:r w:rsidRPr="00B65B22" w:rsidR="00EC10DE">
        <w:rPr>
          <w:szCs w:val="20"/>
        </w:rPr>
        <w:t xml:space="preserve">cumulatief </w:t>
      </w:r>
      <w:r w:rsidRPr="00B65B22" w:rsidR="00C43B25">
        <w:rPr>
          <w:szCs w:val="20"/>
        </w:rPr>
        <w:t xml:space="preserve">wordt voldaan aan </w:t>
      </w:r>
      <w:r w:rsidRPr="00B65B22" w:rsidR="00081E12">
        <w:rPr>
          <w:szCs w:val="20"/>
        </w:rPr>
        <w:t>de</w:t>
      </w:r>
      <w:r w:rsidRPr="00B65B22" w:rsidR="00C43B25">
        <w:rPr>
          <w:szCs w:val="20"/>
        </w:rPr>
        <w:t xml:space="preserve"> </w:t>
      </w:r>
      <w:r w:rsidRPr="00B65B22" w:rsidR="00441CA0">
        <w:rPr>
          <w:szCs w:val="20"/>
        </w:rPr>
        <w:t xml:space="preserve">gestelde </w:t>
      </w:r>
      <w:r w:rsidRPr="00B65B22" w:rsidR="00C43B25">
        <w:rPr>
          <w:szCs w:val="20"/>
        </w:rPr>
        <w:t>voorwaarden</w:t>
      </w:r>
      <w:r w:rsidRPr="00B65B22" w:rsidR="00441CA0">
        <w:rPr>
          <w:szCs w:val="20"/>
        </w:rPr>
        <w:t>, met dien verstande dat in subonderdeel (i) van genoemd onderdeel b</w:t>
      </w:r>
      <w:r w:rsidRPr="00B65B22" w:rsidR="005D7105">
        <w:rPr>
          <w:szCs w:val="20"/>
        </w:rPr>
        <w:t>, kort gezegd,</w:t>
      </w:r>
      <w:r w:rsidRPr="00B65B22" w:rsidR="00441CA0">
        <w:rPr>
          <w:szCs w:val="20"/>
        </w:rPr>
        <w:t xml:space="preserve"> wordt uitgegaan van 30 dagen in plaats van 183 dagen</w:t>
      </w:r>
      <w:r w:rsidRPr="00B65B22" w:rsidR="00AA30D3">
        <w:rPr>
          <w:szCs w:val="20"/>
        </w:rPr>
        <w:t>.</w:t>
      </w:r>
    </w:p>
    <w:p w:rsidRPr="00B65B22" w:rsidR="00F264DC" w:rsidP="000B59B2" w:rsidRDefault="007E489A" w14:paraId="76764D36" w14:textId="77777777">
      <w:pPr>
        <w:ind w:firstLine="708"/>
        <w:rPr>
          <w:rFonts w:cs="Arial"/>
          <w:szCs w:val="20"/>
        </w:rPr>
      </w:pPr>
      <w:r w:rsidRPr="00B65B22">
        <w:rPr>
          <w:rFonts w:cs="Arial"/>
          <w:szCs w:val="20"/>
        </w:rPr>
        <w:t>Inkomsten</w:t>
      </w:r>
      <w:r w:rsidRPr="00B65B22" w:rsidR="00BB63E7">
        <w:rPr>
          <w:rFonts w:cs="Arial"/>
          <w:szCs w:val="20"/>
        </w:rPr>
        <w:t xml:space="preserve"> uit </w:t>
      </w:r>
      <w:r w:rsidRPr="00B65B22" w:rsidR="00657856">
        <w:rPr>
          <w:rFonts w:cs="Arial"/>
          <w:szCs w:val="20"/>
        </w:rPr>
        <w:t xml:space="preserve">dienstbetrekking, uitgeoefend </w:t>
      </w:r>
      <w:r w:rsidRPr="00B65B22" w:rsidR="00BB63E7">
        <w:rPr>
          <w:rFonts w:cs="Arial"/>
          <w:szCs w:val="20"/>
        </w:rPr>
        <w:t>aan boord van een schip of lucht</w:t>
      </w:r>
      <w:r w:rsidRPr="00B65B22" w:rsidR="00BB63E7">
        <w:rPr>
          <w:rFonts w:cs="Arial"/>
          <w:szCs w:val="20"/>
        </w:rPr>
        <w:softHyphen/>
        <w:t xml:space="preserve">vaartuig </w:t>
      </w:r>
      <w:r w:rsidRPr="00B65B22" w:rsidR="00657856">
        <w:rPr>
          <w:rFonts w:cs="Arial"/>
          <w:szCs w:val="20"/>
        </w:rPr>
        <w:t xml:space="preserve">dat wordt geëxploiteerd door een onderneming die inwoner is van </w:t>
      </w:r>
      <w:r w:rsidRPr="00B65B22" w:rsidR="009E491E">
        <w:rPr>
          <w:rFonts w:cs="Arial"/>
          <w:szCs w:val="20"/>
        </w:rPr>
        <w:t>een</w:t>
      </w:r>
      <w:r w:rsidRPr="00B65B22" w:rsidR="00657856">
        <w:rPr>
          <w:rFonts w:cs="Arial"/>
          <w:szCs w:val="20"/>
        </w:rPr>
        <w:t xml:space="preserve"> </w:t>
      </w:r>
      <w:r w:rsidRPr="00B65B22" w:rsidR="009E491E">
        <w:rPr>
          <w:rFonts w:cs="Arial"/>
          <w:szCs w:val="20"/>
        </w:rPr>
        <w:t>verdragsluitende s</w:t>
      </w:r>
      <w:r w:rsidRPr="00B65B22" w:rsidR="00657856">
        <w:rPr>
          <w:rFonts w:cs="Arial"/>
          <w:szCs w:val="20"/>
        </w:rPr>
        <w:t>ta</w:t>
      </w:r>
      <w:r w:rsidRPr="00B65B22" w:rsidR="009E491E">
        <w:rPr>
          <w:rFonts w:cs="Arial"/>
          <w:szCs w:val="20"/>
        </w:rPr>
        <w:t>a</w:t>
      </w:r>
      <w:r w:rsidRPr="00B65B22" w:rsidR="00657856">
        <w:rPr>
          <w:rFonts w:cs="Arial"/>
          <w:szCs w:val="20"/>
        </w:rPr>
        <w:t>t en waarvan de activiteiten bestaan uit het international</w:t>
      </w:r>
      <w:r w:rsidRPr="00B65B22" w:rsidR="009E491E">
        <w:rPr>
          <w:rFonts w:cs="Arial"/>
          <w:szCs w:val="20"/>
        </w:rPr>
        <w:t>e</w:t>
      </w:r>
      <w:r w:rsidRPr="00B65B22" w:rsidR="00657856">
        <w:rPr>
          <w:rFonts w:cs="Arial"/>
          <w:szCs w:val="20"/>
        </w:rPr>
        <w:t xml:space="preserve"> vervoer van goederen of personeel</w:t>
      </w:r>
      <w:r w:rsidRPr="00B65B22" w:rsidR="00F264DC">
        <w:rPr>
          <w:rFonts w:cs="Arial"/>
          <w:szCs w:val="20"/>
        </w:rPr>
        <w:t xml:space="preserve"> </w:t>
      </w:r>
      <w:r w:rsidRPr="00B65B22" w:rsidR="0048114D">
        <w:rPr>
          <w:rFonts w:cs="Arial"/>
          <w:szCs w:val="20"/>
        </w:rPr>
        <w:t>naar een plaats waar werkzaamheden buitengaats</w:t>
      </w:r>
      <w:r w:rsidRPr="00B65B22" w:rsidR="00A56906">
        <w:rPr>
          <w:rFonts w:cs="Arial"/>
          <w:szCs w:val="20"/>
        </w:rPr>
        <w:t xml:space="preserve"> worden verricht </w:t>
      </w:r>
      <w:r w:rsidRPr="00B65B22" w:rsidR="00A97988">
        <w:rPr>
          <w:rFonts w:cs="Arial"/>
          <w:szCs w:val="20"/>
        </w:rPr>
        <w:t xml:space="preserve">of exploitatie </w:t>
      </w:r>
      <w:r w:rsidRPr="00B65B22" w:rsidR="003851D8">
        <w:rPr>
          <w:rFonts w:cs="Arial"/>
          <w:szCs w:val="20"/>
        </w:rPr>
        <w:t xml:space="preserve">van </w:t>
      </w:r>
      <w:r w:rsidRPr="00B65B22" w:rsidR="00A97988">
        <w:rPr>
          <w:rFonts w:cs="Arial"/>
          <w:szCs w:val="20"/>
        </w:rPr>
        <w:t>sleepb</w:t>
      </w:r>
      <w:r w:rsidRPr="00B65B22" w:rsidR="003851D8">
        <w:rPr>
          <w:rFonts w:cs="Arial"/>
          <w:szCs w:val="20"/>
        </w:rPr>
        <w:t>ot</w:t>
      </w:r>
      <w:r w:rsidRPr="00B65B22" w:rsidR="00A97988">
        <w:rPr>
          <w:rFonts w:cs="Arial"/>
          <w:szCs w:val="20"/>
        </w:rPr>
        <w:t>en</w:t>
      </w:r>
      <w:r w:rsidRPr="00B65B22" w:rsidR="003851D8">
        <w:rPr>
          <w:rFonts w:cs="Arial"/>
          <w:szCs w:val="20"/>
        </w:rPr>
        <w:t xml:space="preserve"> en </w:t>
      </w:r>
      <w:r w:rsidRPr="00B65B22" w:rsidR="009E6496">
        <w:rPr>
          <w:rFonts w:cs="Arial"/>
          <w:szCs w:val="20"/>
        </w:rPr>
        <w:t xml:space="preserve">bepaalde </w:t>
      </w:r>
      <w:r w:rsidRPr="00B65B22" w:rsidR="003851D8">
        <w:rPr>
          <w:rFonts w:cs="Arial"/>
          <w:szCs w:val="20"/>
        </w:rPr>
        <w:t xml:space="preserve">andere </w:t>
      </w:r>
      <w:r w:rsidRPr="00B65B22" w:rsidR="00161A45">
        <w:rPr>
          <w:rFonts w:cs="Arial"/>
          <w:szCs w:val="20"/>
        </w:rPr>
        <w:t xml:space="preserve">specifieke </w:t>
      </w:r>
      <w:r w:rsidRPr="00B65B22" w:rsidR="003851D8">
        <w:rPr>
          <w:rFonts w:cs="Arial"/>
          <w:szCs w:val="20"/>
        </w:rPr>
        <w:t>schepen</w:t>
      </w:r>
      <w:r w:rsidRPr="00B65B22" w:rsidR="00A97988">
        <w:rPr>
          <w:rFonts w:cs="Arial"/>
          <w:szCs w:val="20"/>
        </w:rPr>
        <w:t xml:space="preserve"> die verband houden met zulke activiteiten</w:t>
      </w:r>
      <w:r w:rsidRPr="00B65B22" w:rsidR="00657856">
        <w:rPr>
          <w:rFonts w:cs="Arial"/>
          <w:szCs w:val="20"/>
        </w:rPr>
        <w:t xml:space="preserve"> </w:t>
      </w:r>
      <w:r w:rsidRPr="00B65B22" w:rsidR="00BB63E7">
        <w:rPr>
          <w:rFonts w:cs="Arial"/>
          <w:szCs w:val="20"/>
        </w:rPr>
        <w:t xml:space="preserve">zijn ingevolge onderdeel </w:t>
      </w:r>
      <w:r w:rsidRPr="00B65B22" w:rsidR="006727A9">
        <w:rPr>
          <w:rFonts w:cs="Arial"/>
          <w:szCs w:val="20"/>
        </w:rPr>
        <w:t>c</w:t>
      </w:r>
      <w:r w:rsidRPr="00B65B22" w:rsidR="00BB63E7">
        <w:rPr>
          <w:rFonts w:cs="Arial"/>
          <w:szCs w:val="20"/>
        </w:rPr>
        <w:t xml:space="preserve"> van het zesde lid </w:t>
      </w:r>
      <w:r w:rsidRPr="00B65B22">
        <w:rPr>
          <w:rFonts w:cs="Arial"/>
          <w:szCs w:val="20"/>
        </w:rPr>
        <w:t>uitsluitend</w:t>
      </w:r>
      <w:r w:rsidRPr="00B65B22" w:rsidR="00BB63E7">
        <w:rPr>
          <w:rFonts w:cs="Arial"/>
          <w:szCs w:val="20"/>
        </w:rPr>
        <w:t xml:space="preserve"> be</w:t>
      </w:r>
      <w:r w:rsidRPr="00B65B22" w:rsidR="006727A9">
        <w:rPr>
          <w:rFonts w:cs="Arial"/>
          <w:szCs w:val="20"/>
        </w:rPr>
        <w:t xml:space="preserve">lastbaar in de </w:t>
      </w:r>
      <w:r w:rsidRPr="00B65B22" w:rsidR="00EC10DE">
        <w:t>verdragsluitende s</w:t>
      </w:r>
      <w:r w:rsidRPr="00B65B22" w:rsidR="006727A9">
        <w:rPr>
          <w:rFonts w:cs="Arial"/>
          <w:szCs w:val="20"/>
        </w:rPr>
        <w:t>taat waar</w:t>
      </w:r>
      <w:r w:rsidRPr="00B65B22">
        <w:rPr>
          <w:rFonts w:cs="Arial"/>
          <w:szCs w:val="20"/>
        </w:rPr>
        <w:t>in</w:t>
      </w:r>
      <w:r w:rsidRPr="00B65B22" w:rsidR="006727A9">
        <w:rPr>
          <w:rFonts w:cs="Arial"/>
          <w:szCs w:val="20"/>
        </w:rPr>
        <w:t xml:space="preserve"> </w:t>
      </w:r>
      <w:r w:rsidRPr="00B65B22" w:rsidR="00820A46">
        <w:rPr>
          <w:rFonts w:cs="Arial"/>
          <w:szCs w:val="20"/>
        </w:rPr>
        <w:t xml:space="preserve">de feitelijke leiding </w:t>
      </w:r>
      <w:r w:rsidRPr="00B65B22" w:rsidR="00657856">
        <w:rPr>
          <w:rFonts w:cs="Arial"/>
          <w:szCs w:val="20"/>
        </w:rPr>
        <w:t xml:space="preserve">van de </w:t>
      </w:r>
      <w:r w:rsidRPr="00B65B22" w:rsidR="006727A9">
        <w:rPr>
          <w:rFonts w:cs="Arial"/>
          <w:szCs w:val="20"/>
        </w:rPr>
        <w:t xml:space="preserve">onderneming is </w:t>
      </w:r>
      <w:r w:rsidRPr="00B65B22">
        <w:rPr>
          <w:rFonts w:cs="Arial"/>
          <w:szCs w:val="20"/>
        </w:rPr>
        <w:t>gelegen</w:t>
      </w:r>
      <w:r w:rsidRPr="00B65B22" w:rsidR="006727A9">
        <w:rPr>
          <w:rFonts w:cs="Arial"/>
          <w:szCs w:val="20"/>
        </w:rPr>
        <w:t xml:space="preserve">. </w:t>
      </w:r>
      <w:r w:rsidRPr="00B65B22" w:rsidR="00BB63E7">
        <w:rPr>
          <w:rFonts w:cs="Arial"/>
          <w:szCs w:val="20"/>
        </w:rPr>
        <w:t>Dit komt overeen met de hoofdregel die in het Verdrag ter</w:t>
      </w:r>
      <w:r w:rsidRPr="00B65B22" w:rsidR="00AA742C">
        <w:rPr>
          <w:rFonts w:cs="Arial"/>
          <w:szCs w:val="20"/>
        </w:rPr>
        <w:t xml:space="preserve"> </w:t>
      </w:r>
      <w:r w:rsidRPr="00B65B22" w:rsidR="00BB63E7">
        <w:rPr>
          <w:rFonts w:cs="Arial"/>
          <w:szCs w:val="20"/>
        </w:rPr>
        <w:t>zake van een aan boord van een schip of luchtvaartuig uitgeoefende dienstbetrekking is neergelegd (artikel 14, derde lid</w:t>
      </w:r>
      <w:r w:rsidRPr="00B65B22" w:rsidR="00FE6066">
        <w:rPr>
          <w:rFonts w:cs="Arial"/>
          <w:szCs w:val="20"/>
        </w:rPr>
        <w:t>, van het Verdrag</w:t>
      </w:r>
      <w:r w:rsidRPr="00B65B22" w:rsidR="00BB63E7">
        <w:rPr>
          <w:rFonts w:cs="Arial"/>
          <w:szCs w:val="20"/>
        </w:rPr>
        <w:t>).</w:t>
      </w:r>
      <w:r w:rsidRPr="00B65B22" w:rsidR="006727A9">
        <w:rPr>
          <w:rFonts w:cs="Arial"/>
          <w:szCs w:val="20"/>
        </w:rPr>
        <w:t xml:space="preserve"> </w:t>
      </w:r>
    </w:p>
    <w:p w:rsidRPr="00B65B22" w:rsidR="00D14100" w:rsidP="00B910DE" w:rsidRDefault="006727A9" w14:paraId="337D086E" w14:textId="77777777">
      <w:pPr>
        <w:ind w:firstLine="708"/>
        <w:rPr>
          <w:rFonts w:cs="Arial"/>
          <w:szCs w:val="20"/>
        </w:rPr>
      </w:pPr>
      <w:r w:rsidRPr="00B65B22">
        <w:rPr>
          <w:rFonts w:cs="Arial"/>
          <w:szCs w:val="20"/>
        </w:rPr>
        <w:t>Op grond van het ze</w:t>
      </w:r>
      <w:r w:rsidRPr="00B65B22" w:rsidR="00113581">
        <w:rPr>
          <w:rFonts w:cs="Arial"/>
          <w:szCs w:val="20"/>
        </w:rPr>
        <w:t>vende</w:t>
      </w:r>
      <w:r w:rsidRPr="00B65B22">
        <w:rPr>
          <w:rFonts w:cs="Arial"/>
          <w:szCs w:val="20"/>
        </w:rPr>
        <w:t xml:space="preserve"> lid mogen voordelen verkregen door een inwoner van een van de </w:t>
      </w:r>
      <w:r w:rsidRPr="00B65B22" w:rsidR="00F00185">
        <w:t>verdragsluitende s</w:t>
      </w:r>
      <w:r w:rsidRPr="00B65B22">
        <w:rPr>
          <w:rFonts w:cs="Arial"/>
          <w:szCs w:val="20"/>
        </w:rPr>
        <w:t xml:space="preserve">taten </w:t>
      </w:r>
      <w:r w:rsidRPr="00B65B22" w:rsidR="00705ECE">
        <w:rPr>
          <w:rFonts w:cs="Arial"/>
          <w:szCs w:val="20"/>
        </w:rPr>
        <w:t xml:space="preserve">behaald met </w:t>
      </w:r>
      <w:r w:rsidRPr="00B65B22">
        <w:rPr>
          <w:rFonts w:cs="Arial"/>
          <w:szCs w:val="20"/>
        </w:rPr>
        <w:t>de vervreemding van</w:t>
      </w:r>
      <w:r w:rsidRPr="00B65B22" w:rsidR="00082155">
        <w:rPr>
          <w:rFonts w:cs="Arial"/>
          <w:szCs w:val="20"/>
        </w:rPr>
        <w:t>:</w:t>
      </w:r>
    </w:p>
    <w:p w:rsidRPr="00B65B22" w:rsidR="004B4FF1" w:rsidP="00901C1E" w:rsidRDefault="0056618A" w14:paraId="5EB92885" w14:textId="77777777">
      <w:pPr>
        <w:ind w:firstLine="0"/>
        <w:rPr>
          <w:szCs w:val="20"/>
        </w:rPr>
      </w:pPr>
      <w:r w:rsidRPr="00B65B22">
        <w:rPr>
          <w:rFonts w:cs="Arial"/>
          <w:szCs w:val="20"/>
        </w:rPr>
        <w:t xml:space="preserve"> (a)</w:t>
      </w:r>
      <w:r w:rsidRPr="00B65B22" w:rsidR="006727A9">
        <w:rPr>
          <w:rFonts w:cs="Arial"/>
          <w:szCs w:val="20"/>
        </w:rPr>
        <w:t xml:space="preserve"> </w:t>
      </w:r>
      <w:r w:rsidRPr="00B65B22" w:rsidR="004B4FF1">
        <w:rPr>
          <w:rFonts w:cs="Arial"/>
          <w:szCs w:val="20"/>
        </w:rPr>
        <w:t>rechten</w:t>
      </w:r>
      <w:r w:rsidRPr="00B65B22" w:rsidR="006727A9">
        <w:rPr>
          <w:rFonts w:cs="Arial"/>
          <w:szCs w:val="20"/>
        </w:rPr>
        <w:t xml:space="preserve"> die verband houden met de exploratie of exploitatie van de onder de jurisdictie van de andere </w:t>
      </w:r>
      <w:r w:rsidRPr="00B65B22" w:rsidR="00F00185">
        <w:t>verdragsluitende s</w:t>
      </w:r>
      <w:r w:rsidRPr="00B65B22" w:rsidR="006727A9">
        <w:rPr>
          <w:rFonts w:cs="Arial"/>
          <w:szCs w:val="20"/>
        </w:rPr>
        <w:t>taat vallende zeebodem, de ondergrond daarvan en hun natuurlijke rijkdommen</w:t>
      </w:r>
      <w:r w:rsidRPr="00B65B22">
        <w:rPr>
          <w:rFonts w:cs="Arial"/>
          <w:szCs w:val="20"/>
        </w:rPr>
        <w:t xml:space="preserve">, </w:t>
      </w:r>
      <w:r w:rsidRPr="00B65B22" w:rsidR="004B4FF1">
        <w:rPr>
          <w:szCs w:val="20"/>
        </w:rPr>
        <w:t xml:space="preserve">inclusief </w:t>
      </w:r>
      <w:r w:rsidRPr="00B65B22" w:rsidR="006466AD">
        <w:rPr>
          <w:szCs w:val="20"/>
        </w:rPr>
        <w:t xml:space="preserve">rechten </w:t>
      </w:r>
      <w:r w:rsidRPr="00B65B22" w:rsidR="004B4FF1">
        <w:rPr>
          <w:rFonts w:cs="Arial"/>
          <w:szCs w:val="20"/>
        </w:rPr>
        <w:t>die verband houden met energiewinning uit water, getijdestromen, zon en wind</w:t>
      </w:r>
      <w:r w:rsidRPr="00B65B22" w:rsidR="005A4948">
        <w:rPr>
          <w:rFonts w:cs="Arial"/>
          <w:szCs w:val="20"/>
        </w:rPr>
        <w:t xml:space="preserve"> dan wel rechten </w:t>
      </w:r>
      <w:r w:rsidRPr="00B65B22" w:rsidR="00E5042B">
        <w:rPr>
          <w:rFonts w:cs="Arial"/>
          <w:szCs w:val="20"/>
        </w:rPr>
        <w:t>op belangen in of voordelen uit dergelijke activa</w:t>
      </w:r>
      <w:r w:rsidRPr="00B65B22" w:rsidR="004B4FF1">
        <w:rPr>
          <w:rFonts w:cs="Arial"/>
          <w:szCs w:val="20"/>
        </w:rPr>
        <w:t>;</w:t>
      </w:r>
      <w:r w:rsidRPr="00B65B22" w:rsidR="008028EC">
        <w:rPr>
          <w:rFonts w:cs="Arial"/>
          <w:szCs w:val="20"/>
        </w:rPr>
        <w:t xml:space="preserve"> of</w:t>
      </w:r>
    </w:p>
    <w:p w:rsidRPr="00B65B22" w:rsidR="00D14100" w:rsidP="00901C1E" w:rsidRDefault="0056618A" w14:paraId="005457E1" w14:textId="77777777">
      <w:pPr>
        <w:ind w:firstLine="0"/>
        <w:rPr>
          <w:rFonts w:cs="Arial"/>
          <w:szCs w:val="20"/>
        </w:rPr>
      </w:pPr>
      <w:r w:rsidRPr="00B65B22">
        <w:rPr>
          <w:rFonts w:cs="Arial"/>
          <w:szCs w:val="20"/>
        </w:rPr>
        <w:t xml:space="preserve">(b) </w:t>
      </w:r>
      <w:r w:rsidRPr="00B65B22" w:rsidR="00015B77">
        <w:rPr>
          <w:rFonts w:cs="Arial"/>
          <w:szCs w:val="20"/>
        </w:rPr>
        <w:t xml:space="preserve">technische apparatuur </w:t>
      </w:r>
      <w:r w:rsidRPr="00B65B22" w:rsidR="008028EC">
        <w:rPr>
          <w:rFonts w:cs="Arial"/>
          <w:szCs w:val="20"/>
        </w:rPr>
        <w:t>of andere soortgelijke goederen</w:t>
      </w:r>
      <w:r w:rsidRPr="00B65B22" w:rsidR="004B4FF1">
        <w:rPr>
          <w:rFonts w:cs="Arial"/>
          <w:szCs w:val="20"/>
        </w:rPr>
        <w:t xml:space="preserve"> </w:t>
      </w:r>
      <w:r w:rsidRPr="00B65B22" w:rsidR="00015B77">
        <w:rPr>
          <w:rFonts w:cs="Arial"/>
          <w:szCs w:val="20"/>
        </w:rPr>
        <w:t>die zich bevind</w:t>
      </w:r>
      <w:r w:rsidRPr="00B65B22" w:rsidR="008028EC">
        <w:rPr>
          <w:rFonts w:cs="Arial"/>
          <w:szCs w:val="20"/>
        </w:rPr>
        <w:t>en</w:t>
      </w:r>
      <w:r w:rsidRPr="00B65B22" w:rsidR="00015B77">
        <w:rPr>
          <w:rFonts w:cs="Arial"/>
          <w:szCs w:val="20"/>
        </w:rPr>
        <w:t xml:space="preserve"> in die andere </w:t>
      </w:r>
      <w:r w:rsidRPr="00B65B22" w:rsidR="00F00185">
        <w:rPr>
          <w:rFonts w:cs="Arial"/>
          <w:szCs w:val="20"/>
        </w:rPr>
        <w:t>s</w:t>
      </w:r>
      <w:r w:rsidRPr="00B65B22" w:rsidR="00015B77">
        <w:rPr>
          <w:rFonts w:cs="Arial"/>
          <w:szCs w:val="20"/>
        </w:rPr>
        <w:t>taa</w:t>
      </w:r>
      <w:r w:rsidRPr="00B65B22">
        <w:rPr>
          <w:rFonts w:cs="Arial"/>
          <w:szCs w:val="20"/>
        </w:rPr>
        <w:t>t</w:t>
      </w:r>
      <w:r w:rsidRPr="00B65B22" w:rsidR="00015B77">
        <w:rPr>
          <w:rFonts w:cs="Arial"/>
          <w:szCs w:val="20"/>
        </w:rPr>
        <w:t xml:space="preserve"> </w:t>
      </w:r>
      <w:r w:rsidRPr="00B65B22" w:rsidR="008028EC">
        <w:rPr>
          <w:rFonts w:cs="Arial"/>
          <w:szCs w:val="20"/>
        </w:rPr>
        <w:t>en</w:t>
      </w:r>
      <w:r w:rsidRPr="00B65B22" w:rsidR="00015B77">
        <w:rPr>
          <w:rFonts w:cs="Arial"/>
          <w:szCs w:val="20"/>
        </w:rPr>
        <w:t xml:space="preserve"> </w:t>
      </w:r>
      <w:r w:rsidRPr="00B65B22" w:rsidR="006A0856">
        <w:rPr>
          <w:rFonts w:cs="Arial"/>
          <w:szCs w:val="20"/>
        </w:rPr>
        <w:t xml:space="preserve">die </w:t>
      </w:r>
      <w:r w:rsidRPr="00B65B22" w:rsidR="004B4FF1">
        <w:rPr>
          <w:rFonts w:cs="Arial"/>
          <w:szCs w:val="20"/>
        </w:rPr>
        <w:t xml:space="preserve">direct </w:t>
      </w:r>
      <w:r w:rsidRPr="00B65B22" w:rsidR="00015B77">
        <w:rPr>
          <w:rFonts w:cs="Arial"/>
          <w:szCs w:val="20"/>
        </w:rPr>
        <w:t>word</w:t>
      </w:r>
      <w:r w:rsidRPr="00B65B22" w:rsidR="008028EC">
        <w:rPr>
          <w:rFonts w:cs="Arial"/>
          <w:szCs w:val="20"/>
        </w:rPr>
        <w:t>en</w:t>
      </w:r>
      <w:r w:rsidRPr="00B65B22" w:rsidR="00015B77">
        <w:rPr>
          <w:rFonts w:cs="Arial"/>
          <w:szCs w:val="20"/>
        </w:rPr>
        <w:t xml:space="preserve"> gebruikt bij </w:t>
      </w:r>
      <w:r w:rsidRPr="00B65B22" w:rsidR="008028EC">
        <w:rPr>
          <w:rFonts w:cs="Arial"/>
          <w:szCs w:val="20"/>
        </w:rPr>
        <w:t>de werkzaamheden buitengaats</w:t>
      </w:r>
      <w:r w:rsidRPr="00B65B22" w:rsidR="006A0856">
        <w:rPr>
          <w:rFonts w:cs="Arial"/>
          <w:szCs w:val="20"/>
        </w:rPr>
        <w:t>,</w:t>
      </w:r>
      <w:r w:rsidRPr="00B65B22" w:rsidR="00015B77">
        <w:rPr>
          <w:rFonts w:cs="Arial"/>
          <w:szCs w:val="20"/>
        </w:rPr>
        <w:t xml:space="preserve"> bedoeld in het derde lid van dit </w:t>
      </w:r>
      <w:r w:rsidRPr="00B65B22">
        <w:rPr>
          <w:rFonts w:cs="Arial"/>
          <w:szCs w:val="20"/>
        </w:rPr>
        <w:t>a</w:t>
      </w:r>
      <w:r w:rsidRPr="00B65B22" w:rsidR="00015B77">
        <w:rPr>
          <w:rFonts w:cs="Arial"/>
          <w:szCs w:val="20"/>
        </w:rPr>
        <w:t>rtikel</w:t>
      </w:r>
      <w:r w:rsidRPr="00B65B22" w:rsidR="008028EC">
        <w:rPr>
          <w:rFonts w:cs="Arial"/>
          <w:szCs w:val="20"/>
        </w:rPr>
        <w:t>;</w:t>
      </w:r>
      <w:r w:rsidRPr="00B65B22">
        <w:rPr>
          <w:rFonts w:cs="Arial"/>
          <w:szCs w:val="20"/>
        </w:rPr>
        <w:t xml:space="preserve"> </w:t>
      </w:r>
      <w:r w:rsidRPr="00B65B22" w:rsidR="008028EC">
        <w:rPr>
          <w:rFonts w:cs="Arial"/>
          <w:szCs w:val="20"/>
        </w:rPr>
        <w:t>of</w:t>
      </w:r>
      <w:r w:rsidRPr="00B65B22">
        <w:rPr>
          <w:rFonts w:cs="Arial"/>
          <w:szCs w:val="20"/>
        </w:rPr>
        <w:t xml:space="preserve"> </w:t>
      </w:r>
    </w:p>
    <w:p w:rsidRPr="00B65B22" w:rsidR="00D14100" w:rsidP="00901C1E" w:rsidRDefault="0056618A" w14:paraId="3EBBF2E2" w14:textId="77777777">
      <w:pPr>
        <w:ind w:firstLine="0"/>
        <w:rPr>
          <w:rFonts w:cs="Arial"/>
          <w:szCs w:val="20"/>
        </w:rPr>
      </w:pPr>
      <w:r w:rsidRPr="00B65B22">
        <w:rPr>
          <w:rFonts w:cs="Arial"/>
          <w:szCs w:val="20"/>
        </w:rPr>
        <w:t>(c) aandelen waarvan de waarde voor meer dan 50% direct of indirect verband houdt met dergelijke rechten</w:t>
      </w:r>
      <w:r w:rsidRPr="00B65B22" w:rsidR="00470F8D">
        <w:rPr>
          <w:rFonts w:cs="Arial"/>
          <w:szCs w:val="20"/>
        </w:rPr>
        <w:t xml:space="preserve"> of goederen of </w:t>
      </w:r>
      <w:r w:rsidRPr="00B65B22" w:rsidR="006A0856">
        <w:rPr>
          <w:rFonts w:cs="Arial"/>
          <w:szCs w:val="20"/>
        </w:rPr>
        <w:t xml:space="preserve">met dergelijke </w:t>
      </w:r>
      <w:r w:rsidRPr="00B65B22" w:rsidR="00FE6066">
        <w:rPr>
          <w:rFonts w:cs="Arial"/>
          <w:szCs w:val="20"/>
        </w:rPr>
        <w:t xml:space="preserve">rechten </w:t>
      </w:r>
      <w:r w:rsidRPr="00B65B22" w:rsidR="006A0856">
        <w:rPr>
          <w:rFonts w:cs="Arial"/>
          <w:szCs w:val="20"/>
        </w:rPr>
        <w:t xml:space="preserve">en </w:t>
      </w:r>
      <w:r w:rsidRPr="00B65B22" w:rsidR="00470F8D">
        <w:rPr>
          <w:rFonts w:cs="Arial"/>
          <w:szCs w:val="20"/>
        </w:rPr>
        <w:t>goederen gezamenlijk</w:t>
      </w:r>
      <w:r w:rsidRPr="00B65B22" w:rsidR="00705ECE">
        <w:rPr>
          <w:rFonts w:cs="Arial"/>
          <w:szCs w:val="20"/>
        </w:rPr>
        <w:t>;</w:t>
      </w:r>
      <w:r w:rsidRPr="00B65B22" w:rsidR="006727A9">
        <w:rPr>
          <w:rFonts w:cs="Arial"/>
          <w:szCs w:val="20"/>
        </w:rPr>
        <w:t xml:space="preserve"> </w:t>
      </w:r>
    </w:p>
    <w:p w:rsidRPr="00B65B22" w:rsidR="000B59B2" w:rsidP="002106E8" w:rsidRDefault="006727A9" w14:paraId="4B619F05" w14:textId="77777777">
      <w:pPr>
        <w:ind w:firstLine="0"/>
        <w:rPr>
          <w:rFonts w:cs="Arial"/>
          <w:szCs w:val="20"/>
        </w:rPr>
      </w:pPr>
      <w:r w:rsidRPr="00B65B22">
        <w:rPr>
          <w:rFonts w:cs="Arial"/>
          <w:szCs w:val="20"/>
        </w:rPr>
        <w:t xml:space="preserve">in die andere </w:t>
      </w:r>
      <w:r w:rsidRPr="00B65B22" w:rsidR="003D0A2C">
        <w:rPr>
          <w:rFonts w:cs="Arial"/>
          <w:szCs w:val="20"/>
        </w:rPr>
        <w:t>s</w:t>
      </w:r>
      <w:r w:rsidRPr="00B65B22">
        <w:rPr>
          <w:rFonts w:cs="Arial"/>
          <w:szCs w:val="20"/>
        </w:rPr>
        <w:t xml:space="preserve">taat </w:t>
      </w:r>
      <w:r w:rsidRPr="00B65B22" w:rsidR="00470F8D">
        <w:rPr>
          <w:rFonts w:cs="Arial"/>
          <w:szCs w:val="20"/>
        </w:rPr>
        <w:t xml:space="preserve">(situsstaat) </w:t>
      </w:r>
      <w:r w:rsidRPr="00B65B22">
        <w:rPr>
          <w:rFonts w:cs="Arial"/>
          <w:szCs w:val="20"/>
        </w:rPr>
        <w:t xml:space="preserve">worden belast. </w:t>
      </w:r>
    </w:p>
    <w:p w:rsidRPr="00B65B22" w:rsidR="007B6437" w:rsidP="00901C1E" w:rsidRDefault="007B6437" w14:paraId="7B1E5FA6" w14:textId="77777777">
      <w:pPr>
        <w:pStyle w:val="Kop2"/>
        <w:numPr>
          <w:ilvl w:val="1"/>
          <w:numId w:val="1"/>
        </w:numPr>
        <w:rPr>
          <w:b w:val="0"/>
          <w:i/>
        </w:rPr>
      </w:pPr>
      <w:r w:rsidRPr="00B65B22">
        <w:rPr>
          <w:b w:val="0"/>
          <w:i/>
        </w:rPr>
        <w:t>Overige inkomsten (artikel 20</w:t>
      </w:r>
      <w:r w:rsidRPr="00B65B22" w:rsidR="00F05AE9">
        <w:rPr>
          <w:b w:val="0"/>
          <w:i/>
        </w:rPr>
        <w:t xml:space="preserve"> van het Verdrag</w:t>
      </w:r>
      <w:r w:rsidRPr="00B65B22" w:rsidR="000E6839">
        <w:rPr>
          <w:b w:val="0"/>
          <w:i/>
        </w:rPr>
        <w:t xml:space="preserve"> en artikel 2 van het Protocol</w:t>
      </w:r>
      <w:r w:rsidRPr="00B65B22">
        <w:rPr>
          <w:b w:val="0"/>
          <w:i/>
        </w:rPr>
        <w:t xml:space="preserve">) </w:t>
      </w:r>
    </w:p>
    <w:p w:rsidRPr="00B65B22" w:rsidR="005F0200" w:rsidP="00901C1E" w:rsidRDefault="005F0200" w14:paraId="57486587" w14:textId="77777777">
      <w:pPr>
        <w:ind w:firstLine="708"/>
      </w:pPr>
      <w:r w:rsidRPr="00B65B22">
        <w:t xml:space="preserve">Artikel 20 </w:t>
      </w:r>
      <w:r w:rsidRPr="00B65B22" w:rsidR="00266810">
        <w:t xml:space="preserve">van het Verdrag </w:t>
      </w:r>
      <w:r w:rsidRPr="00B65B22">
        <w:t xml:space="preserve">verdeelt het heffingsrecht over inkomsten ter zake waarvan het heffingsrecht niet in de voorgaande artikelen van het Verdrag is behandeld (‘overige inkomsten’). In lijn met het OESO-modelverdrag bepaalt het eerste lid dat het heffingsrecht over dit inkomen, ongeacht de herkomst ervan, exclusief toekomt aan de </w:t>
      </w:r>
      <w:r w:rsidRPr="00B65B22" w:rsidR="00AF2710">
        <w:t>verdragsluitende</w:t>
      </w:r>
      <w:r w:rsidRPr="00B65B22">
        <w:t xml:space="preserve"> </w:t>
      </w:r>
      <w:r w:rsidRPr="00B65B22" w:rsidR="00AF2710">
        <w:t>staat</w:t>
      </w:r>
      <w:r w:rsidRPr="00B65B22">
        <w:t xml:space="preserve"> waar de ontvanger van die inkomsten woont. </w:t>
      </w:r>
    </w:p>
    <w:p w:rsidRPr="00B65B22" w:rsidR="00E80A87" w:rsidP="005F0200" w:rsidRDefault="005F0200" w14:paraId="0F6BE08F" w14:textId="77777777">
      <w:pPr>
        <w:ind w:firstLine="720"/>
        <w:rPr>
          <w:rFonts w:cs="Arial"/>
          <w:szCs w:val="20"/>
        </w:rPr>
      </w:pPr>
      <w:r w:rsidRPr="00B65B22">
        <w:t xml:space="preserve">Ingevolge het tweede lid is het eerste lid niet van toepassing op inkomsten die toerekenbaar zijn aan een vaste inrichting gelegen in een </w:t>
      </w:r>
      <w:r w:rsidRPr="00B65B22" w:rsidR="00AF2710">
        <w:t>verdragsluitende</w:t>
      </w:r>
      <w:r w:rsidRPr="00B65B22">
        <w:t xml:space="preserve"> </w:t>
      </w:r>
      <w:r w:rsidRPr="00B65B22" w:rsidR="00AF2710">
        <w:t>staat</w:t>
      </w:r>
      <w:r w:rsidRPr="00B65B22">
        <w:t>. De verdeling van het heffingsrecht over die inkomsten volgt uit artikel 7 van het Verdrag</w:t>
      </w:r>
      <w:r w:rsidRPr="00B65B22" w:rsidR="00587712">
        <w:t xml:space="preserve"> (Winst uit onderneming)</w:t>
      </w:r>
      <w:r w:rsidRPr="00B65B22">
        <w:t>, tenzij het inkomsten betreft uit onroerende zaken in de zin van artikel 6</w:t>
      </w:r>
      <w:r w:rsidRPr="00B65B22" w:rsidR="00587712">
        <w:t xml:space="preserve"> (Inkomsten uit onroerende zaken)</w:t>
      </w:r>
      <w:r w:rsidRPr="00B65B22">
        <w:t xml:space="preserve">. In dat geval is artikel </w:t>
      </w:r>
      <w:r w:rsidRPr="00B65B22" w:rsidR="00436892">
        <w:t xml:space="preserve">7 </w:t>
      </w:r>
      <w:r w:rsidRPr="00B65B22">
        <w:t>van toepassing.</w:t>
      </w:r>
    </w:p>
    <w:p w:rsidRPr="00B65B22" w:rsidR="005F0200" w:rsidP="005F0200" w:rsidRDefault="00A11A8D" w14:paraId="389292BC" w14:textId="3A999BF0">
      <w:pPr>
        <w:ind w:firstLine="720"/>
      </w:pPr>
      <w:r>
        <w:rPr>
          <w:rFonts w:cs="Arial"/>
          <w:szCs w:val="20"/>
        </w:rPr>
        <w:t>Voor een toelichting op</w:t>
      </w:r>
      <w:r w:rsidRPr="00B65B22" w:rsidR="00E80A87">
        <w:rPr>
          <w:rFonts w:cs="Arial"/>
          <w:szCs w:val="20"/>
        </w:rPr>
        <w:t xml:space="preserve"> artikel 2, eerste lid, van het Protocol </w:t>
      </w:r>
      <w:r>
        <w:rPr>
          <w:rFonts w:cs="Arial"/>
          <w:szCs w:val="20"/>
        </w:rPr>
        <w:t>wordt verwezen naar de toelichting op artikel 10 van het Verdrag.</w:t>
      </w:r>
    </w:p>
    <w:p w:rsidRPr="00B65B22" w:rsidR="007B6437" w:rsidP="00901C1E" w:rsidRDefault="007B6437" w14:paraId="6A140665" w14:textId="77777777">
      <w:pPr>
        <w:pStyle w:val="Kop2"/>
        <w:numPr>
          <w:ilvl w:val="1"/>
          <w:numId w:val="1"/>
        </w:numPr>
        <w:rPr>
          <w:b w:val="0"/>
          <w:i/>
        </w:rPr>
      </w:pPr>
      <w:bookmarkStart w:name="_Ref323636103" w:id="1"/>
      <w:r w:rsidRPr="00B65B22">
        <w:rPr>
          <w:b w:val="0"/>
          <w:i/>
        </w:rPr>
        <w:t>Vermijding van dubbele belasting (artikel 21</w:t>
      </w:r>
      <w:r w:rsidRPr="00B65B22" w:rsidR="00F05AE9">
        <w:rPr>
          <w:b w:val="0"/>
          <w:i/>
        </w:rPr>
        <w:t xml:space="preserve"> van het Verdrag</w:t>
      </w:r>
      <w:r w:rsidRPr="00B65B22">
        <w:rPr>
          <w:b w:val="0"/>
          <w:i/>
        </w:rPr>
        <w:t>)</w:t>
      </w:r>
      <w:bookmarkEnd w:id="1"/>
    </w:p>
    <w:p w:rsidRPr="00363E1C" w:rsidR="007B6437" w:rsidP="007B6437" w:rsidRDefault="00DE70BD" w14:paraId="1D463134" w14:textId="77777777">
      <w:pPr>
        <w:ind w:firstLine="708"/>
      </w:pPr>
      <w:r w:rsidRPr="00B65B22">
        <w:t>In a</w:t>
      </w:r>
      <w:r w:rsidRPr="00CF0A8D" w:rsidR="00FF7126">
        <w:t xml:space="preserve">rtikel 21 </w:t>
      </w:r>
      <w:r w:rsidRPr="00CF0A8D">
        <w:t>is neergelegd</w:t>
      </w:r>
      <w:r w:rsidRPr="009C6DBA" w:rsidR="00FF7126">
        <w:t xml:space="preserve"> </w:t>
      </w:r>
      <w:r w:rsidRPr="009C6DBA" w:rsidR="007B6437">
        <w:t xml:space="preserve">op </w:t>
      </w:r>
      <w:r w:rsidRPr="009C6DBA" w:rsidR="00FF7126">
        <w:t xml:space="preserve">welke wijze de </w:t>
      </w:r>
      <w:r w:rsidRPr="009C6DBA" w:rsidR="00367AB9">
        <w:t>verdragsluitende</w:t>
      </w:r>
      <w:r w:rsidRPr="009C6DBA" w:rsidR="00FF7126">
        <w:t xml:space="preserve"> </w:t>
      </w:r>
      <w:r w:rsidRPr="009C6DBA" w:rsidR="00382354">
        <w:t>staten</w:t>
      </w:r>
      <w:r w:rsidRPr="009C6DBA" w:rsidR="00FF7126">
        <w:t xml:space="preserve"> </w:t>
      </w:r>
      <w:r w:rsidRPr="009C6DBA" w:rsidR="007B6437">
        <w:t>dubbele belasting</w:t>
      </w:r>
      <w:r w:rsidRPr="009C6DBA">
        <w:t xml:space="preserve"> vermijden</w:t>
      </w:r>
      <w:r w:rsidRPr="00111169" w:rsidR="00FF7126">
        <w:t>.</w:t>
      </w:r>
    </w:p>
    <w:p w:rsidRPr="00F83EE2" w:rsidR="00DE70BD" w:rsidP="00DE70BD" w:rsidRDefault="00DE70BD" w14:paraId="28DA4992" w14:textId="77777777">
      <w:pPr>
        <w:ind w:firstLine="708"/>
      </w:pPr>
      <w:r w:rsidRPr="00363E1C">
        <w:t xml:space="preserve">In het eerste tot en met het </w:t>
      </w:r>
      <w:r w:rsidRPr="00363E1C" w:rsidR="003D591B">
        <w:t xml:space="preserve">zesde </w:t>
      </w:r>
      <w:r w:rsidRPr="000F52B8">
        <w:t>lid is, in lijn me</w:t>
      </w:r>
      <w:r w:rsidRPr="002006EE">
        <w:t xml:space="preserve">t het Nederlandse verdragsbeleid, bepaald hoe Nederland voorziet in het vermijden van dubbele belasting voor inkomsten genoten door een inwoner van Nederland die volgens het Verdrag (ook) in </w:t>
      </w:r>
      <w:r w:rsidRPr="008B1145" w:rsidR="007559BA">
        <w:t>Cyprus</w:t>
      </w:r>
      <w:r w:rsidRPr="00F83EE2" w:rsidR="007559BA">
        <w:t xml:space="preserve"> </w:t>
      </w:r>
      <w:r w:rsidRPr="00F83EE2">
        <w:t>mogen worden belast.</w:t>
      </w:r>
    </w:p>
    <w:p w:rsidRPr="009037FC" w:rsidR="00DE70BD" w:rsidP="007B6437" w:rsidRDefault="00DE70BD" w14:paraId="594529EC" w14:textId="77777777">
      <w:pPr>
        <w:ind w:firstLine="708"/>
      </w:pPr>
      <w:r w:rsidRPr="005B15A0">
        <w:t xml:space="preserve">Uit het eerste lid volgt expliciet dat Nederland de inkomsten die (ook) in </w:t>
      </w:r>
      <w:r w:rsidRPr="00FC1494" w:rsidR="007559BA">
        <w:t xml:space="preserve">Cyprus </w:t>
      </w:r>
      <w:r w:rsidRPr="001F45C0">
        <w:t xml:space="preserve">mogen worden belast in de grondslag mag betrekken waarnaar de Nederlandse belasting wordt geheven. Daarmee wordt ook bevestigd dat Nederland de tariefprogressie die met name in de inkomstenbelasting gestalte krijgt ook met betrekking tot inkomsten uit </w:t>
      </w:r>
      <w:r w:rsidRPr="009037FC" w:rsidR="007559BA">
        <w:t xml:space="preserve">Cyprus </w:t>
      </w:r>
      <w:r w:rsidRPr="009037FC" w:rsidR="00FD2D3E">
        <w:t xml:space="preserve">kan </w:t>
      </w:r>
      <w:r w:rsidRPr="009037FC">
        <w:t xml:space="preserve">effectueren. </w:t>
      </w:r>
    </w:p>
    <w:p w:rsidRPr="00B65B22" w:rsidR="007559BA" w:rsidP="007559BA" w:rsidRDefault="007B6437" w14:paraId="4D66324D" w14:textId="77777777">
      <w:pPr>
        <w:ind w:firstLine="708"/>
        <w:rPr>
          <w:rFonts w:cs="Arial"/>
        </w:rPr>
      </w:pPr>
      <w:r w:rsidRPr="009037FC">
        <w:rPr>
          <w:rFonts w:cs="Arial"/>
        </w:rPr>
        <w:t>Het tweede lid bepaalt vervolgens dat voor de daar genoemde inkomsten</w:t>
      </w:r>
      <w:r w:rsidRPr="00D40037">
        <w:rPr>
          <w:rFonts w:cs="Arial"/>
        </w:rPr>
        <w:t xml:space="preserve"> </w:t>
      </w:r>
      <w:r w:rsidRPr="00B65B22">
        <w:rPr>
          <w:rFonts w:cs="Arial"/>
        </w:rPr>
        <w:t>belastingvermindering wordt verleend volgens de vrijstellingsmethode</w:t>
      </w:r>
      <w:r w:rsidRPr="00B65B22" w:rsidR="00DD182D">
        <w:rPr>
          <w:rFonts w:cs="Arial"/>
        </w:rPr>
        <w:t>. Met betrekking tot de vennoot</w:t>
      </w:r>
      <w:r w:rsidRPr="00B65B22">
        <w:rPr>
          <w:rFonts w:cs="Arial"/>
        </w:rPr>
        <w:t xml:space="preserve">schapsbelasting wordt daarbij het volgende opgemerkt. </w:t>
      </w:r>
      <w:r w:rsidRPr="00B65B22" w:rsidR="00695593">
        <w:rPr>
          <w:rFonts w:cs="Arial"/>
        </w:rPr>
        <w:t>In</w:t>
      </w:r>
      <w:r w:rsidRPr="00B65B22">
        <w:rPr>
          <w:rFonts w:cs="Arial"/>
        </w:rPr>
        <w:t xml:space="preserve"> afdeling 2.10a Wet Vpb 1969 </w:t>
      </w:r>
      <w:r w:rsidRPr="00B65B22" w:rsidR="00695593">
        <w:rPr>
          <w:rFonts w:cs="Arial"/>
        </w:rPr>
        <w:t xml:space="preserve">is </w:t>
      </w:r>
      <w:r w:rsidRPr="00B65B22">
        <w:rPr>
          <w:rFonts w:cs="Arial"/>
        </w:rPr>
        <w:t>de zogenoemde objectvrijstelling voor buitenlandse ondernemingswinsten opgenomen. Toegespitst op het onderhavig</w:t>
      </w:r>
      <w:r w:rsidRPr="00B65B22" w:rsidR="00DD182D">
        <w:rPr>
          <w:rFonts w:cs="Arial"/>
        </w:rPr>
        <w:t xml:space="preserve">e </w:t>
      </w:r>
      <w:r w:rsidRPr="00B65B22" w:rsidR="00AC7ADB">
        <w:rPr>
          <w:rFonts w:cs="Arial"/>
        </w:rPr>
        <w:t>V</w:t>
      </w:r>
      <w:r w:rsidRPr="00B65B22" w:rsidR="00DD182D">
        <w:rPr>
          <w:rFonts w:cs="Arial"/>
        </w:rPr>
        <w:t>erdrag wordt op basis van deze objectvrijstelling</w:t>
      </w:r>
      <w:r w:rsidRPr="00B65B22">
        <w:rPr>
          <w:rFonts w:cs="Arial"/>
        </w:rPr>
        <w:t xml:space="preserve"> bij een belastingplichtige met winst uit </w:t>
      </w:r>
      <w:r w:rsidRPr="00B65B22" w:rsidR="007559BA">
        <w:rPr>
          <w:rFonts w:cs="Arial"/>
        </w:rPr>
        <w:t>Cyprus</w:t>
      </w:r>
      <w:r w:rsidRPr="00B65B22">
        <w:rPr>
          <w:rFonts w:cs="Arial"/>
        </w:rPr>
        <w:t xml:space="preserve"> de winst verminderd met de positieve en de negatieve bedragen van de winst uit </w:t>
      </w:r>
      <w:r w:rsidRPr="00B65B22" w:rsidR="007559BA">
        <w:rPr>
          <w:rFonts w:cs="Arial"/>
        </w:rPr>
        <w:t>Cyprus</w:t>
      </w:r>
      <w:r w:rsidRPr="00B65B22">
        <w:rPr>
          <w:rFonts w:cs="Arial"/>
        </w:rPr>
        <w:t xml:space="preserve"> die op basis van het Verdrag mede aan </w:t>
      </w:r>
      <w:r w:rsidRPr="00B65B22" w:rsidR="007559BA">
        <w:rPr>
          <w:rFonts w:cs="Arial"/>
        </w:rPr>
        <w:t xml:space="preserve">Cyprus </w:t>
      </w:r>
      <w:r w:rsidRPr="00B65B22">
        <w:rPr>
          <w:rFonts w:cs="Arial"/>
        </w:rPr>
        <w:t xml:space="preserve">ter heffing is toegewezen en waarvoor Nederland op basis van </w:t>
      </w:r>
      <w:r w:rsidRPr="00B65B22" w:rsidR="00DD182D">
        <w:rPr>
          <w:rFonts w:cs="Arial"/>
        </w:rPr>
        <w:t>de onderhavige bepaling</w:t>
      </w:r>
      <w:r w:rsidRPr="00B65B22">
        <w:rPr>
          <w:rFonts w:cs="Arial"/>
        </w:rPr>
        <w:t xml:space="preserve"> voor positieve bedragen een vrijstelling dient te verlenen.</w:t>
      </w:r>
      <w:r w:rsidRPr="00B65B22" w:rsidR="00A0740C">
        <w:rPr>
          <w:rFonts w:cs="Arial"/>
        </w:rPr>
        <w:t xml:space="preserve"> Voor de toepassing van het tweede lid </w:t>
      </w:r>
      <w:r w:rsidRPr="00B65B22">
        <w:rPr>
          <w:rFonts w:cs="Arial"/>
        </w:rPr>
        <w:t>houdt</w:t>
      </w:r>
      <w:r w:rsidRPr="00B65B22" w:rsidR="00A0740C">
        <w:rPr>
          <w:rFonts w:cs="Arial"/>
        </w:rPr>
        <w:t xml:space="preserve"> dit</w:t>
      </w:r>
      <w:r w:rsidRPr="00B65B22">
        <w:rPr>
          <w:rFonts w:cs="Arial"/>
        </w:rPr>
        <w:t xml:space="preserve"> in dat </w:t>
      </w:r>
      <w:r w:rsidRPr="00B65B22" w:rsidR="00A0740C">
        <w:rPr>
          <w:rFonts w:cs="Arial"/>
        </w:rPr>
        <w:t xml:space="preserve">door </w:t>
      </w:r>
      <w:r w:rsidRPr="00B65B22">
        <w:rPr>
          <w:rFonts w:cs="Arial"/>
        </w:rPr>
        <w:t xml:space="preserve">de objectvrijstelling de desbetreffende uit </w:t>
      </w:r>
      <w:r w:rsidRPr="00B65B22" w:rsidR="007559BA">
        <w:rPr>
          <w:rFonts w:cs="Arial"/>
        </w:rPr>
        <w:t xml:space="preserve">Cyprus </w:t>
      </w:r>
      <w:r w:rsidRPr="00B65B22">
        <w:rPr>
          <w:rFonts w:cs="Arial"/>
        </w:rPr>
        <w:t xml:space="preserve">afkomstige (en aan </w:t>
      </w:r>
      <w:r w:rsidRPr="00B65B22" w:rsidR="007559BA">
        <w:rPr>
          <w:rFonts w:cs="Arial"/>
        </w:rPr>
        <w:t xml:space="preserve">Cyprus </w:t>
      </w:r>
      <w:r w:rsidRPr="00B65B22">
        <w:rPr>
          <w:rFonts w:cs="Arial"/>
        </w:rPr>
        <w:t xml:space="preserve">ter heffing toegewezen) winsten per saldo geen deel meer uitmaken van de in het </w:t>
      </w:r>
      <w:r w:rsidRPr="00B65B22" w:rsidR="00A0740C">
        <w:rPr>
          <w:rFonts w:cs="Arial"/>
        </w:rPr>
        <w:t xml:space="preserve">eerste </w:t>
      </w:r>
      <w:r w:rsidRPr="00B65B22">
        <w:rPr>
          <w:rFonts w:cs="Arial"/>
        </w:rPr>
        <w:t xml:space="preserve">lid bedoelde grondslag waarover de vennootschapsbelasting wordt geheven. </w:t>
      </w:r>
      <w:r w:rsidRPr="00B65B22" w:rsidR="00680170">
        <w:rPr>
          <w:rFonts w:cs="Arial"/>
        </w:rPr>
        <w:t xml:space="preserve">Daarom </w:t>
      </w:r>
      <w:r w:rsidRPr="00B65B22">
        <w:rPr>
          <w:rFonts w:cs="Arial"/>
        </w:rPr>
        <w:t xml:space="preserve">behoeft de </w:t>
      </w:r>
      <w:r w:rsidRPr="00B65B22" w:rsidR="00A178A4">
        <w:rPr>
          <w:rFonts w:cs="Arial"/>
        </w:rPr>
        <w:t xml:space="preserve">in </w:t>
      </w:r>
      <w:r w:rsidRPr="00B65B22">
        <w:rPr>
          <w:rFonts w:cs="Arial"/>
        </w:rPr>
        <w:t>het tweede lid opgenomen vrijstellingsmethode hierop geen toepassing meer te vinden en wordt door de toepassing van de objectvrijstelling in feite voorzien in het vermijden van dubbele belastingheffing. Aangezien de objectvrijstelling niet geldt voor de inkomstenbelasting</w:t>
      </w:r>
      <w:r w:rsidRPr="00B65B22" w:rsidR="00F44636">
        <w:rPr>
          <w:rFonts w:cs="Arial"/>
        </w:rPr>
        <w:t>,</w:t>
      </w:r>
      <w:r w:rsidRPr="00B65B22">
        <w:rPr>
          <w:rFonts w:cs="Arial"/>
        </w:rPr>
        <w:t xml:space="preserve"> blijft de in </w:t>
      </w:r>
      <w:r w:rsidRPr="00B65B22" w:rsidR="00A0740C">
        <w:rPr>
          <w:rFonts w:cs="Arial"/>
        </w:rPr>
        <w:t>de onderhavige bepaling</w:t>
      </w:r>
      <w:r w:rsidRPr="00B65B22">
        <w:rPr>
          <w:rFonts w:cs="Arial"/>
        </w:rPr>
        <w:t xml:space="preserve"> opgenomen vrijstellingsmethode onverkort van belang </w:t>
      </w:r>
      <w:r w:rsidRPr="00B65B22" w:rsidR="00A0740C">
        <w:rPr>
          <w:rFonts w:cs="Arial"/>
        </w:rPr>
        <w:t>voor</w:t>
      </w:r>
      <w:r w:rsidRPr="00B65B22">
        <w:rPr>
          <w:rFonts w:cs="Arial"/>
        </w:rPr>
        <w:t xml:space="preserve"> de in dit onderdeel bedoelde inkomsten van natuurlijke personen.</w:t>
      </w:r>
    </w:p>
    <w:p w:rsidRPr="00B65B22" w:rsidR="00D13F0C" w:rsidP="00D13F0C" w:rsidRDefault="00D13F0C" w14:paraId="64A49F91" w14:textId="77777777">
      <w:pPr>
        <w:ind w:firstLine="720"/>
        <w:rPr>
          <w:rFonts w:cs="Arial"/>
          <w:szCs w:val="20"/>
        </w:rPr>
      </w:pPr>
      <w:r w:rsidRPr="00B65B22">
        <w:rPr>
          <w:rFonts w:cs="Arial"/>
          <w:szCs w:val="20"/>
        </w:rPr>
        <w:t>Het derde lid vloeit voort uit actiepunt 2 van het BEPS-project en heeft betrekking op de toepassing van de in het tweede lid opgenomen vrijstellingsmethode</w:t>
      </w:r>
      <w:r w:rsidRPr="00B65B22" w:rsidR="000775DA">
        <w:rPr>
          <w:rFonts w:cs="Arial"/>
          <w:szCs w:val="20"/>
        </w:rPr>
        <w:t>.</w:t>
      </w:r>
      <w:r w:rsidRPr="00B65B22">
        <w:rPr>
          <w:rFonts w:cs="Arial"/>
          <w:szCs w:val="20"/>
        </w:rPr>
        <w:t xml:space="preserve"> Op grond van deze bepaling is Nederland niet gehouden de vrijstellingsmethode toe te passen voor inkomen dat op basis van de bepalingen van het Verdrag door Cyprus wordt vrijgesteld</w:t>
      </w:r>
      <w:r w:rsidRPr="00B65B22" w:rsidR="003A7AF9">
        <w:rPr>
          <w:rFonts w:cs="Arial"/>
          <w:szCs w:val="20"/>
        </w:rPr>
        <w:t xml:space="preserve">. </w:t>
      </w:r>
      <w:r w:rsidRPr="00B65B22">
        <w:rPr>
          <w:rFonts w:cs="Arial"/>
          <w:szCs w:val="20"/>
        </w:rPr>
        <w:t xml:space="preserve">Hiermee wordt voorkomen dat inkomen als gevolg van een verschillende toepassing van de verdragsbepalingen in beide verdragsluitende staten geheel niet of maar ten dele in de belastingheffing wordt betrokken. </w:t>
      </w:r>
    </w:p>
    <w:p w:rsidRPr="00B65B22" w:rsidR="007B6437" w:rsidP="00B910DE" w:rsidRDefault="00D04C88" w14:paraId="1A8A7796" w14:textId="77777777">
      <w:r w:rsidRPr="00B65B22">
        <w:t>In</w:t>
      </w:r>
      <w:r w:rsidRPr="00B65B22" w:rsidR="007B6437">
        <w:t xml:space="preserve"> het </w:t>
      </w:r>
      <w:r w:rsidRPr="00B65B22" w:rsidR="007559BA">
        <w:t xml:space="preserve">vierde </w:t>
      </w:r>
      <w:r w:rsidRPr="00B65B22" w:rsidR="007B6437">
        <w:t xml:space="preserve">lid </w:t>
      </w:r>
      <w:r w:rsidRPr="00B65B22">
        <w:t xml:space="preserve">wordt </w:t>
      </w:r>
      <w:r w:rsidRPr="00B65B22" w:rsidR="007B6437">
        <w:t xml:space="preserve">voor andere inkomsten waarover </w:t>
      </w:r>
      <w:r w:rsidRPr="00B65B22" w:rsidR="00CA5C8A">
        <w:t xml:space="preserve">(ook) </w:t>
      </w:r>
      <w:r w:rsidRPr="00B65B22" w:rsidR="007559BA">
        <w:t>Cyprus</w:t>
      </w:r>
      <w:r w:rsidRPr="00B65B22" w:rsidR="007B6437">
        <w:t xml:space="preserve"> belasting mag heffen</w:t>
      </w:r>
      <w:r w:rsidRPr="00B65B22" w:rsidR="00DE70BD">
        <w:t>,</w:t>
      </w:r>
      <w:r w:rsidRPr="00B65B22" w:rsidR="007B6437">
        <w:t xml:space="preserve"> uitgewerkt dat Nederland in die gevallen een </w:t>
      </w:r>
      <w:r w:rsidRPr="00B65B22" w:rsidR="00695593">
        <w:t>vermindering</w:t>
      </w:r>
      <w:r w:rsidRPr="00B65B22" w:rsidR="00682C6F">
        <w:t xml:space="preserve"> </w:t>
      </w:r>
      <w:r w:rsidRPr="00B65B22" w:rsidR="007B6437">
        <w:t>ter vermijding van dubbele belasting verleent volgens de verrekeningsmethode met evenredigheidslimiet. Het betreft dividend</w:t>
      </w:r>
      <w:r w:rsidRPr="00B65B22">
        <w:t>en</w:t>
      </w:r>
      <w:r w:rsidRPr="00B65B22" w:rsidR="007B6437">
        <w:t xml:space="preserve">, </w:t>
      </w:r>
      <w:r w:rsidRPr="00B65B22" w:rsidR="00553083">
        <w:t>vermogenswinsten</w:t>
      </w:r>
      <w:r w:rsidRPr="00B65B22" w:rsidR="007B6437">
        <w:t xml:space="preserve">, </w:t>
      </w:r>
      <w:r w:rsidRPr="00B65B22" w:rsidR="000A3544">
        <w:t xml:space="preserve">inkomen uit arbeid verricht aan boord van een schip of </w:t>
      </w:r>
      <w:r w:rsidRPr="00B65B22" w:rsidR="00266810">
        <w:t>luchtvaar</w:t>
      </w:r>
      <w:r w:rsidRPr="00B65B22" w:rsidR="000A3544">
        <w:t>tuig geëxploiteerd in het international</w:t>
      </w:r>
      <w:r w:rsidRPr="00B65B22" w:rsidR="00266810">
        <w:t>e</w:t>
      </w:r>
      <w:r w:rsidRPr="00B65B22" w:rsidR="000A3544">
        <w:t xml:space="preserve"> verkeer door een onderneming waarvan de </w:t>
      </w:r>
      <w:r w:rsidRPr="00B65B22" w:rsidR="009A1AED">
        <w:t xml:space="preserve">feitelijke </w:t>
      </w:r>
      <w:r w:rsidRPr="00B65B22" w:rsidR="000A3544">
        <w:t xml:space="preserve">leiding </w:t>
      </w:r>
      <w:r w:rsidRPr="00B65B22" w:rsidR="00294846">
        <w:t xml:space="preserve">zich </w:t>
      </w:r>
      <w:r w:rsidRPr="00B65B22" w:rsidR="000A3544">
        <w:t xml:space="preserve">in Cyprus </w:t>
      </w:r>
      <w:r w:rsidRPr="00B65B22" w:rsidR="00294846">
        <w:t>bevindt</w:t>
      </w:r>
      <w:r w:rsidRPr="00B65B22" w:rsidR="000A3544">
        <w:t xml:space="preserve">, </w:t>
      </w:r>
      <w:r w:rsidRPr="00B65B22" w:rsidR="007B6437">
        <w:t xml:space="preserve">inkomen van </w:t>
      </w:r>
      <w:r w:rsidRPr="00B65B22" w:rsidR="00553083">
        <w:t xml:space="preserve">bestuurders </w:t>
      </w:r>
      <w:r w:rsidRPr="00B65B22">
        <w:t xml:space="preserve">en </w:t>
      </w:r>
      <w:r w:rsidRPr="00B65B22" w:rsidR="005246D9">
        <w:t>afkoopsommen van pensioenen</w:t>
      </w:r>
      <w:r w:rsidRPr="00B65B22" w:rsidR="00DE70BD">
        <w:t xml:space="preserve"> waarvoor een bronstaatheffing geldt</w:t>
      </w:r>
      <w:r w:rsidRPr="00B65B22" w:rsidR="007B6437">
        <w:t xml:space="preserve">. </w:t>
      </w:r>
      <w:r w:rsidRPr="00B65B22" w:rsidR="007541F3">
        <w:t xml:space="preserve">Voorts </w:t>
      </w:r>
      <w:r w:rsidRPr="00B65B22" w:rsidR="00931D81">
        <w:t>wordt</w:t>
      </w:r>
      <w:r w:rsidRPr="00B65B22" w:rsidR="007541F3">
        <w:t xml:space="preserve"> </w:t>
      </w:r>
      <w:r w:rsidRPr="00B65B22" w:rsidR="00931D81">
        <w:t xml:space="preserve">in het vijfde lid </w:t>
      </w:r>
      <w:r w:rsidRPr="00B65B22" w:rsidR="007541F3">
        <w:t xml:space="preserve">expliciet vastgelegd dat de bepalingen van </w:t>
      </w:r>
      <w:r w:rsidRPr="00B65B22" w:rsidR="00931D81">
        <w:t>het</w:t>
      </w:r>
      <w:r w:rsidRPr="00B65B22" w:rsidR="007541F3">
        <w:t xml:space="preserve"> </w:t>
      </w:r>
      <w:r w:rsidRPr="00B65B22" w:rsidR="00931D81">
        <w:t>vierde</w:t>
      </w:r>
      <w:r w:rsidRPr="00B65B22" w:rsidR="007541F3">
        <w:t xml:space="preserve"> lid niet afdoen aan, kort gezegd, de in de Nederlandse regelgeving vastgelegde "gezamenlijke methode" en voortwentelingsmogelijkheid bij de verrekening van </w:t>
      </w:r>
      <w:r w:rsidRPr="00B65B22" w:rsidR="00834451">
        <w:t xml:space="preserve">Cypriotische </w:t>
      </w:r>
      <w:r w:rsidRPr="00B65B22" w:rsidR="007541F3">
        <w:t>belasting.</w:t>
      </w:r>
    </w:p>
    <w:p w:rsidRPr="00B65B22" w:rsidR="007B6437" w:rsidP="007B6437" w:rsidRDefault="007B6437" w14:paraId="4D1A7D46" w14:textId="77777777">
      <w:pPr>
        <w:ind w:firstLine="708"/>
      </w:pPr>
      <w:r w:rsidRPr="00B65B22">
        <w:t xml:space="preserve">In het </w:t>
      </w:r>
      <w:r w:rsidRPr="00B65B22" w:rsidR="000A3544">
        <w:t xml:space="preserve">zesde </w:t>
      </w:r>
      <w:r w:rsidRPr="00B65B22">
        <w:t xml:space="preserve">lid is </w:t>
      </w:r>
      <w:r w:rsidRPr="00B65B22" w:rsidR="00F44636">
        <w:t xml:space="preserve">vastgelegd </w:t>
      </w:r>
      <w:r w:rsidRPr="00B65B22">
        <w:t>dat Nederland bij het vermijden van dubbele belasting</w:t>
      </w:r>
      <w:r w:rsidRPr="00B65B22" w:rsidR="00F44636">
        <w:t>,</w:t>
      </w:r>
      <w:r w:rsidRPr="00B65B22">
        <w:t xml:space="preserve"> over </w:t>
      </w:r>
      <w:r w:rsidRPr="00B65B22" w:rsidR="00D04C88">
        <w:t xml:space="preserve">winst behaald met een in </w:t>
      </w:r>
      <w:r w:rsidRPr="00B65B22" w:rsidR="007559BA">
        <w:t>Cyprus</w:t>
      </w:r>
      <w:r w:rsidRPr="00B65B22" w:rsidR="00D04C88">
        <w:t xml:space="preserve"> gelegen vaste inrichting</w:t>
      </w:r>
      <w:r w:rsidRPr="00B65B22">
        <w:t xml:space="preserve">, de verrekeningsmethode hanteert in plaats van de vrijstellingsmethode, indien </w:t>
      </w:r>
      <w:r w:rsidRPr="00B65B22" w:rsidR="00D04C88">
        <w:t xml:space="preserve">op grond van </w:t>
      </w:r>
      <w:r w:rsidRPr="00B65B22" w:rsidR="00DA0D1A">
        <w:t xml:space="preserve">de Nederlandse </w:t>
      </w:r>
      <w:r w:rsidRPr="00B65B22" w:rsidR="00DE70BD">
        <w:t xml:space="preserve">regelgeving </w:t>
      </w:r>
      <w:r w:rsidRPr="00B65B22">
        <w:t>die methode toepassing</w:t>
      </w:r>
      <w:r w:rsidRPr="00B65B22" w:rsidR="00DA0D1A">
        <w:t xml:space="preserve"> vindt </w:t>
      </w:r>
      <w:r w:rsidRPr="00B65B22">
        <w:t xml:space="preserve">bij het vermijden van dubbele belasting over </w:t>
      </w:r>
      <w:r w:rsidRPr="00B65B22" w:rsidR="00DE70BD">
        <w:t xml:space="preserve">die </w:t>
      </w:r>
      <w:r w:rsidRPr="00B65B22">
        <w:t>inkom</w:t>
      </w:r>
      <w:r w:rsidRPr="00B65B22" w:rsidR="00DE70BD">
        <w:t>st</w:t>
      </w:r>
      <w:r w:rsidRPr="00B65B22">
        <w:t xml:space="preserve">en. Dit is de zogenoemde ‘zwartegatenbepaling’. </w:t>
      </w:r>
      <w:r w:rsidRPr="00B65B22" w:rsidR="00DA0D1A">
        <w:rPr>
          <w:rFonts w:cs="Arial"/>
        </w:rPr>
        <w:t>Zo is bij</w:t>
      </w:r>
      <w:r w:rsidRPr="00B65B22">
        <w:rPr>
          <w:rFonts w:cs="Arial"/>
        </w:rPr>
        <w:t xml:space="preserve"> de hiervoor b</w:t>
      </w:r>
      <w:r w:rsidRPr="00B65B22" w:rsidR="00DA0D1A">
        <w:rPr>
          <w:rFonts w:cs="Arial"/>
        </w:rPr>
        <w:t xml:space="preserve">eschreven objectvrijstelling </w:t>
      </w:r>
      <w:r w:rsidRPr="00B65B22">
        <w:rPr>
          <w:rFonts w:cs="Arial"/>
        </w:rPr>
        <w:t xml:space="preserve">bepaald dat de objectvrijstelling niet geldt voor winst uit een laagbelaste buitenlandse beleggingsonderneming als bedoeld in artikel 15g Wet Vpb 1969; in dat geval wordt voorzien in een verrekening van de op die winst drukkende </w:t>
      </w:r>
      <w:r w:rsidRPr="00B65B22" w:rsidR="00DA0D1A">
        <w:rPr>
          <w:rFonts w:cs="Arial"/>
        </w:rPr>
        <w:t>buitenlandse</w:t>
      </w:r>
      <w:r w:rsidRPr="00B65B22">
        <w:rPr>
          <w:rFonts w:cs="Arial"/>
        </w:rPr>
        <w:t xml:space="preserve"> belasting op </w:t>
      </w:r>
      <w:r w:rsidRPr="00B65B22" w:rsidR="0004700F">
        <w:rPr>
          <w:rFonts w:cs="Arial"/>
        </w:rPr>
        <w:t>grond</w:t>
      </w:r>
      <w:r w:rsidRPr="00B65B22">
        <w:rPr>
          <w:rFonts w:cs="Arial"/>
        </w:rPr>
        <w:t xml:space="preserve"> van de in artikel 23d </w:t>
      </w:r>
      <w:r w:rsidRPr="00B65B22" w:rsidR="00BC3490">
        <w:rPr>
          <w:rFonts w:cs="Arial"/>
        </w:rPr>
        <w:t xml:space="preserve">Wet Vpb 1969 </w:t>
      </w:r>
      <w:r w:rsidRPr="00B65B22">
        <w:rPr>
          <w:rFonts w:cs="Arial"/>
        </w:rPr>
        <w:t xml:space="preserve">getroffen regeling. </w:t>
      </w:r>
      <w:r w:rsidRPr="00B65B22" w:rsidR="00DA0D1A">
        <w:rPr>
          <w:rFonts w:cs="Arial"/>
        </w:rPr>
        <w:t>Door opname van de onderhavige bepaling</w:t>
      </w:r>
      <w:r w:rsidRPr="00B65B22">
        <w:rPr>
          <w:rFonts w:cs="Arial"/>
        </w:rPr>
        <w:t xml:space="preserve"> kan Nederland deze in de Nederlandse wetgeving opgenomen regeling ter vermijding van dubbele belasting ook in </w:t>
      </w:r>
      <w:r w:rsidRPr="00B65B22" w:rsidR="00DA0D1A">
        <w:rPr>
          <w:rFonts w:cs="Arial"/>
        </w:rPr>
        <w:t>relatie tot</w:t>
      </w:r>
      <w:r w:rsidRPr="00B65B22">
        <w:rPr>
          <w:rFonts w:cs="Arial"/>
        </w:rPr>
        <w:t xml:space="preserve"> </w:t>
      </w:r>
      <w:r w:rsidRPr="00B65B22" w:rsidR="000A3544">
        <w:t>Cyprus</w:t>
      </w:r>
      <w:r w:rsidRPr="00B65B22">
        <w:rPr>
          <w:rFonts w:cs="Arial"/>
        </w:rPr>
        <w:t xml:space="preserve"> toepassen.</w:t>
      </w:r>
    </w:p>
    <w:p w:rsidRPr="00B65B22" w:rsidR="000A3544" w:rsidP="000A3544" w:rsidRDefault="000A3544" w14:paraId="0C44C0B9" w14:textId="77777777">
      <w:pPr>
        <w:ind w:firstLine="720"/>
        <w:rPr>
          <w:rFonts w:cs="Arial"/>
          <w:szCs w:val="20"/>
        </w:rPr>
      </w:pPr>
      <w:r w:rsidRPr="00B65B22">
        <w:rPr>
          <w:rFonts w:cs="Arial"/>
          <w:szCs w:val="20"/>
        </w:rPr>
        <w:t xml:space="preserve">In het zevende lid is neergelegd dat als een inwoner van Cyprus inkomsten ontvangt die volgens dit Verdrag </w:t>
      </w:r>
      <w:r w:rsidRPr="00B65B22" w:rsidR="001B68F8">
        <w:rPr>
          <w:rFonts w:cs="Arial"/>
          <w:szCs w:val="20"/>
        </w:rPr>
        <w:t xml:space="preserve">(ook) </w:t>
      </w:r>
      <w:r w:rsidRPr="00B65B22">
        <w:rPr>
          <w:rFonts w:cs="Arial"/>
          <w:szCs w:val="20"/>
        </w:rPr>
        <w:t>mogen worden belast in Nederland, Cyprus een vermindering ter vermijding van dubbele belasting verleent volgens de verrekeningsmethode</w:t>
      </w:r>
      <w:r w:rsidRPr="00B65B22" w:rsidR="00B3440C">
        <w:rPr>
          <w:rFonts w:cs="Arial"/>
          <w:szCs w:val="20"/>
        </w:rPr>
        <w:t>.</w:t>
      </w:r>
      <w:r w:rsidRPr="00B65B22">
        <w:rPr>
          <w:rFonts w:cs="Arial"/>
          <w:szCs w:val="20"/>
        </w:rPr>
        <w:t xml:space="preserve"> Daarbij staat Cyprus een aftrek toe van de in Nederland betaalde belasting maar tot ten hoogste het bedrag van de Cypriotische belasting die toerekenbaar is aan het inkomen dat belast mag worden door Nederland.</w:t>
      </w:r>
    </w:p>
    <w:p w:rsidRPr="00B65B22" w:rsidR="007B6437" w:rsidP="00901C1E" w:rsidRDefault="007B6437" w14:paraId="44A227F6" w14:textId="77777777">
      <w:pPr>
        <w:pStyle w:val="Kop2"/>
        <w:numPr>
          <w:ilvl w:val="1"/>
          <w:numId w:val="1"/>
        </w:numPr>
        <w:rPr>
          <w:b w:val="0"/>
          <w:i/>
        </w:rPr>
      </w:pPr>
      <w:r w:rsidRPr="00B65B22">
        <w:rPr>
          <w:b w:val="0"/>
          <w:i/>
        </w:rPr>
        <w:t xml:space="preserve">Non-discriminatie (artikel </w:t>
      </w:r>
      <w:r w:rsidRPr="00B65B22" w:rsidR="000A3544">
        <w:rPr>
          <w:b w:val="0"/>
          <w:i/>
        </w:rPr>
        <w:t>22</w:t>
      </w:r>
      <w:r w:rsidRPr="00B65B22" w:rsidR="00F05AE9">
        <w:rPr>
          <w:b w:val="0"/>
          <w:i/>
        </w:rPr>
        <w:t xml:space="preserve"> van het Verdrag</w:t>
      </w:r>
      <w:r w:rsidRPr="00B65B22">
        <w:rPr>
          <w:b w:val="0"/>
          <w:i/>
        </w:rPr>
        <w:t>)</w:t>
      </w:r>
    </w:p>
    <w:p w:rsidRPr="00B65B22" w:rsidR="007B6437" w:rsidP="007B6437" w:rsidRDefault="007B6437" w14:paraId="1BE3EF65" w14:textId="7191C83C">
      <w:r w:rsidRPr="00B65B22">
        <w:t xml:space="preserve">Artikel </w:t>
      </w:r>
      <w:r w:rsidRPr="00B65B22" w:rsidR="000A3544">
        <w:t xml:space="preserve">22 </w:t>
      </w:r>
      <w:r w:rsidRPr="00B65B22" w:rsidR="001B68F8">
        <w:t xml:space="preserve">van het Verdrag </w:t>
      </w:r>
      <w:r w:rsidRPr="00B65B22">
        <w:t xml:space="preserve">is </w:t>
      </w:r>
      <w:r w:rsidR="00D40037">
        <w:t>nagenoeg geheel</w:t>
      </w:r>
      <w:r w:rsidRPr="00D40037" w:rsidR="00D40037">
        <w:t xml:space="preserve"> </w:t>
      </w:r>
      <w:r w:rsidRPr="00B65B22">
        <w:t xml:space="preserve">gebaseerd op de </w:t>
      </w:r>
      <w:r w:rsidRPr="00B65B22" w:rsidR="00DC1A3E">
        <w:t>in</w:t>
      </w:r>
      <w:r w:rsidRPr="00B65B22">
        <w:t xml:space="preserve"> het OESO-modelverdrag </w:t>
      </w:r>
      <w:r w:rsidRPr="00B65B22" w:rsidR="00DC1A3E">
        <w:t>opgenomen non-discriminatiebepaling</w:t>
      </w:r>
      <w:r w:rsidRPr="00B65B22">
        <w:t xml:space="preserve">. </w:t>
      </w:r>
    </w:p>
    <w:p w:rsidRPr="00CF0A8D" w:rsidR="004F656C" w:rsidP="007B6437" w:rsidRDefault="007B6437" w14:paraId="1263C62B" w14:textId="77777777">
      <w:r w:rsidRPr="00CF0A8D">
        <w:t xml:space="preserve">Het eerste lid bevat het verbod op fiscale discriminatie naar nationaliteit. </w:t>
      </w:r>
    </w:p>
    <w:p w:rsidRPr="009C6DBA" w:rsidR="007B6437" w:rsidP="007B6437" w:rsidRDefault="007B6437" w14:paraId="18B6163F" w14:textId="77777777">
      <w:r w:rsidRPr="009C6DBA">
        <w:t xml:space="preserve">In het tweede lid is een bepaling opgenomen voor zogenoemde </w:t>
      </w:r>
      <w:r w:rsidRPr="009C6DBA" w:rsidR="00384089">
        <w:t>sta</w:t>
      </w:r>
      <w:r w:rsidRPr="009C6DBA" w:rsidR="00EF2A86">
        <w:t>a</w:t>
      </w:r>
      <w:r w:rsidRPr="009C6DBA" w:rsidR="00384089">
        <w:t>tloze</w:t>
      </w:r>
      <w:r w:rsidRPr="009C6DBA">
        <w:t xml:space="preserve"> personen.</w:t>
      </w:r>
    </w:p>
    <w:p w:rsidRPr="001F45C0" w:rsidR="007B6437" w:rsidP="007B6437" w:rsidRDefault="00490BEB" w14:paraId="1C803253" w14:textId="77777777">
      <w:r w:rsidRPr="00111169">
        <w:t>Uit</w:t>
      </w:r>
      <w:r w:rsidRPr="00363E1C" w:rsidR="007B6437">
        <w:t xml:space="preserve"> het derde lid </w:t>
      </w:r>
      <w:r w:rsidRPr="00363E1C">
        <w:t xml:space="preserve">volgt </w:t>
      </w:r>
      <w:r w:rsidRPr="00363E1C" w:rsidR="007B6437">
        <w:t xml:space="preserve">dat een </w:t>
      </w:r>
      <w:r w:rsidRPr="00363E1C" w:rsidR="00AF2710">
        <w:t>verdragsluitende</w:t>
      </w:r>
      <w:r w:rsidRPr="000F52B8" w:rsidR="007B6437">
        <w:t xml:space="preserve"> </w:t>
      </w:r>
      <w:r w:rsidRPr="002006EE" w:rsidR="00AF2710">
        <w:t>staat</w:t>
      </w:r>
      <w:r w:rsidRPr="008B1145" w:rsidR="007B6437">
        <w:t xml:space="preserve"> een vaste inrichting van een door een inwoner van de andere </w:t>
      </w:r>
      <w:r w:rsidRPr="00F83EE2" w:rsidR="00AF2710">
        <w:t>verdragsluitende</w:t>
      </w:r>
      <w:r w:rsidRPr="005B15A0" w:rsidR="007B6437">
        <w:t xml:space="preserve"> </w:t>
      </w:r>
      <w:r w:rsidRPr="005B15A0" w:rsidR="00AF2710">
        <w:t>staat</w:t>
      </w:r>
      <w:r w:rsidRPr="005B15A0" w:rsidR="007B6437">
        <w:t xml:space="preserve"> gedreven onderneming niet ongunstiger mag</w:t>
      </w:r>
      <w:r w:rsidRPr="00FC1494" w:rsidR="007B6437">
        <w:t xml:space="preserve"> behandelen dan de ondernemingen van de “eigen” inwoners. Deze staat is evenwel niet verplicht persoonlijke aftrekken en dergelijke te </w:t>
      </w:r>
      <w:r w:rsidRPr="00FC1494" w:rsidR="004F656C">
        <w:t>verlenen</w:t>
      </w:r>
      <w:r w:rsidRPr="001F45C0" w:rsidR="007B6437">
        <w:t>. Het uitgangspunt is immers dat met name de woonstaat van een belastingplichtige rekening moet houden met de persoonlijke omstandigheden van de belastingplichtige.</w:t>
      </w:r>
    </w:p>
    <w:p w:rsidRPr="00B65B22" w:rsidR="007B6437" w:rsidP="007B6437" w:rsidRDefault="007B6437" w14:paraId="7D175FE8" w14:textId="77777777">
      <w:r w:rsidRPr="009037FC">
        <w:t>In het</w:t>
      </w:r>
      <w:r w:rsidRPr="009037FC" w:rsidR="00C64BF4">
        <w:t xml:space="preserve"> vierde lid is vastgelegd dat</w:t>
      </w:r>
      <w:r w:rsidRPr="009037FC">
        <w:t xml:space="preserve"> </w:t>
      </w:r>
      <w:r w:rsidRPr="009037FC" w:rsidR="00C64BF4">
        <w:t>voor</w:t>
      </w:r>
      <w:r w:rsidRPr="009037FC">
        <w:t xml:space="preserve"> de fiscale aftrekbaarheid van </w:t>
      </w:r>
      <w:r w:rsidRPr="009037FC" w:rsidR="00E610AD">
        <w:t>de daarin bedoelde</w:t>
      </w:r>
      <w:r w:rsidRPr="00D40037" w:rsidR="00C64BF4">
        <w:t xml:space="preserve"> </w:t>
      </w:r>
      <w:r w:rsidRPr="00B65B22">
        <w:t>vergoedingen geen onderscheid gemaakt mag worden naar de woonpla</w:t>
      </w:r>
      <w:r w:rsidRPr="00B65B22" w:rsidR="00C64BF4">
        <w:t xml:space="preserve">ats van de </w:t>
      </w:r>
      <w:r w:rsidRPr="00B65B22" w:rsidR="005D5B8A">
        <w:t>crediteur</w:t>
      </w:r>
      <w:r w:rsidRPr="00B65B22" w:rsidR="00C64BF4">
        <w:t xml:space="preserve">. </w:t>
      </w:r>
    </w:p>
    <w:p w:rsidRPr="00B65B22" w:rsidR="00ED2782" w:rsidP="00ED2782" w:rsidRDefault="007B6437" w14:paraId="04C74B9C" w14:textId="77777777">
      <w:r w:rsidRPr="00B65B22">
        <w:t xml:space="preserve">Het vijfde lid verbiedt dat ondernemingen van een </w:t>
      </w:r>
      <w:r w:rsidRPr="00B65B22" w:rsidR="00AF2710">
        <w:t>verdragsluitende</w:t>
      </w:r>
      <w:r w:rsidRPr="00B65B22">
        <w:t xml:space="preserve"> </w:t>
      </w:r>
      <w:r w:rsidRPr="00B65B22" w:rsidR="00AF2710">
        <w:t>staat</w:t>
      </w:r>
      <w:r w:rsidRPr="00B65B22">
        <w:t xml:space="preserve">, waarvan het kapitaal geheel of ten dele onmiddellijk of middellijk in bezit is van of wordt beheerst door één of meer inwoners van de andere </w:t>
      </w:r>
      <w:r w:rsidRPr="00B65B22" w:rsidR="00AF2710">
        <w:t>verdragsluitende</w:t>
      </w:r>
      <w:r w:rsidRPr="00B65B22">
        <w:t xml:space="preserve"> </w:t>
      </w:r>
      <w:r w:rsidRPr="00B65B22" w:rsidR="00AF2710">
        <w:t>staat</w:t>
      </w:r>
      <w:r w:rsidRPr="00B65B22">
        <w:t>, in</w:t>
      </w:r>
      <w:r w:rsidRPr="00B65B22" w:rsidR="00A7565F">
        <w:t xml:space="preserve"> de</w:t>
      </w:r>
      <w:r w:rsidRPr="00B65B22">
        <w:t xml:space="preserve"> eerstbedoelde </w:t>
      </w:r>
      <w:r w:rsidRPr="00B65B22" w:rsidR="00AF2710">
        <w:t>staat</w:t>
      </w:r>
      <w:r w:rsidRPr="00B65B22">
        <w:t xml:space="preserve"> aan een andere of zwaardere belastingheffing of daarmee verband houdende verplichting worden onderworpen dan waaraan andere soortgelijke ondernemingen van </w:t>
      </w:r>
      <w:r w:rsidRPr="00B65B22" w:rsidR="00A7565F">
        <w:t xml:space="preserve">de </w:t>
      </w:r>
      <w:r w:rsidRPr="00B65B22">
        <w:t xml:space="preserve">eerstbedoelde </w:t>
      </w:r>
      <w:r w:rsidRPr="00B65B22" w:rsidR="00AF2710">
        <w:t>staat</w:t>
      </w:r>
      <w:r w:rsidRPr="00B65B22">
        <w:t xml:space="preserve"> zijn of kunnen worden onderworpen.</w:t>
      </w:r>
      <w:r w:rsidRPr="00B65B22" w:rsidR="00ED2782">
        <w:t xml:space="preserve"> </w:t>
      </w:r>
    </w:p>
    <w:p w:rsidRPr="00B65B22" w:rsidR="00ED2782" w:rsidP="00ED2782" w:rsidRDefault="00ED2782" w14:paraId="6CAC4AC1" w14:textId="77777777">
      <w:r w:rsidRPr="00B65B22">
        <w:t>Volgens het zesde lid is de toepassing van dit artikel niet beperkt tot de belastingen waar het Verdrag ingevolge artikel 2 op van toepassing is.</w:t>
      </w:r>
    </w:p>
    <w:p w:rsidRPr="00B65B22" w:rsidR="007B6437" w:rsidP="002106E8" w:rsidRDefault="00590C30" w14:paraId="28BCB8F6" w14:textId="77777777">
      <w:pPr>
        <w:ind w:firstLine="720"/>
      </w:pPr>
      <w:r w:rsidRPr="00B65B22">
        <w:t>In onderdeel 2.11.5 van de NFV 2011 is aangegeven dat Nederland streeft naar opname in het artikel over non-discriminatie van een regeling inzake voortgezette pensioenpremieaftrek. Een dergelijke regeling garandeert dat (tijdelijk) inkomende werknemers in de werkstaat eenzelfde recht op premieaftrek hebben als lokale</w:t>
      </w:r>
      <w:r w:rsidRPr="00B65B22" w:rsidR="00803FEA">
        <w:t xml:space="preserve"> werknemers. Cyprus </w:t>
      </w:r>
      <w:r w:rsidRPr="00B65B22" w:rsidR="002B024B">
        <w:t xml:space="preserve">en </w:t>
      </w:r>
      <w:r w:rsidRPr="00B65B22" w:rsidR="00803FEA">
        <w:t>Nederland zijn</w:t>
      </w:r>
      <w:r w:rsidRPr="00B65B22">
        <w:t xml:space="preserve"> EU-lid</w:t>
      </w:r>
      <w:r w:rsidRPr="00B65B22" w:rsidR="00803FEA">
        <w:t>sta</w:t>
      </w:r>
      <w:r w:rsidRPr="00B65B22">
        <w:t>t</w:t>
      </w:r>
      <w:r w:rsidRPr="00B65B22" w:rsidR="00803FEA">
        <w:t>en en</w:t>
      </w:r>
      <w:r w:rsidRPr="00B65B22">
        <w:t xml:space="preserve"> zijn op basis van EU-recht gehouden hierin te voorzien. Het opnemen van een </w:t>
      </w:r>
      <w:r w:rsidRPr="00B65B22" w:rsidR="00803FEA">
        <w:t xml:space="preserve">dergelijke </w:t>
      </w:r>
      <w:r w:rsidRPr="00B65B22">
        <w:t>verdragsbepaling was daarom niet nodig</w:t>
      </w:r>
      <w:r w:rsidRPr="00B65B22">
        <w:rPr>
          <w:rFonts w:cs="Arial"/>
        </w:rPr>
        <w:t>.</w:t>
      </w:r>
      <w:r w:rsidRPr="00B65B22" w:rsidR="007B6437">
        <w:tab/>
      </w:r>
    </w:p>
    <w:p w:rsidRPr="00B65B22" w:rsidR="001C4830" w:rsidP="00901C1E" w:rsidRDefault="001C4830" w14:paraId="6B10901A" w14:textId="77777777">
      <w:pPr>
        <w:pStyle w:val="Kop2"/>
        <w:numPr>
          <w:ilvl w:val="1"/>
          <w:numId w:val="1"/>
        </w:numPr>
        <w:rPr>
          <w:b w:val="0"/>
          <w:i/>
        </w:rPr>
      </w:pPr>
      <w:r w:rsidRPr="00B65B22">
        <w:rPr>
          <w:b w:val="0"/>
          <w:i/>
        </w:rPr>
        <w:t>Procedure voor onderling overleg (artikel 23</w:t>
      </w:r>
      <w:r w:rsidRPr="00B65B22" w:rsidR="00F05AE9">
        <w:rPr>
          <w:b w:val="0"/>
          <w:i/>
        </w:rPr>
        <w:t xml:space="preserve"> van het Verdrag</w:t>
      </w:r>
      <w:r w:rsidRPr="00B65B22">
        <w:rPr>
          <w:b w:val="0"/>
          <w:i/>
        </w:rPr>
        <w:t>)</w:t>
      </w:r>
    </w:p>
    <w:p w:rsidRPr="00D40037" w:rsidR="009C6678" w:rsidP="009C6678" w:rsidRDefault="00001679" w14:paraId="7575345F" w14:textId="49806239">
      <w:pPr>
        <w:ind w:firstLine="720"/>
        <w:rPr>
          <w:rFonts w:cs="Arial"/>
          <w:i/>
          <w:szCs w:val="20"/>
        </w:rPr>
      </w:pPr>
      <w:r w:rsidRPr="00B65B22">
        <w:t>Artikel 23</w:t>
      </w:r>
      <w:r w:rsidRPr="00B65B22" w:rsidR="009C6678">
        <w:t xml:space="preserve"> </w:t>
      </w:r>
      <w:r w:rsidRPr="00B65B22" w:rsidR="002B024B">
        <w:t xml:space="preserve">van het Verdrag </w:t>
      </w:r>
      <w:r w:rsidRPr="00B65B22" w:rsidR="009C6678">
        <w:t xml:space="preserve">bevat een regeling voor onderling overleg tussen de bevoegde autoriteiten van de verdragsluitende staten </w:t>
      </w:r>
      <w:r w:rsidRPr="00B65B22" w:rsidR="00182D9E">
        <w:t>om moeilijkheden op te lossen die mochten rijzen bij de toepassing van het Verdrag.</w:t>
      </w:r>
      <w:r w:rsidRPr="00B65B22" w:rsidR="00633433">
        <w:rPr>
          <w:rFonts w:cs="Arial"/>
          <w:szCs w:val="20"/>
        </w:rPr>
        <w:t xml:space="preserve"> </w:t>
      </w:r>
      <w:r w:rsidRPr="00B65B22" w:rsidR="009C6678">
        <w:rPr>
          <w:rFonts w:cs="Arial"/>
          <w:szCs w:val="20"/>
        </w:rPr>
        <w:t xml:space="preserve">De bepaling is </w:t>
      </w:r>
      <w:r w:rsidR="00D40037">
        <w:rPr>
          <w:rFonts w:cs="Arial"/>
          <w:szCs w:val="20"/>
        </w:rPr>
        <w:t>nagenoeg geheel</w:t>
      </w:r>
      <w:r w:rsidRPr="00D40037" w:rsidR="00D40037">
        <w:rPr>
          <w:rFonts w:cs="Arial"/>
          <w:szCs w:val="20"/>
        </w:rPr>
        <w:t xml:space="preserve"> </w:t>
      </w:r>
      <w:r w:rsidRPr="00D40037" w:rsidR="009C6678">
        <w:rPr>
          <w:rFonts w:cs="Arial"/>
          <w:szCs w:val="20"/>
        </w:rPr>
        <w:t>gebaseerd op artikel 2</w:t>
      </w:r>
      <w:r w:rsidRPr="00D40037">
        <w:rPr>
          <w:rFonts w:cs="Arial"/>
          <w:szCs w:val="20"/>
        </w:rPr>
        <w:t>5</w:t>
      </w:r>
      <w:r w:rsidRPr="00D40037" w:rsidR="009C6678">
        <w:rPr>
          <w:rFonts w:cs="Arial"/>
          <w:szCs w:val="20"/>
        </w:rPr>
        <w:t xml:space="preserve"> van het OESO-modelverdrag.</w:t>
      </w:r>
    </w:p>
    <w:p w:rsidRPr="00B65B22" w:rsidR="009C6678" w:rsidP="00430D64" w:rsidRDefault="009C6678" w14:paraId="2C671554" w14:textId="77777777">
      <w:pPr>
        <w:ind w:firstLine="720"/>
      </w:pPr>
      <w:r w:rsidRPr="00B65B22">
        <w:rPr>
          <w:rFonts w:cs="Arial"/>
          <w:szCs w:val="20"/>
        </w:rPr>
        <w:t xml:space="preserve">Het eerste lid bepaalt dat een belastingplichtige een verzoek kan indienen voor onderling overleg tussen de bevoegde autoriteiten van de verdragsluitende staten indien volgens de belastingplichtige sprake is van een belastingheffing in strijd met het Verdrag. </w:t>
      </w:r>
      <w:r w:rsidRPr="00B65B22" w:rsidR="0087401F">
        <w:t>D</w:t>
      </w:r>
      <w:r w:rsidRPr="00B65B22" w:rsidR="00BA72EB">
        <w:t xml:space="preserve">e gecreëerde mogelijkheid om een verzoek te kunnen richten aan de bevoegde autoriteiten van beide staten, in plaats van alleen bij de bevoegde autoriteit van de staat waarvan de belastingplichtige inwoner is, </w:t>
      </w:r>
      <w:r w:rsidRPr="00B65B22" w:rsidR="0087401F">
        <w:t xml:space="preserve">stemt overeen met </w:t>
      </w:r>
      <w:r w:rsidRPr="00B65B22" w:rsidR="000B47CD">
        <w:t xml:space="preserve">artikel 25, eerste lid, van </w:t>
      </w:r>
      <w:r w:rsidRPr="00B65B22" w:rsidR="0087401F">
        <w:t>het OESO-modelverdrag</w:t>
      </w:r>
      <w:r w:rsidRPr="00B65B22" w:rsidR="00BA72EB">
        <w:t xml:space="preserve">. </w:t>
      </w:r>
      <w:r w:rsidRPr="00B65B22">
        <w:rPr>
          <w:rFonts w:cs="Arial"/>
          <w:szCs w:val="20"/>
        </w:rPr>
        <w:t>Op grond van de tweede zin van het eerst</w:t>
      </w:r>
      <w:r w:rsidRPr="00B65B22" w:rsidR="00BA72EB">
        <w:rPr>
          <w:rFonts w:cs="Arial"/>
          <w:szCs w:val="20"/>
        </w:rPr>
        <w:t>e</w:t>
      </w:r>
      <w:r w:rsidRPr="00B65B22">
        <w:rPr>
          <w:rFonts w:cs="Arial"/>
          <w:szCs w:val="20"/>
        </w:rPr>
        <w:t xml:space="preserve"> lid moet het verzoek worden ingediend binnen drie jaar nadat de maatregel die mogelijk belastingheffing in strijd met het Verdrag tot gevolg heeft voor het eerst bekendgemaakt is aan de belastingplichtige.</w:t>
      </w:r>
      <w:r w:rsidRPr="00B65B22" w:rsidDel="0001251B">
        <w:rPr>
          <w:rFonts w:cs="Arial"/>
          <w:szCs w:val="20"/>
        </w:rPr>
        <w:t xml:space="preserve"> </w:t>
      </w:r>
    </w:p>
    <w:p w:rsidRPr="00B65B22" w:rsidR="009C6678" w:rsidP="009C6678" w:rsidRDefault="009C6678" w14:paraId="09A9F1E3" w14:textId="77777777">
      <w:pPr>
        <w:ind w:firstLine="708"/>
        <w:rPr>
          <w:rFonts w:cs="Arial"/>
          <w:szCs w:val="20"/>
        </w:rPr>
      </w:pPr>
      <w:r w:rsidRPr="00B65B22">
        <w:rPr>
          <w:rFonts w:cs="Arial"/>
          <w:szCs w:val="20"/>
        </w:rPr>
        <w:t xml:space="preserve">Het tweede lid bevat een inspanningsverplichting voor de bevoegde autoriteiten om – indien het verzoek gegrond voorkomt – in onderling overleg eventuele belastingheffing die in strijd is met het Verdrag weg te nemen. In de tweede </w:t>
      </w:r>
      <w:r w:rsidRPr="00B65B22" w:rsidR="00796161">
        <w:rPr>
          <w:rFonts w:cs="Arial"/>
          <w:szCs w:val="20"/>
        </w:rPr>
        <w:t xml:space="preserve">zin </w:t>
      </w:r>
      <w:r w:rsidRPr="00B65B22">
        <w:rPr>
          <w:rFonts w:cs="Arial"/>
          <w:szCs w:val="20"/>
        </w:rPr>
        <w:t>is de verplichting opgenomen voor verdragsluitende staten om niettegenstaande de termijnen in de nationale wetgeving de uitkomst van een procedure voor onderling overleg te implementeren.</w:t>
      </w:r>
      <w:r w:rsidRPr="00B65B22" w:rsidDel="0001251B">
        <w:rPr>
          <w:rFonts w:cs="Arial"/>
          <w:szCs w:val="20"/>
        </w:rPr>
        <w:t xml:space="preserve"> </w:t>
      </w:r>
    </w:p>
    <w:p w:rsidRPr="00B65B22" w:rsidR="009C6678" w:rsidP="009C6678" w:rsidRDefault="009C6678" w14:paraId="57B1580C" w14:textId="77777777">
      <w:pPr>
        <w:ind w:firstLine="708"/>
        <w:rPr>
          <w:rFonts w:cs="Arial"/>
          <w:szCs w:val="20"/>
        </w:rPr>
      </w:pPr>
      <w:r w:rsidRPr="00B65B22">
        <w:rPr>
          <w:rFonts w:cs="Arial"/>
          <w:szCs w:val="20"/>
        </w:rPr>
        <w:t xml:space="preserve">Het derde lid bepaalt dat de bevoegde autoriteiten in onderling overleg moeilijkheden en twijfelpunten die ontstaan bij de uitleg en toepassing van het Verdrag weg kunnen nemen. Uit de tweede zin volgt verder dat bevoegde autoriteiten ook in overleg kunnen treden bij situaties van dubbele belastingheffing die niet in het Verdrag zijn geregeld. </w:t>
      </w:r>
    </w:p>
    <w:p w:rsidRPr="00B65B22" w:rsidR="000B47CD" w:rsidP="00B910DE" w:rsidRDefault="00BA72EB" w14:paraId="498BA23F" w14:textId="77777777">
      <w:pPr>
        <w:ind w:firstLine="720"/>
        <w:rPr>
          <w:rFonts w:cs="Arial"/>
          <w:szCs w:val="20"/>
        </w:rPr>
      </w:pPr>
      <w:r w:rsidRPr="00B65B22">
        <w:rPr>
          <w:rFonts w:cs="Arial"/>
          <w:szCs w:val="20"/>
        </w:rPr>
        <w:t>Het vierde lid bepaalt dat de bevoegde autoriteiten direct met elkaar kunnen communiceren om de in de voorgaande leden bedoelde overeenstemming te bereiken. De bevoegde autoriteiten kunnen ook via een gezamenlijk</w:t>
      </w:r>
      <w:r w:rsidRPr="00B65B22" w:rsidR="00001679">
        <w:rPr>
          <w:rFonts w:cs="Arial"/>
          <w:szCs w:val="20"/>
        </w:rPr>
        <w:t>e commissie</w:t>
      </w:r>
      <w:r w:rsidRPr="00B65B22">
        <w:rPr>
          <w:rFonts w:cs="Arial"/>
          <w:szCs w:val="20"/>
        </w:rPr>
        <w:t xml:space="preserve"> met elkaar overleggen.</w:t>
      </w:r>
      <w:r w:rsidRPr="00B65B22" w:rsidR="004A0134">
        <w:rPr>
          <w:rFonts w:cs="Arial"/>
          <w:szCs w:val="20"/>
        </w:rPr>
        <w:t xml:space="preserve"> </w:t>
      </w:r>
    </w:p>
    <w:p w:rsidRPr="009C6DBA" w:rsidR="001C4830" w:rsidP="00B910DE" w:rsidRDefault="00A35C0C" w14:paraId="0CDC1538" w14:textId="77777777">
      <w:pPr>
        <w:ind w:firstLine="720"/>
      </w:pPr>
      <w:r w:rsidRPr="00B65B22">
        <w:t>Op</w:t>
      </w:r>
      <w:r w:rsidRPr="00B65B22" w:rsidR="003503CE">
        <w:t xml:space="preserve"> verzoek van Nederland bevat het vijfde lid </w:t>
      </w:r>
      <w:r w:rsidRPr="00B65B22" w:rsidR="004A0134">
        <w:t xml:space="preserve">een arbitrageregeling in overeenstemming met artikel 25, vijfde lid, van het OESO-modelverdrag en de uitgangspunten zoals neergelegd in onderdeel 2.17.1. van de NFV 2011. </w:t>
      </w:r>
      <w:r w:rsidRPr="00B65B22" w:rsidR="001C4830">
        <w:rPr>
          <w:rFonts w:cs="Arial"/>
          <w:szCs w:val="20"/>
        </w:rPr>
        <w:t>Door het initiatief tot arbitrage bij de belastingplichtige te leggen, is een stimulans gecreëerd voor de verdragsluitende staten om de overlegprocedure tijdig tot een goed einde te brengen. De uitkomst van de arbitrageprocedure is bindend voor de verdragsluitende staten, tenzij de beslissing door de bet</w:t>
      </w:r>
      <w:r w:rsidRPr="00B65B22" w:rsidR="001F608E">
        <w:rPr>
          <w:rFonts w:cs="Arial"/>
          <w:szCs w:val="20"/>
        </w:rPr>
        <w:t>rokken persoon wordt verworpen.</w:t>
      </w:r>
      <w:r w:rsidRPr="00B65B22" w:rsidR="004A0134">
        <w:rPr>
          <w:rFonts w:cs="Arial"/>
          <w:szCs w:val="20"/>
        </w:rPr>
        <w:t xml:space="preserve"> In afwijking van het OESO-modelverdrag is de laatste zin </w:t>
      </w:r>
      <w:r w:rsidRPr="00B65B22" w:rsidR="002B024B">
        <w:rPr>
          <w:rFonts w:cs="Arial"/>
          <w:szCs w:val="20"/>
        </w:rPr>
        <w:t xml:space="preserve">van </w:t>
      </w:r>
      <w:r w:rsidRPr="00B65B22" w:rsidR="004A0134">
        <w:rPr>
          <w:rFonts w:cs="Arial"/>
          <w:szCs w:val="20"/>
        </w:rPr>
        <w:t>artikel 25, vijfde lid, van het OESO-modelverdrag, over de wijze van toepassing, niet in artikel 23 van het Verdrag opgenomen.</w:t>
      </w:r>
      <w:r w:rsidRPr="00B65B22" w:rsidR="00176956">
        <w:rPr>
          <w:rFonts w:cs="Arial"/>
          <w:szCs w:val="20"/>
        </w:rPr>
        <w:t xml:space="preserve"> Daarnaast zal o</w:t>
      </w:r>
      <w:r w:rsidRPr="00B65B22" w:rsidR="00504C4E">
        <w:rPr>
          <w:rFonts w:cs="Arial"/>
          <w:szCs w:val="20"/>
        </w:rPr>
        <w:t xml:space="preserve">p verzoek van Cyprus de arbitrageregeling </w:t>
      </w:r>
      <w:r w:rsidRPr="00B65B22" w:rsidR="00753C7F">
        <w:rPr>
          <w:rFonts w:cs="Arial"/>
          <w:szCs w:val="20"/>
        </w:rPr>
        <w:t xml:space="preserve">pas </w:t>
      </w:r>
      <w:r w:rsidRPr="00B65B22" w:rsidR="00504C4E">
        <w:rPr>
          <w:rFonts w:cs="Arial"/>
          <w:szCs w:val="20"/>
        </w:rPr>
        <w:t>in werking treden nadat Cyprus e</w:t>
      </w:r>
      <w:r w:rsidRPr="00CF0A8D" w:rsidR="00504C4E">
        <w:rPr>
          <w:rFonts w:cs="Arial"/>
          <w:szCs w:val="20"/>
        </w:rPr>
        <w:t xml:space="preserve">en wettelijke basis heeft </w:t>
      </w:r>
      <w:r w:rsidRPr="00CF0A8D" w:rsidR="00176956">
        <w:rPr>
          <w:rFonts w:cs="Arial"/>
          <w:szCs w:val="20"/>
        </w:rPr>
        <w:t>gecreëerd</w:t>
      </w:r>
      <w:r w:rsidRPr="009C6DBA" w:rsidR="00504C4E">
        <w:rPr>
          <w:rFonts w:cs="Arial"/>
          <w:szCs w:val="20"/>
        </w:rPr>
        <w:t xml:space="preserve"> voor </w:t>
      </w:r>
      <w:r w:rsidRPr="009C6DBA" w:rsidR="00176956">
        <w:rPr>
          <w:rFonts w:cs="Arial"/>
          <w:szCs w:val="20"/>
        </w:rPr>
        <w:t>verplichte een bindende arbitrage</w:t>
      </w:r>
      <w:r w:rsidRPr="009C6DBA" w:rsidR="00753C7F">
        <w:rPr>
          <w:rFonts w:cs="Arial"/>
          <w:szCs w:val="20"/>
        </w:rPr>
        <w:t xml:space="preserve"> (</w:t>
      </w:r>
      <w:r w:rsidRPr="009C6DBA" w:rsidR="003A5552">
        <w:rPr>
          <w:rFonts w:cs="Arial"/>
          <w:szCs w:val="20"/>
        </w:rPr>
        <w:t xml:space="preserve">verwezen wordt naar </w:t>
      </w:r>
      <w:r w:rsidRPr="009C6DBA" w:rsidR="00753C7F">
        <w:rPr>
          <w:rFonts w:cs="Arial"/>
          <w:szCs w:val="20"/>
        </w:rPr>
        <w:t>artikel 28, tweede lid)</w:t>
      </w:r>
      <w:r w:rsidRPr="009C6DBA" w:rsidR="00176956">
        <w:rPr>
          <w:rFonts w:cs="Arial"/>
          <w:szCs w:val="20"/>
        </w:rPr>
        <w:t>.</w:t>
      </w:r>
    </w:p>
    <w:p w:rsidRPr="00363E1C" w:rsidR="00D82C86" w:rsidP="00D82C86" w:rsidRDefault="00D82C86" w14:paraId="7226C003" w14:textId="77777777">
      <w:pPr>
        <w:pStyle w:val="Kop2"/>
        <w:rPr>
          <w:b w:val="0"/>
          <w:i/>
        </w:rPr>
      </w:pPr>
      <w:r w:rsidRPr="00111169">
        <w:rPr>
          <w:b w:val="0"/>
          <w:i/>
        </w:rPr>
        <w:t>Uitwisseling van informatie (artikel 24</w:t>
      </w:r>
      <w:r w:rsidRPr="00363E1C" w:rsidR="004B5DCA">
        <w:rPr>
          <w:b w:val="0"/>
          <w:i/>
        </w:rPr>
        <w:t xml:space="preserve"> van het Verdrag en artikel 4 van het Protocol</w:t>
      </w:r>
      <w:r w:rsidRPr="00363E1C">
        <w:rPr>
          <w:b w:val="0"/>
          <w:i/>
        </w:rPr>
        <w:t>)</w:t>
      </w:r>
    </w:p>
    <w:p w:rsidRPr="009C6DBA" w:rsidR="00D82C86" w:rsidP="00430D64" w:rsidRDefault="00D82C86" w14:paraId="53A1158B" w14:textId="77777777">
      <w:pPr>
        <w:ind w:firstLine="720"/>
        <w:rPr>
          <w:rFonts w:ascii="Verdana" w:hAnsi="Verdana" w:cs="Arial"/>
          <w:sz w:val="18"/>
          <w:szCs w:val="18"/>
        </w:rPr>
      </w:pPr>
      <w:r w:rsidRPr="00363E1C">
        <w:t>Artikel 24</w:t>
      </w:r>
      <w:r w:rsidRPr="000F52B8">
        <w:t xml:space="preserve"> </w:t>
      </w:r>
      <w:r w:rsidRPr="002006EE" w:rsidR="003A5552">
        <w:t xml:space="preserve">van het Verdrag </w:t>
      </w:r>
      <w:r w:rsidRPr="008B1145">
        <w:rPr>
          <w:rFonts w:cs="Arial"/>
          <w:szCs w:val="20"/>
        </w:rPr>
        <w:t>verplicht de verdrags</w:t>
      </w:r>
      <w:r w:rsidRPr="00F83EE2">
        <w:rPr>
          <w:rFonts w:cs="Arial"/>
          <w:szCs w:val="20"/>
        </w:rPr>
        <w:t>luitende staten</w:t>
      </w:r>
      <w:r w:rsidRPr="005B15A0">
        <w:rPr>
          <w:rFonts w:cs="Arial"/>
          <w:szCs w:val="20"/>
        </w:rPr>
        <w:t xml:space="preserve"> om, op verzoek, automatisch of spontaan</w:t>
      </w:r>
      <w:r w:rsidRPr="00FC1494">
        <w:rPr>
          <w:rFonts w:cs="Arial"/>
          <w:szCs w:val="20"/>
        </w:rPr>
        <w:t>, informatie uit te wisselen.</w:t>
      </w:r>
      <w:r w:rsidRPr="001F45C0">
        <w:t xml:space="preserve"> Het artikel komt </w:t>
      </w:r>
      <w:r w:rsidR="002C6921">
        <w:t xml:space="preserve">grotendeels </w:t>
      </w:r>
      <w:r w:rsidRPr="001F45C0">
        <w:t>overeen met artikel 26</w:t>
      </w:r>
      <w:r w:rsidRPr="009037FC">
        <w:t xml:space="preserve"> van het OESO-modelverdrag </w:t>
      </w:r>
      <w:r w:rsidRPr="00B65B22">
        <w:t>en is in lijn met het Nederlandse verdragsbeleid</w:t>
      </w:r>
      <w:r w:rsidRPr="00B65B22" w:rsidR="00A27BC9">
        <w:t>. Deze bepaling is ingevolge artikel 4</w:t>
      </w:r>
      <w:r w:rsidRPr="00B65B22" w:rsidR="007C600E">
        <w:t>, eerste lid,</w:t>
      </w:r>
      <w:r w:rsidRPr="00B65B22" w:rsidR="00A27BC9">
        <w:t xml:space="preserve"> van het Protocol ook van toepassing op de Nederlandse inkomensafhankelijke regelingen (‘de toeslagen)’</w:t>
      </w:r>
      <w:r w:rsidRPr="00CF0A8D">
        <w:t>.</w:t>
      </w:r>
      <w:r w:rsidRPr="00CF0A8D" w:rsidR="00A27BC9">
        <w:rPr>
          <w:rFonts w:ascii="Verdana" w:hAnsi="Verdana" w:cs="Arial"/>
          <w:sz w:val="18"/>
          <w:szCs w:val="18"/>
        </w:rPr>
        <w:t xml:space="preserve"> </w:t>
      </w:r>
    </w:p>
    <w:p w:rsidRPr="009037FC" w:rsidR="00D82C86" w:rsidP="00B910DE" w:rsidRDefault="00D82C86" w14:paraId="65C46968" w14:textId="77777777">
      <w:pPr>
        <w:rPr>
          <w:rFonts w:cs="Arial"/>
          <w:szCs w:val="20"/>
        </w:rPr>
      </w:pPr>
      <w:r w:rsidRPr="009C6DBA">
        <w:t>Uit het eerste lid volgt de werkingssfeer van de informatie-uitwisseling. Volgens de tweede zin is de informatie-uitwisseling niet beperkt tot</w:t>
      </w:r>
      <w:r w:rsidRPr="00111169">
        <w:t xml:space="preserve"> informatie t</w:t>
      </w:r>
      <w:r w:rsidRPr="00363E1C">
        <w:t xml:space="preserve">en aanzien van inwoners van de verdragsluitende </w:t>
      </w:r>
      <w:r w:rsidRPr="000F52B8">
        <w:t>staten</w:t>
      </w:r>
      <w:r w:rsidRPr="002006EE">
        <w:t xml:space="preserve"> en evenmin tot de belastingen waarop het Verdrag van toepassing is.</w:t>
      </w:r>
      <w:r w:rsidRPr="008B1145" w:rsidR="00155BCA">
        <w:rPr>
          <w:rFonts w:cs="Arial"/>
          <w:szCs w:val="20"/>
        </w:rPr>
        <w:t xml:space="preserve"> </w:t>
      </w:r>
      <w:r w:rsidRPr="00F83EE2" w:rsidR="00155BCA">
        <w:rPr>
          <w:rFonts w:cs="Arial"/>
          <w:szCs w:val="20"/>
        </w:rPr>
        <w:t xml:space="preserve">Op verzoek van </w:t>
      </w:r>
      <w:r w:rsidRPr="005B15A0" w:rsidR="007C600E">
        <w:rPr>
          <w:rFonts w:cs="Arial"/>
          <w:szCs w:val="20"/>
        </w:rPr>
        <w:t>Nederland is in artikel 4, derde lid</w:t>
      </w:r>
      <w:r w:rsidRPr="005B15A0" w:rsidR="00155BCA">
        <w:rPr>
          <w:rFonts w:cs="Arial"/>
          <w:szCs w:val="20"/>
        </w:rPr>
        <w:t>, van het Protocol voor de volledigheid opgenomen dat bevoegde autoriteiten van de</w:t>
      </w:r>
      <w:r w:rsidRPr="00FC1494" w:rsidR="00155BCA">
        <w:rPr>
          <w:rFonts w:cs="Arial"/>
          <w:szCs w:val="20"/>
        </w:rPr>
        <w:t xml:space="preserve"> verdragsluitende staten in onderling overleg de toepassing kunnen regelen van dit artikel.</w:t>
      </w:r>
      <w:r w:rsidRPr="001F45C0" w:rsidR="00155BCA">
        <w:rPr>
          <w:rFonts w:cs="Arial"/>
          <w:szCs w:val="20"/>
        </w:rPr>
        <w:t xml:space="preserve"> Indien die toepassing wordt vastgelegd in een verdrag kan dit beschouwd worden als een uitvoeringsverdrag dat op grond van artikel 7, onderdeel b, van de Rijkswet g</w:t>
      </w:r>
      <w:r w:rsidRPr="009037FC" w:rsidR="00155BCA">
        <w:rPr>
          <w:rFonts w:cs="Arial"/>
          <w:szCs w:val="20"/>
        </w:rPr>
        <w:t>oedkeuring en bekendmaking verdragen geen parlementaire goedkeuring behoeft, behoudens het bepaalde in artikel 8 van die Rijkswet.</w:t>
      </w:r>
    </w:p>
    <w:p w:rsidRPr="00B65B22" w:rsidR="00D82C86" w:rsidP="00D82C86" w:rsidRDefault="00D82C86" w14:paraId="3B0CBAE9" w14:textId="5D450AC2">
      <w:r w:rsidRPr="009037FC">
        <w:t>Het tweede lid regelt hoe de verdragsluitende staat</w:t>
      </w:r>
      <w:r w:rsidRPr="00D40037">
        <w:t xml:space="preserve"> die informatie ontvangt van de andere verdragsluitende staat met deze informatie dient om te gaan </w:t>
      </w:r>
      <w:r w:rsidRPr="00D40037" w:rsidR="00572D10">
        <w:t>voor wat betreft de</w:t>
      </w:r>
      <w:r w:rsidRPr="00D40037">
        <w:t xml:space="preserve"> vertrouwelijkheid</w:t>
      </w:r>
      <w:r w:rsidRPr="00B65B22">
        <w:t xml:space="preserve">. Het tweede lid bevat ook de toevoeging (overeenkomstig het tweede lid van artikel 26 </w:t>
      </w:r>
      <w:r w:rsidRPr="00B65B22" w:rsidR="009B7D3C">
        <w:t xml:space="preserve">van het </w:t>
      </w:r>
      <w:r w:rsidRPr="00B65B22">
        <w:t xml:space="preserve">OESO-modelverdrag) dat </w:t>
      </w:r>
      <w:r w:rsidRPr="00B65B22">
        <w:rPr>
          <w:rFonts w:cs="Arial"/>
          <w:szCs w:val="20"/>
        </w:rPr>
        <w:t>de ontvangende staat de informatie onder voorwaarden ook voor niet-fiscale doeleinden mag gebruiken</w:t>
      </w:r>
      <w:r w:rsidRPr="00B65B22" w:rsidR="009B7D3C">
        <w:rPr>
          <w:rFonts w:cs="Arial"/>
          <w:szCs w:val="20"/>
        </w:rPr>
        <w:t>,</w:t>
      </w:r>
      <w:r w:rsidRPr="00B65B22">
        <w:rPr>
          <w:rFonts w:cs="Arial"/>
          <w:szCs w:val="20"/>
        </w:rPr>
        <w:t xml:space="preserve"> </w:t>
      </w:r>
      <w:r w:rsidRPr="00B65B22" w:rsidR="009B7D3C">
        <w:t>n</w:t>
      </w:r>
      <w:r w:rsidRPr="00B65B22">
        <w:t xml:space="preserve">amelijk indien dat in elk van de verdragsluitende staten wettelijk is toegestaan en mits de aanleverende bevoegde autoriteit dit toestaat. Op basis van deze zin kan door Nederland en </w:t>
      </w:r>
      <w:r w:rsidRPr="00B65B22" w:rsidR="00A010A5">
        <w:t>Cyprus</w:t>
      </w:r>
      <w:r w:rsidRPr="00B65B22">
        <w:t xml:space="preserve"> uitgewisselde informatie door Nederland ook gebruikt worden voor</w:t>
      </w:r>
      <w:r w:rsidRPr="00B65B22">
        <w:rPr>
          <w:rFonts w:cs="Arial"/>
          <w:szCs w:val="20"/>
        </w:rPr>
        <w:t xml:space="preserve"> de uitvoering van de Nederlandse inkomensafhankelijke regelingen (toeslagen). </w:t>
      </w:r>
      <w:r w:rsidRPr="00B65B22" w:rsidR="00A010A5">
        <w:rPr>
          <w:rFonts w:cs="Arial"/>
          <w:szCs w:val="20"/>
        </w:rPr>
        <w:t xml:space="preserve">In </w:t>
      </w:r>
      <w:r w:rsidRPr="00B65B22" w:rsidR="00C41FA4">
        <w:rPr>
          <w:rFonts w:cs="Arial"/>
          <w:szCs w:val="20"/>
        </w:rPr>
        <w:t xml:space="preserve">artikel </w:t>
      </w:r>
      <w:r w:rsidRPr="00B65B22" w:rsidR="00A27BC9">
        <w:rPr>
          <w:rFonts w:cs="Arial"/>
          <w:szCs w:val="20"/>
        </w:rPr>
        <w:t>4</w:t>
      </w:r>
      <w:r w:rsidRPr="00B65B22" w:rsidR="007C600E">
        <w:rPr>
          <w:rFonts w:cs="Arial"/>
          <w:szCs w:val="20"/>
        </w:rPr>
        <w:t xml:space="preserve">, eerste en tweede lid, </w:t>
      </w:r>
      <w:r w:rsidRPr="00B65B22" w:rsidR="00C41FA4">
        <w:rPr>
          <w:rFonts w:cs="Arial"/>
          <w:szCs w:val="20"/>
        </w:rPr>
        <w:t xml:space="preserve">van het Protocol </w:t>
      </w:r>
      <w:r w:rsidRPr="00B65B22" w:rsidR="00A010A5">
        <w:rPr>
          <w:rFonts w:cs="Arial"/>
          <w:szCs w:val="20"/>
        </w:rPr>
        <w:t xml:space="preserve">is expliciet vermeld dat de bepalingen van </w:t>
      </w:r>
      <w:r w:rsidRPr="00B65B22" w:rsidR="00C41FA4">
        <w:rPr>
          <w:rFonts w:cs="Arial"/>
          <w:szCs w:val="20"/>
        </w:rPr>
        <w:t>a</w:t>
      </w:r>
      <w:r w:rsidRPr="00B65B22" w:rsidR="00A010A5">
        <w:rPr>
          <w:rFonts w:cs="Arial"/>
          <w:szCs w:val="20"/>
        </w:rPr>
        <w:t xml:space="preserve">rtikel </w:t>
      </w:r>
      <w:r w:rsidRPr="00B65B22" w:rsidR="00C41FA4">
        <w:rPr>
          <w:rFonts w:cs="Arial"/>
          <w:szCs w:val="20"/>
        </w:rPr>
        <w:t xml:space="preserve">24 ook </w:t>
      </w:r>
      <w:r w:rsidRPr="00B65B22" w:rsidR="00A010A5">
        <w:rPr>
          <w:rFonts w:cs="Arial"/>
          <w:szCs w:val="20"/>
        </w:rPr>
        <w:t xml:space="preserve">van toepassing zijn op informatie die relevant is voor de uitvoering van de Nederlandse inkomensafhankelijke regelingen (toeslagen). </w:t>
      </w:r>
      <w:r w:rsidRPr="00B65B22" w:rsidR="00572D10">
        <w:rPr>
          <w:rFonts w:cs="Arial"/>
          <w:szCs w:val="20"/>
        </w:rPr>
        <w:t xml:space="preserve">Aangezien Cyprus een EU-lidstaat is, is voldaan aan de vereisten </w:t>
      </w:r>
      <w:r w:rsidRPr="00B65B22" w:rsidR="007575E6">
        <w:rPr>
          <w:rFonts w:cs="Arial"/>
          <w:szCs w:val="20"/>
        </w:rPr>
        <w:t xml:space="preserve">van </w:t>
      </w:r>
      <w:r w:rsidRPr="00B65B22" w:rsidR="00572D10">
        <w:rPr>
          <w:rFonts w:cs="Arial"/>
          <w:szCs w:val="20"/>
        </w:rPr>
        <w:t>de Algemene Verordening Gegevensbescherming</w:t>
      </w:r>
      <w:r w:rsidRPr="00B65B22" w:rsidR="007575E6">
        <w:rPr>
          <w:rFonts w:cs="Arial"/>
          <w:szCs w:val="20"/>
        </w:rPr>
        <w:t xml:space="preserve"> (AVG)</w:t>
      </w:r>
      <w:r w:rsidRPr="00B65B22" w:rsidR="00572D10">
        <w:rPr>
          <w:rFonts w:cs="Arial"/>
          <w:szCs w:val="20"/>
        </w:rPr>
        <w:t>.</w:t>
      </w:r>
    </w:p>
    <w:p w:rsidRPr="00B65B22" w:rsidR="00D82C86" w:rsidP="00D82C86" w:rsidRDefault="00D82C86" w14:paraId="726B4758" w14:textId="77777777">
      <w:pPr>
        <w:ind w:firstLine="720"/>
        <w:rPr>
          <w:rFonts w:cs="Arial"/>
          <w:szCs w:val="20"/>
        </w:rPr>
      </w:pPr>
      <w:r w:rsidRPr="00B65B22">
        <w:rPr>
          <w:rFonts w:cs="Arial"/>
          <w:szCs w:val="20"/>
        </w:rPr>
        <w:t>Op grond van het derde lid kunnen de verdragsluitende staten de voor een arbitrageprocedure noodzakelijke informatie verstrekken aan de arbiters en zijn de arbiters gebonden aan de regels omtrent vertrouwelijkheid in het tweede lid.</w:t>
      </w:r>
      <w:r w:rsidRPr="00B65B22" w:rsidR="009B7D3C">
        <w:rPr>
          <w:rFonts w:cs="Arial"/>
          <w:szCs w:val="20"/>
        </w:rPr>
        <w:t xml:space="preserve"> Omdat het derde lid samenhangt met de arbitrageregeling (zie artikel 23, vijfde lid), zal dat lid eveneens pas in werking treden nadat Cyprus </w:t>
      </w:r>
      <w:r w:rsidRPr="00B65B22" w:rsidR="00C41FA4">
        <w:rPr>
          <w:rFonts w:cs="Arial"/>
          <w:szCs w:val="20"/>
        </w:rPr>
        <w:t xml:space="preserve">ook </w:t>
      </w:r>
      <w:r w:rsidRPr="00B65B22" w:rsidR="009B7D3C">
        <w:rPr>
          <w:rFonts w:cs="Arial"/>
          <w:szCs w:val="20"/>
        </w:rPr>
        <w:t>een wettelijke basis heeft gecreëerd voor de bedoelde informatieverstrekking (verwezen wordt naar artikel 28, tweede lid).</w:t>
      </w:r>
    </w:p>
    <w:p w:rsidRPr="00B65B22" w:rsidR="00D82C86" w:rsidP="00D82C86" w:rsidRDefault="00D82C86" w14:paraId="189CFED8" w14:textId="77777777">
      <w:r w:rsidRPr="00B65B22">
        <w:t xml:space="preserve">In het vierde lid wordt aangegeven onder welke omstandigheden een verdragsluitende staat geen informatie hoeft te verstrekken aan de andere verdragsluitende staat. </w:t>
      </w:r>
    </w:p>
    <w:p w:rsidRPr="00B65B22" w:rsidR="00D82C86" w:rsidP="00D82C86" w:rsidRDefault="00D82C86" w14:paraId="59E97251" w14:textId="77777777">
      <w:r w:rsidRPr="00B65B22">
        <w:t xml:space="preserve">Het vijfde lid brengt expliciet tot uitdrukking dat </w:t>
      </w:r>
      <w:r w:rsidRPr="00B65B22" w:rsidR="00BD21C8">
        <w:t xml:space="preserve">de aangezochte </w:t>
      </w:r>
      <w:r w:rsidRPr="00B65B22">
        <w:t xml:space="preserve">staat </w:t>
      </w:r>
      <w:r w:rsidRPr="00B65B22" w:rsidR="00BD21C8">
        <w:t xml:space="preserve">de gevraagde informatie </w:t>
      </w:r>
      <w:r w:rsidRPr="00B65B22">
        <w:t xml:space="preserve">niet kan weigeren op grond van het feit dat deze </w:t>
      </w:r>
      <w:r w:rsidRPr="00B65B22" w:rsidR="004E188E">
        <w:t xml:space="preserve">staat die </w:t>
      </w:r>
      <w:r w:rsidRPr="00B65B22">
        <w:t xml:space="preserve">informatie niet nodig heeft voor de eigen belastingheffing. </w:t>
      </w:r>
    </w:p>
    <w:p w:rsidRPr="00B65B22" w:rsidR="00D82C86" w:rsidP="00D82C86" w:rsidRDefault="00D82C86" w14:paraId="6BD38310" w14:textId="77777777">
      <w:r w:rsidRPr="00B65B22">
        <w:t>Tot slot bepaalt het zesde lid dat het enkele feit dat informatie in het bezit is van bijvoorbeeld een bank, een andere financiële instelling of een zaakwaarnemer, of dat de informatie betrekking heeft op eigendomsverhoudingen, niet de grond mag zijn op basis waarvan informatie niet wordt uitgewisseld.</w:t>
      </w:r>
    </w:p>
    <w:p w:rsidRPr="00B65B22" w:rsidR="00A010A5" w:rsidP="00901C1E" w:rsidRDefault="00A010A5" w14:paraId="2C57DD66" w14:textId="77777777">
      <w:pPr>
        <w:pStyle w:val="Kop2"/>
        <w:numPr>
          <w:ilvl w:val="1"/>
          <w:numId w:val="1"/>
        </w:numPr>
        <w:rPr>
          <w:b w:val="0"/>
          <w:i/>
        </w:rPr>
      </w:pPr>
      <w:r w:rsidRPr="00B65B22">
        <w:rPr>
          <w:b w:val="0"/>
          <w:i/>
        </w:rPr>
        <w:t>Leden van diplomatieke vertegenwoordigingen en consulaire posten (artikel 2</w:t>
      </w:r>
      <w:r w:rsidRPr="00B65B22" w:rsidR="001F279D">
        <w:rPr>
          <w:b w:val="0"/>
          <w:i/>
        </w:rPr>
        <w:t>5</w:t>
      </w:r>
      <w:r w:rsidRPr="00B65B22" w:rsidR="00980FF3">
        <w:rPr>
          <w:b w:val="0"/>
          <w:i/>
        </w:rPr>
        <w:t xml:space="preserve"> van het Verdrag</w:t>
      </w:r>
      <w:r w:rsidRPr="00B65B22">
        <w:rPr>
          <w:b w:val="0"/>
          <w:i/>
        </w:rPr>
        <w:t>)</w:t>
      </w:r>
    </w:p>
    <w:p w:rsidRPr="00B65B22" w:rsidR="00A010A5" w:rsidP="00A010A5" w:rsidRDefault="00A010A5" w14:paraId="41D54AC7" w14:textId="77777777">
      <w:pPr>
        <w:ind w:firstLine="720"/>
      </w:pPr>
      <w:r w:rsidRPr="00B65B22">
        <w:t>Artikel 25 ziet op de toepassing van het Verdrag in relatie tot leden van een diplomatieke</w:t>
      </w:r>
      <w:r w:rsidRPr="00B65B22" w:rsidR="00C41386">
        <w:t xml:space="preserve"> of consulaire</w:t>
      </w:r>
      <w:r w:rsidRPr="00B65B22">
        <w:t xml:space="preserve"> vertegenwoordiging. </w:t>
      </w:r>
    </w:p>
    <w:p w:rsidRPr="00B65B22" w:rsidR="00A010A5" w:rsidP="00403D2F" w:rsidRDefault="00A010A5" w14:paraId="2EA27B07" w14:textId="77777777">
      <w:r w:rsidRPr="00B65B22">
        <w:t>Het eerste lid bepaalt, conform artikel 28 van het OESO-modelverdrag, dat fiscale voorrechten toegekend aan leden van een diplomatieke of consulaire vertegenwoordiging op grond van internationaal recht of internationale overeenkomsten, niet worden aangetast door het onderhavige Verdrag.</w:t>
      </w:r>
    </w:p>
    <w:p w:rsidRPr="00B65B22" w:rsidR="001C4830" w:rsidP="00403D2F" w:rsidRDefault="00A010A5" w14:paraId="2A568101" w14:textId="77777777">
      <w:pPr>
        <w:rPr>
          <w:i/>
        </w:rPr>
      </w:pPr>
      <w:r w:rsidRPr="00B65B22">
        <w:t xml:space="preserve">Het tweede lid is ontleend aan paragraaf 3 van het commentaar op artikel 28 van het OESO-modelverdrag. Als gevolg van deze bepaling wordt een diplomaat voor de toepassing van het Verdrag geacht inwoner te zijn van de zendstaat, indien hij onderdaan is van die staat en daarin op dezelfde wijze aan belastingen naar het inkomen is onderworpen als inwoners van die staat. Als aan die voorwaarde is voldaan, kunnen diplomaten een beroep doen op de toepassing van de bepalingen van het Verdrag. De bepaling ziet zowel op diplomaten die door de zendstaat zijn uitgezonden naar de andere verdragsluitende staat als op diplomaten die naar derde staten zijn uitgezonden. Voor Nederland sluit deze bepaling aan bij de woonplaatsfictie van artikel 2.2, tweede lid, van de Wet </w:t>
      </w:r>
      <w:r w:rsidRPr="00B65B22" w:rsidR="00BE00CD">
        <w:t xml:space="preserve">inkomstenbelasting </w:t>
      </w:r>
      <w:r w:rsidRPr="00B65B22">
        <w:t>2001.</w:t>
      </w:r>
    </w:p>
    <w:p w:rsidRPr="00B65B22" w:rsidR="000A3544" w:rsidP="00901C1E" w:rsidRDefault="000A3544" w14:paraId="539FC573" w14:textId="77777777">
      <w:pPr>
        <w:pStyle w:val="Kop2"/>
        <w:numPr>
          <w:ilvl w:val="1"/>
          <w:numId w:val="1"/>
        </w:numPr>
        <w:rPr>
          <w:b w:val="0"/>
          <w:i/>
        </w:rPr>
      </w:pPr>
      <w:r w:rsidRPr="00B65B22">
        <w:rPr>
          <w:b w:val="0"/>
          <w:i/>
        </w:rPr>
        <w:t>Recht op voordelen (artikel 2</w:t>
      </w:r>
      <w:r w:rsidRPr="00B65B22" w:rsidR="00A010A5">
        <w:rPr>
          <w:b w:val="0"/>
          <w:i/>
        </w:rPr>
        <w:t>6</w:t>
      </w:r>
      <w:r w:rsidRPr="00B65B22" w:rsidR="00980FF3">
        <w:rPr>
          <w:b w:val="0"/>
          <w:i/>
        </w:rPr>
        <w:t xml:space="preserve"> van het Verdrag</w:t>
      </w:r>
      <w:r w:rsidRPr="00B65B22">
        <w:rPr>
          <w:b w:val="0"/>
          <w:i/>
        </w:rPr>
        <w:t>)</w:t>
      </w:r>
    </w:p>
    <w:p w:rsidRPr="00B65B22" w:rsidR="000A3544" w:rsidP="004A2ACC" w:rsidRDefault="000A3544" w14:paraId="3366AE8F" w14:textId="77777777">
      <w:pPr>
        <w:ind w:firstLine="720"/>
        <w:rPr>
          <w:rFonts w:cs="Arial"/>
          <w:szCs w:val="20"/>
        </w:rPr>
      </w:pPr>
      <w:r w:rsidRPr="00B65B22">
        <w:rPr>
          <w:rFonts w:cs="Arial"/>
          <w:szCs w:val="20"/>
        </w:rPr>
        <w:t>In artikel 2</w:t>
      </w:r>
      <w:r w:rsidRPr="00B65B22" w:rsidR="00A010A5">
        <w:rPr>
          <w:rFonts w:cs="Arial"/>
          <w:szCs w:val="20"/>
        </w:rPr>
        <w:t>6</w:t>
      </w:r>
      <w:r w:rsidRPr="00B65B22">
        <w:rPr>
          <w:rFonts w:cs="Arial"/>
          <w:szCs w:val="20"/>
        </w:rPr>
        <w:t xml:space="preserve"> van het Verdrag is </w:t>
      </w:r>
      <w:r w:rsidRPr="00B65B22" w:rsidR="004A2ACC">
        <w:rPr>
          <w:rFonts w:cs="Arial"/>
          <w:szCs w:val="20"/>
        </w:rPr>
        <w:t xml:space="preserve">in aansluiting </w:t>
      </w:r>
      <w:r w:rsidRPr="00B65B22" w:rsidR="00BE00CD">
        <w:rPr>
          <w:rFonts w:cs="Arial"/>
          <w:szCs w:val="20"/>
        </w:rPr>
        <w:t xml:space="preserve">op </w:t>
      </w:r>
      <w:r w:rsidRPr="00B65B22" w:rsidR="004A2ACC">
        <w:rPr>
          <w:rFonts w:cs="Arial"/>
          <w:szCs w:val="20"/>
        </w:rPr>
        <w:t xml:space="preserve">artikel 29, negende lid, van het OESO-modelverdrag </w:t>
      </w:r>
      <w:r w:rsidRPr="00B65B22">
        <w:rPr>
          <w:rFonts w:cs="Arial"/>
          <w:szCs w:val="20"/>
        </w:rPr>
        <w:t>een zogeheten ‘</w:t>
      </w:r>
      <w:r w:rsidRPr="00B65B22">
        <w:rPr>
          <w:rFonts w:cs="Arial"/>
          <w:i/>
          <w:szCs w:val="20"/>
        </w:rPr>
        <w:t>principal purposes test’</w:t>
      </w:r>
      <w:r w:rsidRPr="00B65B22">
        <w:rPr>
          <w:rFonts w:cs="Arial"/>
          <w:szCs w:val="20"/>
        </w:rPr>
        <w:t xml:space="preserve"> opgenomen ter bestrijding van verdragsmisbruik</w:t>
      </w:r>
      <w:r w:rsidRPr="00B65B22" w:rsidR="004A2ACC">
        <w:rPr>
          <w:rFonts w:cs="Arial"/>
          <w:szCs w:val="20"/>
        </w:rPr>
        <w:t xml:space="preserve">. </w:t>
      </w:r>
    </w:p>
    <w:p w:rsidRPr="00B65B22" w:rsidR="000A3544" w:rsidP="000A3544" w:rsidRDefault="000A3544" w14:paraId="05437F5E" w14:textId="77777777">
      <w:pPr>
        <w:ind w:firstLine="720"/>
        <w:rPr>
          <w:rFonts w:cs="Arial"/>
          <w:szCs w:val="20"/>
        </w:rPr>
      </w:pPr>
      <w:r w:rsidRPr="00B65B22">
        <w:rPr>
          <w:rFonts w:cs="Arial"/>
          <w:szCs w:val="20"/>
        </w:rPr>
        <w:t>Op grond van het eerste lid worden verdragsvoordelen niet toegekend voor een inkomensbestanddeel indien het verkrijgen van dit verdragsvoordeel één van de voornaamste redenen was voor een constructie of transactie die tot dat voordeel heeft geleid.</w:t>
      </w:r>
      <w:r w:rsidRPr="00B65B22" w:rsidR="00724103">
        <w:rPr>
          <w:rFonts w:cs="Arial"/>
          <w:szCs w:val="20"/>
        </w:rPr>
        <w:t xml:space="preserve"> Voorafgaand aan het onthouden van verdragsvoordelen door één van de </w:t>
      </w:r>
      <w:r w:rsidRPr="00B65B22" w:rsidR="00BE00CD">
        <w:rPr>
          <w:rFonts w:cs="Arial"/>
          <w:szCs w:val="20"/>
        </w:rPr>
        <w:t>verdragsluitende s</w:t>
      </w:r>
      <w:r w:rsidRPr="00B65B22" w:rsidR="00724103">
        <w:rPr>
          <w:rFonts w:cs="Arial"/>
          <w:szCs w:val="20"/>
        </w:rPr>
        <w:t xml:space="preserve">taten op grond van het eerste lid zal de betreffende </w:t>
      </w:r>
      <w:r w:rsidRPr="00B65B22" w:rsidR="00BE00CD">
        <w:rPr>
          <w:rFonts w:cs="Arial"/>
          <w:szCs w:val="20"/>
        </w:rPr>
        <w:t>verdragsluitende s</w:t>
      </w:r>
      <w:r w:rsidRPr="00B65B22" w:rsidR="00724103">
        <w:rPr>
          <w:rFonts w:cs="Arial"/>
          <w:szCs w:val="20"/>
        </w:rPr>
        <w:t>taat contact opnemen met de andere Staat</w:t>
      </w:r>
      <w:r w:rsidRPr="00B65B22" w:rsidR="004A2ACC">
        <w:rPr>
          <w:rFonts w:cs="Arial"/>
          <w:szCs w:val="20"/>
        </w:rPr>
        <w:t xml:space="preserve"> (verplichte voorafgaande consultatie)</w:t>
      </w:r>
      <w:r w:rsidRPr="00B65B22" w:rsidR="00724103">
        <w:rPr>
          <w:rFonts w:cs="Arial"/>
          <w:szCs w:val="20"/>
        </w:rPr>
        <w:t>.</w:t>
      </w:r>
    </w:p>
    <w:p w:rsidRPr="00B65B22" w:rsidR="000A3544" w:rsidP="00B46FF3" w:rsidRDefault="000A3544" w14:paraId="0979DD58" w14:textId="77777777">
      <w:pPr>
        <w:ind w:firstLine="720"/>
      </w:pPr>
      <w:r w:rsidRPr="00B65B22">
        <w:t xml:space="preserve">In het </w:t>
      </w:r>
      <w:r w:rsidRPr="00B65B22">
        <w:rPr>
          <w:rFonts w:cs="Arial"/>
          <w:szCs w:val="20"/>
        </w:rPr>
        <w:t xml:space="preserve">tweede lid is bepaald dat op verzoek van een belastingplichtige </w:t>
      </w:r>
      <w:r w:rsidRPr="00B65B22">
        <w:t xml:space="preserve">de bevoegde autoriteit van de staat waarvan verdragsvoordelen worden gevraagd (veelal het bronland) de mogelijkheid heeft verdragsvoordelen toch toe te kennen voor zover wordt vastgesteld dat bij afwezigheid van een </w:t>
      </w:r>
      <w:r w:rsidRPr="00B65B22">
        <w:rPr>
          <w:color w:val="000000" w:themeColor="text1"/>
        </w:rPr>
        <w:t>transactie of constructie bedoeld in het eerste lid,</w:t>
      </w:r>
      <w:r w:rsidRPr="00B65B22">
        <w:t xml:space="preserve"> verdragsvoordelen ook gegeven zouden zijn (de zogenoemde ‘vangnetbepaling’). </w:t>
      </w:r>
      <w:r w:rsidRPr="00B65B22" w:rsidR="00724103">
        <w:rPr>
          <w:rFonts w:cs="Arial"/>
          <w:szCs w:val="20"/>
        </w:rPr>
        <w:t xml:space="preserve">Voorafgaand aan het toekennen van verdragsvoordelen door één van de </w:t>
      </w:r>
      <w:r w:rsidRPr="00B65B22" w:rsidR="00EA62E4">
        <w:rPr>
          <w:rFonts w:cs="Arial"/>
          <w:szCs w:val="20"/>
        </w:rPr>
        <w:t>verdragsluitende s</w:t>
      </w:r>
      <w:r w:rsidRPr="00B65B22" w:rsidR="00724103">
        <w:rPr>
          <w:rFonts w:cs="Arial"/>
          <w:szCs w:val="20"/>
        </w:rPr>
        <w:t xml:space="preserve">taten op grond van het tweede lid zal de betreffende Staat contact opnemen met de andere </w:t>
      </w:r>
      <w:r w:rsidRPr="00B65B22" w:rsidR="00EA62E4">
        <w:rPr>
          <w:rFonts w:cs="Arial"/>
          <w:szCs w:val="20"/>
        </w:rPr>
        <w:t>verdragsluitende s</w:t>
      </w:r>
      <w:r w:rsidRPr="00B65B22" w:rsidR="00724103">
        <w:rPr>
          <w:rFonts w:cs="Arial"/>
          <w:szCs w:val="20"/>
        </w:rPr>
        <w:t>taat.</w:t>
      </w:r>
    </w:p>
    <w:p w:rsidRPr="00B65B22" w:rsidR="007B6437" w:rsidP="00901C1E" w:rsidRDefault="007B6437" w14:paraId="232D222E" w14:textId="77777777">
      <w:pPr>
        <w:pStyle w:val="Kop2"/>
        <w:numPr>
          <w:ilvl w:val="1"/>
          <w:numId w:val="1"/>
        </w:numPr>
        <w:rPr>
          <w:b w:val="0"/>
          <w:i/>
        </w:rPr>
      </w:pPr>
      <w:r w:rsidRPr="00B65B22">
        <w:rPr>
          <w:b w:val="0"/>
          <w:i/>
        </w:rPr>
        <w:t xml:space="preserve">Uitbreiding tot andere gebieden (artikel </w:t>
      </w:r>
      <w:r w:rsidRPr="00B65B22" w:rsidR="009E781E">
        <w:rPr>
          <w:b w:val="0"/>
          <w:i/>
        </w:rPr>
        <w:t>27</w:t>
      </w:r>
      <w:r w:rsidRPr="00B65B22" w:rsidR="00980FF3">
        <w:rPr>
          <w:b w:val="0"/>
          <w:i/>
        </w:rPr>
        <w:t xml:space="preserve"> van het Verdrag</w:t>
      </w:r>
      <w:r w:rsidRPr="00B65B22">
        <w:rPr>
          <w:b w:val="0"/>
          <w:i/>
        </w:rPr>
        <w:t>)</w:t>
      </w:r>
    </w:p>
    <w:p w:rsidRPr="00B65B22" w:rsidR="009E781E" w:rsidP="00B910DE" w:rsidRDefault="009E781E" w14:paraId="158514CE" w14:textId="77777777">
      <w:pPr>
        <w:rPr>
          <w:rFonts w:ascii="Verdana" w:hAnsi="Verdana" w:cs="Arial"/>
          <w:sz w:val="18"/>
          <w:szCs w:val="18"/>
        </w:rPr>
      </w:pPr>
      <w:r w:rsidRPr="00B65B22">
        <w:rPr>
          <w:rFonts w:cs="Arial"/>
          <w:szCs w:val="20"/>
        </w:rPr>
        <w:t xml:space="preserve">Het eerste lid bepaalt dat het Verdrag - mits aan bepaalde voorwaarden wordt voldaan - kan worden uitgebreid tot Aruba, Curaçao </w:t>
      </w:r>
      <w:r w:rsidRPr="00B65B22" w:rsidR="00411776">
        <w:rPr>
          <w:rFonts w:cs="Arial"/>
          <w:szCs w:val="20"/>
        </w:rPr>
        <w:t>of</w:t>
      </w:r>
      <w:r w:rsidRPr="00B65B22">
        <w:rPr>
          <w:rFonts w:cs="Arial"/>
          <w:szCs w:val="20"/>
        </w:rPr>
        <w:t xml:space="preserve"> Sint Maarten. </w:t>
      </w:r>
      <w:r w:rsidRPr="00B65B22" w:rsidR="00FD0676">
        <w:rPr>
          <w:rFonts w:cs="Arial"/>
          <w:szCs w:val="20"/>
        </w:rPr>
        <w:t>Een dergelijke uitbreiding zou de goedkeuring van het parlement behoeven.</w:t>
      </w:r>
    </w:p>
    <w:p w:rsidRPr="00B65B22" w:rsidR="009E781E" w:rsidP="009E781E" w:rsidRDefault="009E781E" w14:paraId="2D7BF15D" w14:textId="77777777">
      <w:pPr>
        <w:ind w:firstLine="720"/>
        <w:rPr>
          <w:rFonts w:cs="Arial"/>
          <w:szCs w:val="20"/>
        </w:rPr>
      </w:pPr>
      <w:r w:rsidRPr="00B65B22">
        <w:rPr>
          <w:rFonts w:cs="Arial"/>
          <w:szCs w:val="20"/>
        </w:rPr>
        <w:t xml:space="preserve">Het tweede lid bepaalt dat als het Verdrag in overeenstemming met het eerste lid is uitgebreid, die uitbreiding niet automatisch wordt beëindigd als het onderhavige Verdrag wordt beëindigd, tenzij anders overeengekomen. </w:t>
      </w:r>
    </w:p>
    <w:p w:rsidRPr="00B65B22" w:rsidR="007B6437" w:rsidP="00901C1E" w:rsidRDefault="007B6437" w14:paraId="06E73E0D" w14:textId="77777777">
      <w:pPr>
        <w:pStyle w:val="Kop2"/>
        <w:numPr>
          <w:ilvl w:val="1"/>
          <w:numId w:val="1"/>
        </w:numPr>
        <w:rPr>
          <w:b w:val="0"/>
          <w:i/>
        </w:rPr>
      </w:pPr>
      <w:r w:rsidRPr="00B65B22">
        <w:rPr>
          <w:b w:val="0"/>
          <w:i/>
        </w:rPr>
        <w:t xml:space="preserve">Inwerkingtreding (artikel </w:t>
      </w:r>
      <w:r w:rsidRPr="00B65B22" w:rsidR="009E781E">
        <w:rPr>
          <w:b w:val="0"/>
          <w:i/>
        </w:rPr>
        <w:t>28</w:t>
      </w:r>
      <w:r w:rsidRPr="00B65B22" w:rsidR="00980FF3">
        <w:rPr>
          <w:b w:val="0"/>
          <w:i/>
        </w:rPr>
        <w:t xml:space="preserve"> van het Verdrag</w:t>
      </w:r>
      <w:r w:rsidRPr="00B65B22">
        <w:rPr>
          <w:b w:val="0"/>
          <w:i/>
        </w:rPr>
        <w:t>)</w:t>
      </w:r>
    </w:p>
    <w:p w:rsidRPr="00B65B22" w:rsidR="009E781E" w:rsidP="009E781E" w:rsidRDefault="009E781E" w14:paraId="70443437" w14:textId="77777777">
      <w:pPr>
        <w:ind w:firstLine="720"/>
        <w:rPr>
          <w:rFonts w:cs="Arial"/>
          <w:szCs w:val="20"/>
        </w:rPr>
      </w:pPr>
      <w:r w:rsidRPr="00B65B22">
        <w:rPr>
          <w:rFonts w:cs="Arial"/>
          <w:szCs w:val="20"/>
        </w:rPr>
        <w:t xml:space="preserve">Volgens het eerste lid stellen de verdragsluitende staten elkaar via diplomatieke notawisseling ervan in kennis dat de in hun staat vereiste wettelijke procedures voor de inwerkingtreding van het Verdrag zijn vervuld. Het Verdrag treedt dan in werking op de laatste dag van de maand volgend op de maand waarin de laatste van de beide kennisgevingen is ontvangen. De bepalingen vinden vervolgens </w:t>
      </w:r>
      <w:r w:rsidRPr="00B65B22" w:rsidR="00DD5032">
        <w:rPr>
          <w:rFonts w:cs="Arial"/>
          <w:szCs w:val="20"/>
        </w:rPr>
        <w:t xml:space="preserve">voor het eerst </w:t>
      </w:r>
      <w:r w:rsidRPr="00B65B22">
        <w:rPr>
          <w:rFonts w:cs="Arial"/>
          <w:szCs w:val="20"/>
        </w:rPr>
        <w:t xml:space="preserve">toepassing </w:t>
      </w:r>
      <w:r w:rsidRPr="00B65B22" w:rsidR="00DD5032">
        <w:rPr>
          <w:rFonts w:cs="Arial"/>
          <w:szCs w:val="20"/>
        </w:rPr>
        <w:t xml:space="preserve">met betrekking tot </w:t>
      </w:r>
      <w:r w:rsidRPr="00B65B22">
        <w:rPr>
          <w:rFonts w:cs="Arial"/>
          <w:szCs w:val="20"/>
        </w:rPr>
        <w:t xml:space="preserve">belastingjaren en </w:t>
      </w:r>
      <w:r w:rsidRPr="00B65B22" w:rsidR="00D22E95">
        <w:rPr>
          <w:rFonts w:cs="Arial"/>
          <w:szCs w:val="20"/>
        </w:rPr>
        <w:t>-</w:t>
      </w:r>
      <w:r w:rsidRPr="00B65B22">
        <w:rPr>
          <w:rFonts w:cs="Arial"/>
          <w:szCs w:val="20"/>
        </w:rPr>
        <w:t xml:space="preserve">tijdvakken beginnend, en op belastbare gebeurtenissen die zich voordoen, op of na 1 januari van het kalenderjaar dat volgt op het kalenderjaar waarin het Verdrag in werking is getreden. </w:t>
      </w:r>
    </w:p>
    <w:p w:rsidRPr="00B65B22" w:rsidR="009E505D" w:rsidP="00B910DE" w:rsidRDefault="009E505D" w14:paraId="0394045E" w14:textId="77777777">
      <w:pPr>
        <w:ind w:firstLine="720"/>
      </w:pPr>
      <w:r w:rsidRPr="00B65B22">
        <w:rPr>
          <w:rFonts w:cs="Arial"/>
          <w:szCs w:val="20"/>
        </w:rPr>
        <w:t xml:space="preserve">Omdat in Cyprus een wettelijke bepaling voor arbitrage ontbreekt is in het tweede lid </w:t>
      </w:r>
      <w:r w:rsidRPr="00B65B22" w:rsidR="001712EE">
        <w:rPr>
          <w:rFonts w:cs="Arial"/>
          <w:szCs w:val="20"/>
        </w:rPr>
        <w:t xml:space="preserve">op verzoek </w:t>
      </w:r>
      <w:r w:rsidRPr="00B65B22" w:rsidR="00781F88">
        <w:rPr>
          <w:rFonts w:cs="Arial"/>
          <w:szCs w:val="20"/>
        </w:rPr>
        <w:t xml:space="preserve">van Cyprus </w:t>
      </w:r>
      <w:r w:rsidRPr="00B65B22">
        <w:rPr>
          <w:rFonts w:cs="Arial"/>
          <w:szCs w:val="20"/>
        </w:rPr>
        <w:t>een bepaling opgenomen dat</w:t>
      </w:r>
      <w:r w:rsidRPr="00B65B22" w:rsidR="001712EE">
        <w:rPr>
          <w:rFonts w:cs="Arial"/>
          <w:szCs w:val="20"/>
        </w:rPr>
        <w:t xml:space="preserve"> </w:t>
      </w:r>
      <w:r w:rsidRPr="00B65B22">
        <w:rPr>
          <w:rFonts w:cs="Arial"/>
          <w:szCs w:val="20"/>
        </w:rPr>
        <w:t xml:space="preserve">de bepalingen met betrekking tot arbitrage </w:t>
      </w:r>
      <w:r w:rsidRPr="00B65B22" w:rsidR="001712EE">
        <w:rPr>
          <w:rFonts w:cs="Arial"/>
          <w:szCs w:val="20"/>
        </w:rPr>
        <w:t xml:space="preserve">zoals deze zijn neergelegd in het vijfde lid van </w:t>
      </w:r>
      <w:r w:rsidRPr="00B65B22" w:rsidR="005137AB">
        <w:rPr>
          <w:rFonts w:cs="Arial"/>
          <w:szCs w:val="20"/>
        </w:rPr>
        <w:t>a</w:t>
      </w:r>
      <w:r w:rsidRPr="00B65B22" w:rsidR="009E781E">
        <w:rPr>
          <w:rFonts w:cs="Arial"/>
          <w:szCs w:val="20"/>
        </w:rPr>
        <w:t>rtikel 23, en</w:t>
      </w:r>
      <w:r w:rsidRPr="00B65B22" w:rsidR="001712EE">
        <w:rPr>
          <w:rFonts w:cs="Arial"/>
          <w:szCs w:val="20"/>
        </w:rPr>
        <w:t xml:space="preserve"> in het derde</w:t>
      </w:r>
      <w:r w:rsidRPr="00B65B22" w:rsidR="009E781E">
        <w:rPr>
          <w:rFonts w:cs="Arial"/>
          <w:szCs w:val="20"/>
        </w:rPr>
        <w:t xml:space="preserve"> lid </w:t>
      </w:r>
      <w:r w:rsidRPr="00B65B22" w:rsidR="001712EE">
        <w:rPr>
          <w:rFonts w:cs="Arial"/>
          <w:szCs w:val="20"/>
        </w:rPr>
        <w:t>van</w:t>
      </w:r>
      <w:r w:rsidRPr="00B65B22" w:rsidR="009E781E">
        <w:rPr>
          <w:rFonts w:cs="Arial"/>
          <w:szCs w:val="20"/>
        </w:rPr>
        <w:t xml:space="preserve"> </w:t>
      </w:r>
      <w:r w:rsidRPr="00B65B22" w:rsidR="005137AB">
        <w:rPr>
          <w:rFonts w:cs="Arial"/>
          <w:szCs w:val="20"/>
        </w:rPr>
        <w:t>a</w:t>
      </w:r>
      <w:r w:rsidRPr="00B65B22" w:rsidR="009E781E">
        <w:rPr>
          <w:rFonts w:cs="Arial"/>
          <w:szCs w:val="20"/>
        </w:rPr>
        <w:t xml:space="preserve">rtikel </w:t>
      </w:r>
      <w:r w:rsidRPr="00B65B22" w:rsidR="00C70339">
        <w:rPr>
          <w:rFonts w:cs="Arial"/>
          <w:szCs w:val="20"/>
        </w:rPr>
        <w:t>24</w:t>
      </w:r>
      <w:r w:rsidRPr="00B65B22" w:rsidR="009E781E">
        <w:rPr>
          <w:rFonts w:cs="Arial"/>
          <w:szCs w:val="20"/>
        </w:rPr>
        <w:t xml:space="preserve"> in werking treden </w:t>
      </w:r>
      <w:r w:rsidRPr="00B65B22" w:rsidR="001712EE">
        <w:rPr>
          <w:rFonts w:cs="Arial"/>
          <w:szCs w:val="20"/>
        </w:rPr>
        <w:t>nadat</w:t>
      </w:r>
      <w:r w:rsidRPr="00B65B22" w:rsidR="009E781E">
        <w:rPr>
          <w:rFonts w:cs="Arial"/>
          <w:szCs w:val="20"/>
        </w:rPr>
        <w:t xml:space="preserve"> </w:t>
      </w:r>
      <w:r w:rsidRPr="00B65B22" w:rsidR="001712EE">
        <w:rPr>
          <w:rFonts w:cs="Arial"/>
          <w:szCs w:val="20"/>
        </w:rPr>
        <w:t>Cyprus een wettelijke basis h</w:t>
      </w:r>
      <w:r w:rsidRPr="00B65B22" w:rsidR="008C1033">
        <w:rPr>
          <w:rFonts w:cs="Arial"/>
          <w:szCs w:val="20"/>
        </w:rPr>
        <w:t xml:space="preserve">eeft gecreëerd voor verplichte </w:t>
      </w:r>
      <w:r w:rsidRPr="00B65B22" w:rsidR="001712EE">
        <w:rPr>
          <w:rFonts w:cs="Arial"/>
          <w:szCs w:val="20"/>
        </w:rPr>
        <w:t>en bindende arbitrage.</w:t>
      </w:r>
    </w:p>
    <w:p w:rsidRPr="00B65B22" w:rsidR="007B6437" w:rsidP="00901C1E" w:rsidRDefault="007B6437" w14:paraId="60782A4B" w14:textId="77777777">
      <w:pPr>
        <w:pStyle w:val="Kop2"/>
        <w:numPr>
          <w:ilvl w:val="1"/>
          <w:numId w:val="1"/>
        </w:numPr>
        <w:spacing w:after="0"/>
        <w:rPr>
          <w:b w:val="0"/>
          <w:i/>
        </w:rPr>
      </w:pPr>
      <w:r w:rsidRPr="00B65B22">
        <w:rPr>
          <w:b w:val="0"/>
          <w:i/>
        </w:rPr>
        <w:t xml:space="preserve">Beëindiging (artikel </w:t>
      </w:r>
      <w:r w:rsidRPr="00B65B22" w:rsidR="009E781E">
        <w:rPr>
          <w:b w:val="0"/>
          <w:i/>
        </w:rPr>
        <w:t>29</w:t>
      </w:r>
      <w:r w:rsidRPr="00B65B22" w:rsidR="00980FF3">
        <w:rPr>
          <w:b w:val="0"/>
          <w:i/>
        </w:rPr>
        <w:t xml:space="preserve"> van het Verdrag</w:t>
      </w:r>
      <w:r w:rsidRPr="00B65B22">
        <w:rPr>
          <w:b w:val="0"/>
          <w:i/>
        </w:rPr>
        <w:t>)</w:t>
      </w:r>
    </w:p>
    <w:p w:rsidRPr="00B65B22" w:rsidR="00C83CE5" w:rsidP="00C83CE5" w:rsidRDefault="00AE5CC1" w14:paraId="7CFB5629" w14:textId="77777777">
      <w:pPr>
        <w:ind w:firstLine="720"/>
        <w:rPr>
          <w:rFonts w:cs="Arial"/>
          <w:szCs w:val="20"/>
        </w:rPr>
      </w:pPr>
      <w:r w:rsidRPr="00B65B22">
        <w:rPr>
          <w:rFonts w:cs="Arial"/>
          <w:szCs w:val="20"/>
        </w:rPr>
        <w:t>Uit het eerste lid volgt dat h</w:t>
      </w:r>
      <w:r w:rsidRPr="00B65B22" w:rsidR="00085719">
        <w:rPr>
          <w:rFonts w:cs="Arial"/>
          <w:szCs w:val="20"/>
        </w:rPr>
        <w:t xml:space="preserve">et Verdrag in beginsel voor onbepaalde tijd </w:t>
      </w:r>
      <w:r w:rsidRPr="00B65B22">
        <w:rPr>
          <w:rFonts w:cs="Arial"/>
          <w:szCs w:val="20"/>
        </w:rPr>
        <w:t xml:space="preserve">wordt </w:t>
      </w:r>
      <w:r w:rsidRPr="00B65B22" w:rsidR="00085719">
        <w:rPr>
          <w:rFonts w:cs="Arial"/>
          <w:szCs w:val="20"/>
        </w:rPr>
        <w:t xml:space="preserve">aangegaan. Het Verdrag kan echter door elk van beide verdragsluitende staten, langs diplomatieke weg, worden beëindigd. Als de kennisgeving van beëindiging is ontvangen in de eerste helft van een kalenderjaar, dan houdt het Verdrag op van toepassing te zijn op of na 1 januari van het kalenderjaar dat volgt op het kalenderjaar waarin de kennisgeving van beëindiging is ontvangen. Als de kennisgeving van beëindiging is ontvangen in de tweede helft van een kalenderjaar, dan houdt het Verdrag op van toepassing te zijn op of na 1 januari van het tweede kalenderjaar dat volgt op het kalenderjaar waarin de kennisgeving van beëindiging is gedaan. </w:t>
      </w:r>
    </w:p>
    <w:p w:rsidRPr="00B65B22" w:rsidR="00C83CE5" w:rsidP="00C83CE5" w:rsidRDefault="00AE5CC1" w14:paraId="512557B5" w14:textId="37E7F640">
      <w:pPr>
        <w:ind w:firstLine="720"/>
        <w:rPr>
          <w:rFonts w:cs="Arial"/>
          <w:szCs w:val="20"/>
        </w:rPr>
      </w:pPr>
      <w:r w:rsidRPr="00B65B22">
        <w:rPr>
          <w:rFonts w:cs="Arial"/>
          <w:szCs w:val="20"/>
        </w:rPr>
        <w:t>In het twee</w:t>
      </w:r>
      <w:r w:rsidRPr="00B65B22" w:rsidR="00C83CE5">
        <w:rPr>
          <w:rFonts w:cs="Arial"/>
          <w:szCs w:val="20"/>
        </w:rPr>
        <w:t>de lid is bepaald dat de kennisgeving van beëindiging geacht wordt te zijn gedaan op de datum van ontvangst van een dergelijke kennisgeving.</w:t>
      </w:r>
    </w:p>
    <w:p w:rsidRPr="00B65B22" w:rsidR="007B6437" w:rsidP="007B6437" w:rsidRDefault="007B6437" w14:paraId="02DC194E" w14:textId="77777777">
      <w:pPr>
        <w:ind w:firstLine="0"/>
      </w:pPr>
    </w:p>
    <w:p w:rsidRPr="00B65B22" w:rsidR="007B6437" w:rsidP="007B6437" w:rsidRDefault="007B6437" w14:paraId="50C36ACD" w14:textId="77777777">
      <w:pPr>
        <w:ind w:firstLine="0"/>
      </w:pPr>
      <w:r w:rsidRPr="00B65B22">
        <w:t xml:space="preserve">De </w:t>
      </w:r>
      <w:r w:rsidRPr="00B65B22" w:rsidR="00761C70">
        <w:t>S</w:t>
      </w:r>
      <w:r w:rsidRPr="00B65B22" w:rsidR="00AF2710">
        <w:t>taat</w:t>
      </w:r>
      <w:r w:rsidRPr="00B65B22">
        <w:t>ssecretaris van Financiën</w:t>
      </w:r>
      <w:r w:rsidRPr="00B65B22" w:rsidR="00E412B3">
        <w:t>,</w:t>
      </w:r>
    </w:p>
    <w:p w:rsidRPr="00B65B22" w:rsidR="007B6437" w:rsidP="007B6437" w:rsidRDefault="007B6437" w14:paraId="73E50D6B" w14:textId="77777777">
      <w:pPr>
        <w:ind w:firstLine="0"/>
      </w:pPr>
    </w:p>
    <w:p w:rsidRPr="00B65B22" w:rsidR="007B6437" w:rsidP="007B6437" w:rsidRDefault="007B6437" w14:paraId="0E84FA1F" w14:textId="77777777">
      <w:pPr>
        <w:ind w:firstLine="0"/>
      </w:pPr>
    </w:p>
    <w:p w:rsidRPr="00B65B22" w:rsidR="007B6437" w:rsidP="007B6437" w:rsidRDefault="007B6437" w14:paraId="1E7C2AD1" w14:textId="77777777">
      <w:pPr>
        <w:ind w:firstLine="0"/>
      </w:pPr>
    </w:p>
    <w:p w:rsidR="00B849DA" w:rsidP="00403D2F" w:rsidRDefault="00B849DA" w14:paraId="53D7F023" w14:textId="77777777">
      <w:pPr>
        <w:spacing w:line="240" w:lineRule="auto"/>
        <w:ind w:firstLine="0"/>
      </w:pPr>
    </w:p>
    <w:p w:rsidRPr="00B65B22" w:rsidR="007B6437" w:rsidP="00403D2F" w:rsidRDefault="007B6437" w14:paraId="1C834635" w14:textId="3ED38667">
      <w:pPr>
        <w:spacing w:line="240" w:lineRule="auto"/>
        <w:ind w:firstLine="0"/>
        <w:rPr>
          <w:rFonts w:cs="Arial"/>
          <w:szCs w:val="20"/>
        </w:rPr>
      </w:pPr>
      <w:r w:rsidRPr="00B65B22">
        <w:t>De Minister van Buitenlandse Zaken,</w:t>
      </w:r>
    </w:p>
    <w:sectPr w:rsidRPr="00B65B22" w:rsidR="007B6437" w:rsidSect="00E80A06">
      <w:headerReference w:type="even" r:id="rId9"/>
      <w:headerReference w:type="default" r:id="rId10"/>
      <w:footerReference w:type="even" r:id="rId11"/>
      <w:footerReference w:type="default" r:id="rId12"/>
      <w:headerReference w:type="first" r:id="rId13"/>
      <w:footerReference w:type="first" r:id="rId14"/>
      <w:pgSz w:w="11906" w:h="16838"/>
      <w:pgMar w:top="1276"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DF40F" w14:textId="77777777" w:rsidR="0000190E" w:rsidRDefault="0000190E">
      <w:pPr>
        <w:spacing w:line="240" w:lineRule="auto"/>
      </w:pPr>
      <w:r>
        <w:separator/>
      </w:r>
    </w:p>
  </w:endnote>
  <w:endnote w:type="continuationSeparator" w:id="0">
    <w:p w14:paraId="5D118E65" w14:textId="77777777" w:rsidR="0000190E" w:rsidRDefault="000019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ICEL A+ Univers">
    <w:altName w:val="Arial"/>
    <w:panose1 w:val="00000000000000000000"/>
    <w:charset w:val="00"/>
    <w:family w:val="swiss"/>
    <w:notTrueType/>
    <w:pitch w:val="default"/>
    <w:sig w:usb0="00000003" w:usb1="00000000" w:usb2="00000000" w:usb3="00000000" w:csb0="00000001" w:csb1="00000000"/>
  </w:font>
  <w:font w:name="Tunga">
    <w:altName w:val="Courier New"/>
    <w:panose1 w:val="000004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02B87" w14:textId="77777777" w:rsidR="005900E7" w:rsidRDefault="005900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30075" w14:textId="79C65522" w:rsidR="005900E7" w:rsidRPr="006B3122" w:rsidRDefault="005900E7" w:rsidP="006B3122">
    <w:pPr>
      <w:pStyle w:val="Voettekst"/>
      <w:ind w:firstLine="0"/>
    </w:pPr>
    <w:r>
      <w:tab/>
    </w:r>
    <w:r>
      <w:rPr>
        <w:rStyle w:val="Paginanummer"/>
      </w:rPr>
      <w:fldChar w:fldCharType="begin"/>
    </w:r>
    <w:r>
      <w:rPr>
        <w:rStyle w:val="Paginanummer"/>
      </w:rPr>
      <w:instrText xml:space="preserve"> PAGE </w:instrText>
    </w:r>
    <w:r>
      <w:rPr>
        <w:rStyle w:val="Paginanummer"/>
      </w:rPr>
      <w:fldChar w:fldCharType="separate"/>
    </w:r>
    <w:r w:rsidR="009F033A">
      <w:rPr>
        <w:rStyle w:val="Paginanummer"/>
        <w:noProof/>
      </w:rPr>
      <w:t>1</w:t>
    </w:r>
    <w:r>
      <w:rPr>
        <w:rStyle w:val="Pagina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839EF" w14:textId="77777777" w:rsidR="005900E7" w:rsidRDefault="005900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B8396" w14:textId="77777777" w:rsidR="0000190E" w:rsidRDefault="0000190E">
      <w:pPr>
        <w:spacing w:line="240" w:lineRule="auto"/>
      </w:pPr>
      <w:r>
        <w:separator/>
      </w:r>
    </w:p>
  </w:footnote>
  <w:footnote w:type="continuationSeparator" w:id="0">
    <w:p w14:paraId="10C585D0" w14:textId="77777777" w:rsidR="0000190E" w:rsidRDefault="0000190E">
      <w:pPr>
        <w:spacing w:line="240" w:lineRule="auto"/>
      </w:pPr>
      <w:r>
        <w:continuationSeparator/>
      </w:r>
    </w:p>
  </w:footnote>
  <w:footnote w:id="1">
    <w:p w14:paraId="0BE27885" w14:textId="77777777" w:rsidR="005900E7" w:rsidRPr="00B849DA" w:rsidRDefault="005900E7" w:rsidP="00B65B22">
      <w:pPr>
        <w:pStyle w:val="Voetnoottekst"/>
        <w:ind w:firstLine="0"/>
        <w:rPr>
          <w:rFonts w:cs="Arial"/>
          <w:sz w:val="16"/>
          <w:szCs w:val="16"/>
        </w:rPr>
      </w:pPr>
      <w:r w:rsidRPr="00B849DA">
        <w:rPr>
          <w:rStyle w:val="Voetnootmarkering"/>
          <w:rFonts w:cs="Arial"/>
          <w:sz w:val="16"/>
          <w:szCs w:val="16"/>
        </w:rPr>
        <w:footnoteRef/>
      </w:r>
      <w:r w:rsidRPr="00B849DA">
        <w:rPr>
          <w:rFonts w:cs="Arial"/>
          <w:sz w:val="16"/>
          <w:szCs w:val="16"/>
        </w:rPr>
        <w:t xml:space="preserve"> Bijlage bij Kamerstukken II 2010/11, 25087, nr. 7.</w:t>
      </w:r>
    </w:p>
  </w:footnote>
  <w:footnote w:id="2">
    <w:p w14:paraId="0A363B98" w14:textId="77777777" w:rsidR="005900E7" w:rsidRPr="00B849DA" w:rsidRDefault="005900E7" w:rsidP="00B65B22">
      <w:pPr>
        <w:pStyle w:val="Voetnoottekst"/>
        <w:ind w:firstLine="0"/>
        <w:rPr>
          <w:rFonts w:cs="Arial"/>
          <w:sz w:val="16"/>
          <w:szCs w:val="16"/>
        </w:rPr>
      </w:pPr>
      <w:r w:rsidRPr="00B849DA">
        <w:rPr>
          <w:rStyle w:val="Voetnootmarkering"/>
          <w:sz w:val="16"/>
          <w:szCs w:val="16"/>
        </w:rPr>
        <w:footnoteRef/>
      </w:r>
      <w:r w:rsidRPr="00B849DA">
        <w:rPr>
          <w:sz w:val="16"/>
          <w:szCs w:val="16"/>
        </w:rPr>
        <w:t xml:space="preserve"> </w:t>
      </w:r>
      <w:r w:rsidRPr="00B849DA">
        <w:rPr>
          <w:rFonts w:cs="Arial"/>
          <w:sz w:val="16"/>
          <w:szCs w:val="16"/>
        </w:rPr>
        <w:t xml:space="preserve">Bijlage bij Kamerstukken II 2019/20, 25087, nr. 256. </w:t>
      </w:r>
    </w:p>
  </w:footnote>
  <w:footnote w:id="3">
    <w:p w14:paraId="5D98EF50" w14:textId="77777777" w:rsidR="005900E7" w:rsidRPr="00B849DA" w:rsidRDefault="005900E7" w:rsidP="00B65B22">
      <w:pPr>
        <w:pStyle w:val="Voetnoottekst"/>
        <w:ind w:firstLine="0"/>
        <w:rPr>
          <w:rFonts w:cs="Arial"/>
          <w:sz w:val="16"/>
          <w:szCs w:val="16"/>
        </w:rPr>
      </w:pPr>
      <w:r w:rsidRPr="00DA4251">
        <w:rPr>
          <w:sz w:val="16"/>
          <w:szCs w:val="16"/>
          <w:vertAlign w:val="superscript"/>
        </w:rPr>
        <w:footnoteRef/>
      </w:r>
      <w:r w:rsidRPr="00B849DA">
        <w:rPr>
          <w:rFonts w:cs="Arial"/>
          <w:sz w:val="16"/>
          <w:szCs w:val="16"/>
        </w:rPr>
        <w:t xml:space="preserve"> Kamerstukken II 2015/16, 25087, nr. 112.</w:t>
      </w:r>
    </w:p>
  </w:footnote>
  <w:footnote w:id="4">
    <w:p w14:paraId="4F21B9A3" w14:textId="58DEC9C5" w:rsidR="005900E7" w:rsidRPr="0091171E" w:rsidRDefault="005900E7" w:rsidP="00B65B22">
      <w:pPr>
        <w:pStyle w:val="Voetnoottekst"/>
        <w:ind w:firstLine="0"/>
        <w:rPr>
          <w:rFonts w:cs="Arial"/>
          <w:sz w:val="16"/>
          <w:szCs w:val="16"/>
        </w:rPr>
      </w:pPr>
      <w:r w:rsidRPr="00B849DA">
        <w:rPr>
          <w:rStyle w:val="Voetnootmarkering"/>
          <w:rFonts w:cs="Arial"/>
          <w:sz w:val="16"/>
          <w:szCs w:val="16"/>
        </w:rPr>
        <w:footnoteRef/>
      </w:r>
      <w:r w:rsidRPr="00B849DA">
        <w:rPr>
          <w:rFonts w:cs="Arial"/>
          <w:sz w:val="16"/>
          <w:szCs w:val="16"/>
        </w:rPr>
        <w:t xml:space="preserve"> Het op 24 november 2016 te Parijs tot stand gekomen Multilateraal Verdrag ter implementatie van aan belastingverdragen  gerelateerde maatregelen ter voorkoming van grondslaguitholling en winstverschuiving, </w:t>
      </w:r>
      <w:r w:rsidRPr="00B849DA">
        <w:rPr>
          <w:rFonts w:cs="Arial"/>
          <w:i/>
          <w:sz w:val="16"/>
          <w:szCs w:val="16"/>
        </w:rPr>
        <w:t>Trb</w:t>
      </w:r>
      <w:r w:rsidRPr="00B849DA">
        <w:rPr>
          <w:rFonts w:cs="Arial"/>
          <w:sz w:val="16"/>
          <w:szCs w:val="16"/>
        </w:rPr>
        <w:t xml:space="preserve">. 2017, 86 en </w:t>
      </w:r>
      <w:r w:rsidRPr="00B849DA">
        <w:rPr>
          <w:rFonts w:cs="Arial"/>
          <w:i/>
          <w:sz w:val="16"/>
          <w:szCs w:val="16"/>
        </w:rPr>
        <w:t>Trb</w:t>
      </w:r>
      <w:r w:rsidRPr="00B849DA">
        <w:rPr>
          <w:rFonts w:cs="Arial"/>
          <w:sz w:val="16"/>
          <w:szCs w:val="16"/>
        </w:rPr>
        <w:t>. 2017, 194.</w:t>
      </w:r>
    </w:p>
  </w:footnote>
  <w:footnote w:id="5">
    <w:p w14:paraId="5BDB796E" w14:textId="77777777" w:rsidR="005900E7" w:rsidRPr="00B849DA" w:rsidRDefault="005900E7" w:rsidP="00B65B22">
      <w:pPr>
        <w:pStyle w:val="Voetnoottekst"/>
        <w:ind w:firstLine="0"/>
        <w:rPr>
          <w:rFonts w:cs="Arial"/>
          <w:sz w:val="16"/>
          <w:szCs w:val="16"/>
        </w:rPr>
      </w:pPr>
      <w:r w:rsidRPr="00B849DA">
        <w:rPr>
          <w:rStyle w:val="Voetnootmarkering"/>
          <w:rFonts w:cs="Arial"/>
          <w:sz w:val="16"/>
          <w:szCs w:val="16"/>
        </w:rPr>
        <w:footnoteRef/>
      </w:r>
      <w:r w:rsidRPr="00B849DA">
        <w:rPr>
          <w:rFonts w:cs="Arial"/>
          <w:sz w:val="16"/>
          <w:szCs w:val="16"/>
        </w:rPr>
        <w:t xml:space="preserve"> Kamerstukken II 2016/17, 25087, nr. 135. </w:t>
      </w:r>
    </w:p>
  </w:footnote>
  <w:footnote w:id="6">
    <w:p w14:paraId="0DCE5B4A" w14:textId="77777777" w:rsidR="005900E7" w:rsidRPr="0091171E" w:rsidRDefault="005900E7" w:rsidP="00B65B22">
      <w:pPr>
        <w:pStyle w:val="Voetnoottekst"/>
        <w:tabs>
          <w:tab w:val="left" w:pos="0"/>
        </w:tabs>
        <w:ind w:firstLine="0"/>
        <w:rPr>
          <w:rStyle w:val="Voetnootmarkering"/>
          <w:rFonts w:cs="Arial"/>
          <w:sz w:val="16"/>
          <w:szCs w:val="16"/>
        </w:rPr>
      </w:pPr>
      <w:r w:rsidRPr="00B849DA">
        <w:rPr>
          <w:rStyle w:val="Voetnootmarkering"/>
          <w:rFonts w:cs="Arial"/>
          <w:sz w:val="16"/>
          <w:szCs w:val="16"/>
        </w:rPr>
        <w:footnoteRef/>
      </w:r>
      <w:r w:rsidRPr="00B849DA">
        <w:rPr>
          <w:rStyle w:val="Voetnootmarkering"/>
          <w:rFonts w:cs="Arial"/>
          <w:sz w:val="16"/>
          <w:szCs w:val="16"/>
        </w:rPr>
        <w:t xml:space="preserve"> </w:t>
      </w:r>
      <w:r w:rsidRPr="00B849DA">
        <w:rPr>
          <w:rFonts w:cs="Arial"/>
          <w:sz w:val="16"/>
          <w:szCs w:val="16"/>
        </w:rPr>
        <w:t>Bijlage bij Kamerstukken II 2010/11, 25087, nr. 27, ter uitvoering van Kamerstukken II 2010/11, 25087, nr. 8 (motie-Van Vliet).</w:t>
      </w:r>
    </w:p>
  </w:footnote>
  <w:footnote w:id="7">
    <w:p w14:paraId="0E7CA0C8" w14:textId="77777777" w:rsidR="005900E7" w:rsidRPr="00B849DA" w:rsidRDefault="005900E7" w:rsidP="00B65B22">
      <w:pPr>
        <w:pStyle w:val="Voetnoottekst"/>
        <w:ind w:firstLine="0"/>
        <w:rPr>
          <w:rFonts w:cs="Arial"/>
          <w:sz w:val="16"/>
          <w:szCs w:val="16"/>
        </w:rPr>
      </w:pPr>
      <w:r w:rsidRPr="00B849DA">
        <w:rPr>
          <w:rStyle w:val="Voetnootmarkering"/>
          <w:rFonts w:cs="Arial"/>
          <w:sz w:val="16"/>
          <w:szCs w:val="16"/>
        </w:rPr>
        <w:footnoteRef/>
      </w:r>
      <w:r w:rsidRPr="00B849DA">
        <w:rPr>
          <w:rFonts w:cs="Arial"/>
          <w:sz w:val="16"/>
          <w:szCs w:val="16"/>
        </w:rPr>
        <w:t xml:space="preserve"> Zie Kamerstukken II 2015/16, 25087, nr. 112, en Kamerstukken I 2015/16, 25087, K, waarin nader wordt ingegaan op de definitieve actierapporten van het BEPS-project.</w:t>
      </w:r>
    </w:p>
  </w:footnote>
  <w:footnote w:id="8">
    <w:p w14:paraId="5E30C636" w14:textId="77777777" w:rsidR="005900E7" w:rsidRPr="0091171E" w:rsidRDefault="005900E7" w:rsidP="00B65B22">
      <w:pPr>
        <w:pStyle w:val="Voetnoottekst"/>
        <w:ind w:firstLine="0"/>
        <w:rPr>
          <w:rFonts w:cs="Arial"/>
          <w:sz w:val="16"/>
          <w:szCs w:val="16"/>
        </w:rPr>
      </w:pPr>
      <w:r w:rsidRPr="00B849DA">
        <w:rPr>
          <w:rStyle w:val="Voetnootmarkering"/>
          <w:rFonts w:cs="Arial"/>
          <w:sz w:val="16"/>
          <w:szCs w:val="16"/>
        </w:rPr>
        <w:footnoteRef/>
      </w:r>
      <w:r w:rsidRPr="00B849DA">
        <w:rPr>
          <w:rFonts w:cs="Arial"/>
          <w:sz w:val="16"/>
          <w:szCs w:val="16"/>
        </w:rPr>
        <w:t xml:space="preserve"> Zie Kamerstukken II 2015/16, 25087, nr. 112, en Kamerstukken I 2015/16, 25087, K, waarin nader wordt ingegaan op de definitieve rapporten bij de actiepunten van het BEPS-project en Kamerstukken II 2016/17, 25087, nr. 135, waarin nader wordt ingegaan op het MLI. </w:t>
      </w:r>
    </w:p>
  </w:footnote>
  <w:footnote w:id="9">
    <w:p w14:paraId="1030F03E" w14:textId="77777777" w:rsidR="005900E7" w:rsidRPr="0091171E" w:rsidRDefault="005900E7" w:rsidP="00B65B22">
      <w:pPr>
        <w:pStyle w:val="Voetnoottekst"/>
        <w:ind w:firstLine="0"/>
        <w:rPr>
          <w:rFonts w:cs="Arial"/>
          <w:sz w:val="16"/>
          <w:szCs w:val="16"/>
        </w:rPr>
      </w:pPr>
      <w:r w:rsidRPr="00B849DA">
        <w:rPr>
          <w:rStyle w:val="Voetnootmarkering"/>
          <w:rFonts w:cs="Arial"/>
          <w:sz w:val="16"/>
          <w:szCs w:val="16"/>
        </w:rPr>
        <w:footnoteRef/>
      </w:r>
      <w:r w:rsidRPr="00B849DA">
        <w:rPr>
          <w:rFonts w:cs="Arial"/>
          <w:sz w:val="16"/>
          <w:szCs w:val="16"/>
        </w:rPr>
        <w:t xml:space="preserve"> Richtlijn 2011/96/EU van de Raad van 30 november 2011 betreffende de gemeenschappelijke fiscale regeling voor moedermaatschappijen en dochterondernemingen uit verschillende lidstaten, OJ L 345/8 (29 Dec. 2011). </w:t>
      </w:r>
    </w:p>
  </w:footnote>
  <w:footnote w:id="10">
    <w:p w14:paraId="407D4035" w14:textId="77777777" w:rsidR="005900E7" w:rsidRPr="00B849DA" w:rsidRDefault="005900E7" w:rsidP="00B65B22">
      <w:pPr>
        <w:pStyle w:val="Voetnoottekst"/>
        <w:ind w:firstLine="0"/>
        <w:rPr>
          <w:rFonts w:cs="Arial"/>
          <w:sz w:val="16"/>
          <w:szCs w:val="16"/>
        </w:rPr>
      </w:pPr>
      <w:r w:rsidRPr="00B849DA">
        <w:rPr>
          <w:rStyle w:val="Voetnootmarkering"/>
          <w:rFonts w:cs="Arial"/>
          <w:sz w:val="16"/>
          <w:szCs w:val="16"/>
        </w:rPr>
        <w:footnoteRef/>
      </w:r>
      <w:r w:rsidRPr="00B849DA">
        <w:rPr>
          <w:rFonts w:cs="Arial"/>
          <w:sz w:val="16"/>
          <w:szCs w:val="16"/>
        </w:rPr>
        <w:t xml:space="preserve"> Richtlijn 2003/49/EG van de Raad van 3 juni 2003 betreffende een gemeenschappelijke belastingregeling inzake uitkeringen van interest en royalty’s tussen verbonden ondernemingen van verschillende staten (PbEU 2003, L 157/49).</w:t>
      </w:r>
    </w:p>
  </w:footnote>
  <w:footnote w:id="11">
    <w:p w14:paraId="2015083F" w14:textId="77777777" w:rsidR="005900E7" w:rsidRPr="00DA4251" w:rsidRDefault="005900E7" w:rsidP="00B65B22">
      <w:pPr>
        <w:pStyle w:val="Voetnoottekst"/>
        <w:ind w:firstLine="0"/>
        <w:rPr>
          <w:rFonts w:cs="Arial"/>
          <w:sz w:val="16"/>
          <w:szCs w:val="16"/>
        </w:rPr>
      </w:pPr>
      <w:r w:rsidRPr="00B849DA">
        <w:rPr>
          <w:rStyle w:val="Voetnootmarkering"/>
          <w:rFonts w:cs="Arial"/>
          <w:sz w:val="16"/>
          <w:szCs w:val="16"/>
        </w:rPr>
        <w:footnoteRef/>
      </w:r>
      <w:r w:rsidRPr="00B849DA">
        <w:rPr>
          <w:rFonts w:cs="Arial"/>
          <w:sz w:val="16"/>
          <w:szCs w:val="16"/>
        </w:rPr>
        <w:t xml:space="preserve"> </w:t>
      </w:r>
      <w:r w:rsidRPr="00B849DA">
        <w:rPr>
          <w:rStyle w:val="atomhl"/>
          <w:rFonts w:cs="Arial"/>
          <w:color w:val="232323"/>
          <w:sz w:val="16"/>
          <w:szCs w:val="16"/>
        </w:rPr>
        <w:t>Uitvoeringsverordening (EU)</w:t>
      </w:r>
      <w:r w:rsidRPr="0091171E">
        <w:rPr>
          <w:rStyle w:val="atomhl"/>
          <w:rFonts w:cs="Arial"/>
          <w:color w:val="232323"/>
          <w:sz w:val="16"/>
          <w:szCs w:val="16"/>
        </w:rPr>
        <w:t xml:space="preserve"> nr. 1189/2011 tot vaststelling van nadere voorschriften voor sommige bepalingen van Richtlijn 2010/24/EU betreffende de wederzijdse bijstand inzake de invordering van schuldvorderingen die voortvloeien uit belastingen, rechten en andere maatregelen (</w:t>
      </w:r>
      <w:r w:rsidRPr="0091171E">
        <w:rPr>
          <w:rFonts w:cs="Arial"/>
          <w:color w:val="232323"/>
          <w:sz w:val="16"/>
          <w:szCs w:val="16"/>
        </w:rPr>
        <w:t xml:space="preserve">PbEU 2011, L 302) en </w:t>
      </w:r>
      <w:r w:rsidRPr="0091171E">
        <w:rPr>
          <w:rStyle w:val="atomhl"/>
          <w:rFonts w:cs="Arial"/>
          <w:color w:val="232323"/>
          <w:sz w:val="16"/>
          <w:szCs w:val="16"/>
        </w:rPr>
        <w:t>Verordening (EG) Nr. 987/2009 tot vaststelling van de wijze van toepassing van Verordening (EG) nr. 883/2004 betreffende de co</w:t>
      </w:r>
      <w:r w:rsidRPr="00DA4251">
        <w:rPr>
          <w:rStyle w:val="atomhl"/>
          <w:rFonts w:cs="Arial" w:hint="eastAsia"/>
          <w:color w:val="232323"/>
          <w:sz w:val="16"/>
          <w:szCs w:val="16"/>
        </w:rPr>
        <w:t>ö</w:t>
      </w:r>
      <w:r w:rsidRPr="00DA4251">
        <w:rPr>
          <w:rStyle w:val="atomhl"/>
          <w:rFonts w:cs="Arial"/>
          <w:color w:val="232323"/>
          <w:sz w:val="16"/>
          <w:szCs w:val="16"/>
        </w:rPr>
        <w:t>rdinatie van de socialezekerheidsstelsels (PbEU 2009, L 284).</w:t>
      </w:r>
    </w:p>
  </w:footnote>
  <w:footnote w:id="12">
    <w:p w14:paraId="61EA2E4E" w14:textId="77777777" w:rsidR="005900E7" w:rsidRPr="00B849DA" w:rsidRDefault="005900E7" w:rsidP="00B65B22">
      <w:pPr>
        <w:pStyle w:val="Voetnoottekst"/>
        <w:ind w:firstLine="0"/>
        <w:rPr>
          <w:rFonts w:cs="Arial"/>
          <w:sz w:val="16"/>
          <w:szCs w:val="16"/>
        </w:rPr>
      </w:pPr>
      <w:r w:rsidRPr="00B849DA">
        <w:rPr>
          <w:rStyle w:val="Voetnootmarkering"/>
          <w:rFonts w:cs="Arial"/>
          <w:sz w:val="16"/>
          <w:szCs w:val="16"/>
        </w:rPr>
        <w:footnoteRef/>
      </w:r>
      <w:r w:rsidRPr="00B849DA">
        <w:rPr>
          <w:rFonts w:cs="Arial"/>
          <w:sz w:val="16"/>
          <w:szCs w:val="16"/>
        </w:rPr>
        <w:t xml:space="preserve"> Ter uitvoering van de motie van Vliet, Kamerstukken II 2010/11, 25087, nr. 8.</w:t>
      </w:r>
    </w:p>
  </w:footnote>
  <w:footnote w:id="13">
    <w:p w14:paraId="6FFF42DF" w14:textId="77777777" w:rsidR="005900E7" w:rsidRPr="00B849DA" w:rsidRDefault="005900E7" w:rsidP="00B65B22">
      <w:pPr>
        <w:pStyle w:val="Voetnoottekst"/>
        <w:ind w:firstLine="0"/>
        <w:rPr>
          <w:rFonts w:cs="Arial"/>
          <w:sz w:val="16"/>
          <w:szCs w:val="16"/>
        </w:rPr>
      </w:pPr>
      <w:r w:rsidRPr="00B849DA">
        <w:rPr>
          <w:rStyle w:val="Voetnootmarkering"/>
          <w:rFonts w:cs="Arial"/>
          <w:sz w:val="16"/>
          <w:szCs w:val="16"/>
        </w:rPr>
        <w:footnoteRef/>
      </w:r>
      <w:r w:rsidRPr="00B849DA">
        <w:rPr>
          <w:rFonts w:cs="Arial"/>
          <w:sz w:val="16"/>
          <w:szCs w:val="16"/>
        </w:rPr>
        <w:t xml:space="preserve"> Kamerstukken II 2010/11, 25087, nr. 13.</w:t>
      </w:r>
    </w:p>
  </w:footnote>
  <w:footnote w:id="14">
    <w:p w14:paraId="2EB54B5D" w14:textId="3CBA9D74" w:rsidR="005900E7" w:rsidRPr="00DA4251" w:rsidRDefault="005900E7" w:rsidP="009C6DBA">
      <w:pPr>
        <w:pStyle w:val="Voetnoottekst"/>
        <w:ind w:firstLine="0"/>
        <w:rPr>
          <w:sz w:val="16"/>
          <w:szCs w:val="16"/>
        </w:rPr>
      </w:pPr>
      <w:r w:rsidRPr="00DA4251">
        <w:rPr>
          <w:rFonts w:cs="Arial"/>
          <w:sz w:val="16"/>
          <w:szCs w:val="16"/>
          <w:vertAlign w:val="superscript"/>
        </w:rPr>
        <w:footnoteRef/>
      </w:r>
      <w:r w:rsidRPr="00B849DA">
        <w:rPr>
          <w:rFonts w:cs="Arial"/>
          <w:sz w:val="16"/>
          <w:szCs w:val="16"/>
        </w:rPr>
        <w:t xml:space="preserve"> Bij verdragen waarover de onderhandelingen (zullen) plaatsvinden na publicatie van de NFV 2020 wordt een toetsschema dat is aangepast aan de hand van de uitgangspunten uit die notitie, in de toelichting opgenomen.</w:t>
      </w:r>
    </w:p>
  </w:footnote>
  <w:footnote w:id="15">
    <w:p w14:paraId="7C190D6B" w14:textId="77777777" w:rsidR="005900E7" w:rsidRPr="00B849DA" w:rsidRDefault="005900E7" w:rsidP="00B65B22">
      <w:pPr>
        <w:pStyle w:val="Voetnoottekst"/>
        <w:ind w:firstLine="0"/>
        <w:rPr>
          <w:rFonts w:ascii="Tunga" w:hAnsi="Tunga" w:cs="Tunga"/>
          <w:sz w:val="16"/>
          <w:szCs w:val="16"/>
        </w:rPr>
      </w:pPr>
      <w:r w:rsidRPr="00B849DA">
        <w:rPr>
          <w:rStyle w:val="Voetnootmarkering"/>
          <w:rFonts w:cs="Arial"/>
          <w:sz w:val="16"/>
          <w:szCs w:val="16"/>
        </w:rPr>
        <w:footnoteRef/>
      </w:r>
      <w:r w:rsidRPr="00B849DA">
        <w:rPr>
          <w:rFonts w:cs="Arial"/>
          <w:sz w:val="16"/>
          <w:szCs w:val="16"/>
        </w:rPr>
        <w:t xml:space="preserve"> Kamerstukken II 2010/11, 25087, nr. 8 (Van Vliet, PVV).</w:t>
      </w:r>
    </w:p>
  </w:footnote>
  <w:footnote w:id="16">
    <w:p w14:paraId="6824AB85" w14:textId="77777777" w:rsidR="005900E7" w:rsidRPr="00B849DA" w:rsidRDefault="005900E7" w:rsidP="000F52B8">
      <w:pPr>
        <w:pStyle w:val="Voetnoottekst"/>
        <w:ind w:firstLine="0"/>
        <w:rPr>
          <w:rFonts w:cs="Arial"/>
          <w:sz w:val="16"/>
          <w:szCs w:val="16"/>
          <w:lang w:val="en-US"/>
        </w:rPr>
      </w:pPr>
      <w:r w:rsidRPr="00B849DA">
        <w:rPr>
          <w:rStyle w:val="Voetnootmarkering"/>
          <w:rFonts w:cs="Arial"/>
          <w:sz w:val="16"/>
          <w:szCs w:val="16"/>
        </w:rPr>
        <w:footnoteRef/>
      </w:r>
      <w:r w:rsidRPr="00B849DA">
        <w:rPr>
          <w:rFonts w:cs="Arial"/>
          <w:sz w:val="16"/>
          <w:szCs w:val="16"/>
          <w:lang w:val="en-US"/>
        </w:rPr>
        <w:t xml:space="preserve"> OECD (2015), Preventing the Granting of Treaty Benefits in Inappropriate Circumstances, Action 6 - 2015 Final Report, OECD/G20 Base Erosion and Profit Shifting Project, OECD Publishing, Paris.</w:t>
      </w:r>
    </w:p>
  </w:footnote>
  <w:footnote w:id="17">
    <w:p w14:paraId="61D4EBA6" w14:textId="77777777" w:rsidR="005900E7" w:rsidRPr="0091171E" w:rsidRDefault="005900E7" w:rsidP="000F52B8">
      <w:pPr>
        <w:pStyle w:val="Voetnoottekst"/>
        <w:ind w:firstLine="0"/>
        <w:rPr>
          <w:rFonts w:cs="Arial"/>
          <w:sz w:val="16"/>
          <w:szCs w:val="16"/>
          <w:lang w:val="en-US"/>
        </w:rPr>
      </w:pPr>
      <w:r w:rsidRPr="00B849DA">
        <w:rPr>
          <w:rStyle w:val="Voetnootmarkering"/>
          <w:rFonts w:cs="Arial"/>
          <w:sz w:val="16"/>
          <w:szCs w:val="16"/>
        </w:rPr>
        <w:footnoteRef/>
      </w:r>
      <w:r w:rsidRPr="00B849DA">
        <w:rPr>
          <w:rFonts w:cs="Arial"/>
          <w:sz w:val="16"/>
          <w:szCs w:val="16"/>
          <w:lang w:val="en-US"/>
        </w:rPr>
        <w:t xml:space="preserve"> OECD (2015), Neutralising the Effects of Hybrid Mismatch Arrangements, Action 2 - 2015 Final Report, OECD/G20 Base Erosion and Profit Shifting Project, OECD Publishing, Paris.</w:t>
      </w:r>
    </w:p>
  </w:footnote>
  <w:footnote w:id="18">
    <w:p w14:paraId="40613372" w14:textId="77777777" w:rsidR="005900E7" w:rsidRPr="00B849DA" w:rsidRDefault="005900E7" w:rsidP="002006EE">
      <w:pPr>
        <w:pStyle w:val="Voetnoottekst"/>
        <w:ind w:firstLine="0"/>
        <w:rPr>
          <w:rFonts w:cs="Arial"/>
          <w:sz w:val="16"/>
          <w:szCs w:val="16"/>
        </w:rPr>
      </w:pPr>
      <w:r w:rsidRPr="00B849DA">
        <w:rPr>
          <w:rStyle w:val="Voetnootmarkering"/>
          <w:rFonts w:cs="Arial"/>
          <w:sz w:val="16"/>
          <w:szCs w:val="16"/>
        </w:rPr>
        <w:footnoteRef/>
      </w:r>
      <w:r w:rsidRPr="00B849DA">
        <w:rPr>
          <w:rFonts w:cs="Arial"/>
          <w:sz w:val="16"/>
          <w:szCs w:val="16"/>
        </w:rPr>
        <w:t xml:space="preserve"> Kamerstukken II 2010/11, 25087, nr. 13.</w:t>
      </w:r>
    </w:p>
  </w:footnote>
  <w:footnote w:id="19">
    <w:p w14:paraId="6BFF64B8" w14:textId="77777777" w:rsidR="005900E7" w:rsidRPr="0091171E" w:rsidRDefault="005900E7" w:rsidP="002006EE">
      <w:pPr>
        <w:pStyle w:val="Voetnoottekst"/>
        <w:ind w:firstLine="0"/>
        <w:rPr>
          <w:rFonts w:cs="Arial"/>
          <w:sz w:val="16"/>
          <w:szCs w:val="16"/>
        </w:rPr>
      </w:pPr>
      <w:r w:rsidRPr="00B849DA">
        <w:rPr>
          <w:rStyle w:val="Voetnootmarkering"/>
          <w:rFonts w:cs="Arial"/>
          <w:sz w:val="16"/>
          <w:szCs w:val="16"/>
        </w:rPr>
        <w:footnoteRef/>
      </w:r>
      <w:r w:rsidRPr="00B849DA">
        <w:rPr>
          <w:rFonts w:cs="Arial"/>
          <w:sz w:val="16"/>
          <w:szCs w:val="16"/>
        </w:rPr>
        <w:t xml:space="preserve"> Artikel 3 van het gewijzigd voorstel van rijkswet Goedkeuring van het op 24 november 2016 te Parijs tot stand gekomen Multilateraal Verdrag ter implementatie van aan belastingverdragen gerelateerde maatregelen ter voorkoming van grondslaguitholling en winstverschuiving (Trb. 2017, 86, en Trb. 2017, 194), Kamerstukken II 2018/19, 34 853 (R 2096), A.</w:t>
      </w:r>
    </w:p>
  </w:footnote>
  <w:footnote w:id="20">
    <w:p w14:paraId="6ED8987E" w14:textId="77777777" w:rsidR="005900E7" w:rsidRPr="00DA4251" w:rsidRDefault="005900E7" w:rsidP="006E2C98">
      <w:pPr>
        <w:pStyle w:val="Voetnoottekst"/>
        <w:ind w:firstLine="0"/>
        <w:rPr>
          <w:rFonts w:cs="Arial"/>
          <w:sz w:val="16"/>
          <w:szCs w:val="16"/>
        </w:rPr>
      </w:pPr>
      <w:r w:rsidRPr="00DA4251">
        <w:rPr>
          <w:rStyle w:val="Voetnootmarkering"/>
          <w:rFonts w:cs="Arial"/>
          <w:sz w:val="16"/>
          <w:szCs w:val="16"/>
        </w:rPr>
        <w:footnoteRef/>
      </w:r>
      <w:r w:rsidRPr="00DA4251">
        <w:rPr>
          <w:rFonts w:cs="Arial"/>
          <w:sz w:val="16"/>
          <w:szCs w:val="16"/>
        </w:rPr>
        <w:t xml:space="preserve"> In het vervolg wordt ten behoeve van de leesbaarheid uitgegaan van een situatie waarin aandelen worden gehouden.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1C0B4" w14:textId="77777777" w:rsidR="005900E7" w:rsidRDefault="005900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99295" w14:textId="77777777" w:rsidR="005900E7" w:rsidRDefault="005900E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CE42D" w14:textId="77777777" w:rsidR="005900E7" w:rsidRDefault="005900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ABE204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37754F44"/>
    <w:multiLevelType w:val="multilevel"/>
    <w:tmpl w:val="32F437A0"/>
    <w:lvl w:ilvl="0">
      <w:start w:val="2"/>
      <w:numFmt w:val="upperRoman"/>
      <w:pStyle w:val="Kop1"/>
      <w:lvlText w:val="%1."/>
      <w:lvlJc w:val="left"/>
      <w:pPr>
        <w:ind w:left="0" w:firstLine="0"/>
      </w:pPr>
      <w:rPr>
        <w:rFonts w:cs="Times New Roman" w:hint="default"/>
        <w:b/>
        <w:bCs w:val="0"/>
        <w:i w:val="0"/>
        <w:iCs w:val="0"/>
        <w:caps w:val="0"/>
        <w:smallCaps w:val="0"/>
        <w:strike w:val="0"/>
        <w:dstrike w:val="0"/>
        <w:noProof w:val="0"/>
        <w:vanish w:val="0"/>
        <w:spacing w:val="0"/>
        <w:kern w:val="0"/>
        <w:position w:val="0"/>
        <w:u w:val="none"/>
        <w:vertAlign w:val="baseline"/>
        <w:em w:val="none"/>
      </w:rPr>
    </w:lvl>
    <w:lvl w:ilvl="1">
      <w:start w:val="1"/>
      <w:numFmt w:val="decimal"/>
      <w:pStyle w:val="Kop2"/>
      <w:lvlText w:val="%1.%2."/>
      <w:lvlJc w:val="left"/>
      <w:pPr>
        <w:ind w:left="0" w:firstLine="0"/>
      </w:pPr>
      <w:rPr>
        <w:rFonts w:hint="default"/>
        <w:b w:val="0"/>
        <w:i/>
      </w:rPr>
    </w:lvl>
    <w:lvl w:ilvl="2">
      <w:start w:val="1"/>
      <w:numFmt w:val="decimal"/>
      <w:pStyle w:val="Kop3"/>
      <w:lvlText w:val="%1.%2.%3."/>
      <w:lvlJc w:val="left"/>
      <w:pPr>
        <w:ind w:left="1440" w:firstLine="0"/>
      </w:pPr>
      <w:rPr>
        <w:rFonts w:hint="default"/>
      </w:rPr>
    </w:lvl>
    <w:lvl w:ilvl="3">
      <w:start w:val="1"/>
      <w:numFmt w:val="lowerLetter"/>
      <w:pStyle w:val="Kop4"/>
      <w:lvlText w:val="%4)"/>
      <w:lvlJc w:val="left"/>
      <w:pPr>
        <w:ind w:left="2160" w:firstLine="0"/>
      </w:pPr>
      <w:rPr>
        <w:rFonts w:hint="default"/>
      </w:rPr>
    </w:lvl>
    <w:lvl w:ilvl="4">
      <w:start w:val="1"/>
      <w:numFmt w:val="decimal"/>
      <w:pStyle w:val="Kop5"/>
      <w:lvlText w:val="(%5)"/>
      <w:lvlJc w:val="left"/>
      <w:pPr>
        <w:ind w:left="2880" w:firstLine="0"/>
      </w:pPr>
      <w:rPr>
        <w:rFonts w:hint="default"/>
      </w:rPr>
    </w:lvl>
    <w:lvl w:ilvl="5">
      <w:start w:val="1"/>
      <w:numFmt w:val="lowerLetter"/>
      <w:pStyle w:val="Kop6"/>
      <w:lvlText w:val="(%6)"/>
      <w:lvlJc w:val="left"/>
      <w:pPr>
        <w:ind w:left="3600" w:firstLine="0"/>
      </w:pPr>
      <w:rPr>
        <w:rFonts w:hint="default"/>
      </w:rPr>
    </w:lvl>
    <w:lvl w:ilvl="6">
      <w:start w:val="1"/>
      <w:numFmt w:val="lowerRoman"/>
      <w:pStyle w:val="Kop7"/>
      <w:lvlText w:val="(%7)"/>
      <w:lvlJc w:val="left"/>
      <w:pPr>
        <w:ind w:left="4320" w:firstLine="0"/>
      </w:pPr>
      <w:rPr>
        <w:rFonts w:hint="default"/>
      </w:rPr>
    </w:lvl>
    <w:lvl w:ilvl="7">
      <w:start w:val="1"/>
      <w:numFmt w:val="lowerLetter"/>
      <w:pStyle w:val="Kop8"/>
      <w:lvlText w:val="(%8)"/>
      <w:lvlJc w:val="left"/>
      <w:pPr>
        <w:ind w:left="5040" w:firstLine="0"/>
      </w:pPr>
      <w:rPr>
        <w:rFonts w:hint="default"/>
      </w:rPr>
    </w:lvl>
    <w:lvl w:ilvl="8">
      <w:start w:val="1"/>
      <w:numFmt w:val="lowerRoman"/>
      <w:pStyle w:val="Kop9"/>
      <w:lvlText w:val="(%9)"/>
      <w:lvlJc w:val="left"/>
      <w:pPr>
        <w:ind w:left="5760" w:firstLine="0"/>
      </w:pPr>
      <w:rPr>
        <w:rFonts w:hint="default"/>
      </w:rPr>
    </w:lvl>
  </w:abstractNum>
  <w:abstractNum w:abstractNumId="2" w15:restartNumberingAfterBreak="0">
    <w:nsid w:val="40E004EC"/>
    <w:multiLevelType w:val="multilevel"/>
    <w:tmpl w:val="04FE00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9F878C6"/>
    <w:multiLevelType w:val="hybridMultilevel"/>
    <w:tmpl w:val="52E0C5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C8E20EC"/>
    <w:multiLevelType w:val="hybridMultilevel"/>
    <w:tmpl w:val="6E7C0A4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4B360B2"/>
    <w:multiLevelType w:val="hybridMultilevel"/>
    <w:tmpl w:val="07CA260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1"/>
  </w:num>
  <w:num w:numId="2">
    <w:abstractNumId w:val="1"/>
  </w:num>
  <w:num w:numId="3">
    <w:abstractNumId w:val="4"/>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nl-NL" w:vendorID="64" w:dllVersion="131078"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60C"/>
    <w:rsid w:val="00001229"/>
    <w:rsid w:val="000012A1"/>
    <w:rsid w:val="00001679"/>
    <w:rsid w:val="0000190E"/>
    <w:rsid w:val="0000191F"/>
    <w:rsid w:val="0000228B"/>
    <w:rsid w:val="000024FE"/>
    <w:rsid w:val="000028FB"/>
    <w:rsid w:val="000048E8"/>
    <w:rsid w:val="00004AA2"/>
    <w:rsid w:val="000054A2"/>
    <w:rsid w:val="00005536"/>
    <w:rsid w:val="0000559A"/>
    <w:rsid w:val="000056AF"/>
    <w:rsid w:val="00010D88"/>
    <w:rsid w:val="0001102D"/>
    <w:rsid w:val="00011D2A"/>
    <w:rsid w:val="00012B69"/>
    <w:rsid w:val="00013811"/>
    <w:rsid w:val="00013A9C"/>
    <w:rsid w:val="00014FC3"/>
    <w:rsid w:val="00015B77"/>
    <w:rsid w:val="00015F15"/>
    <w:rsid w:val="000166B0"/>
    <w:rsid w:val="00020E66"/>
    <w:rsid w:val="000214CF"/>
    <w:rsid w:val="0002421B"/>
    <w:rsid w:val="00024653"/>
    <w:rsid w:val="00026DC9"/>
    <w:rsid w:val="00027571"/>
    <w:rsid w:val="000304EA"/>
    <w:rsid w:val="00031D87"/>
    <w:rsid w:val="00031FBD"/>
    <w:rsid w:val="00032A00"/>
    <w:rsid w:val="00032B4E"/>
    <w:rsid w:val="00033F5B"/>
    <w:rsid w:val="00034576"/>
    <w:rsid w:val="00035271"/>
    <w:rsid w:val="00035DDE"/>
    <w:rsid w:val="000361AE"/>
    <w:rsid w:val="0003677C"/>
    <w:rsid w:val="00037C02"/>
    <w:rsid w:val="00037DFB"/>
    <w:rsid w:val="00041D9E"/>
    <w:rsid w:val="00042125"/>
    <w:rsid w:val="00042800"/>
    <w:rsid w:val="000428AF"/>
    <w:rsid w:val="00042DF8"/>
    <w:rsid w:val="00043654"/>
    <w:rsid w:val="00043B73"/>
    <w:rsid w:val="00043C6D"/>
    <w:rsid w:val="0004446F"/>
    <w:rsid w:val="0004567D"/>
    <w:rsid w:val="00045A1C"/>
    <w:rsid w:val="00045CEA"/>
    <w:rsid w:val="000463D9"/>
    <w:rsid w:val="0004700F"/>
    <w:rsid w:val="00047AA1"/>
    <w:rsid w:val="00047F48"/>
    <w:rsid w:val="00047F7B"/>
    <w:rsid w:val="00050D69"/>
    <w:rsid w:val="000516F0"/>
    <w:rsid w:val="00052312"/>
    <w:rsid w:val="00052BD9"/>
    <w:rsid w:val="000532C1"/>
    <w:rsid w:val="0005483E"/>
    <w:rsid w:val="00055845"/>
    <w:rsid w:val="000562CA"/>
    <w:rsid w:val="00057C8C"/>
    <w:rsid w:val="00062AF3"/>
    <w:rsid w:val="00062D60"/>
    <w:rsid w:val="00062F48"/>
    <w:rsid w:val="00065324"/>
    <w:rsid w:val="00065653"/>
    <w:rsid w:val="000704F6"/>
    <w:rsid w:val="00070822"/>
    <w:rsid w:val="00071DD2"/>
    <w:rsid w:val="00072033"/>
    <w:rsid w:val="00073356"/>
    <w:rsid w:val="00073427"/>
    <w:rsid w:val="00073787"/>
    <w:rsid w:val="00073F1F"/>
    <w:rsid w:val="0007439C"/>
    <w:rsid w:val="00074F93"/>
    <w:rsid w:val="00075558"/>
    <w:rsid w:val="00076209"/>
    <w:rsid w:val="00076ADB"/>
    <w:rsid w:val="00076C17"/>
    <w:rsid w:val="000775DA"/>
    <w:rsid w:val="00080256"/>
    <w:rsid w:val="00080779"/>
    <w:rsid w:val="000808AA"/>
    <w:rsid w:val="00081B80"/>
    <w:rsid w:val="00081C61"/>
    <w:rsid w:val="00081E12"/>
    <w:rsid w:val="00082155"/>
    <w:rsid w:val="000823BB"/>
    <w:rsid w:val="000831B7"/>
    <w:rsid w:val="00083239"/>
    <w:rsid w:val="000837CC"/>
    <w:rsid w:val="00084197"/>
    <w:rsid w:val="0008452B"/>
    <w:rsid w:val="00084612"/>
    <w:rsid w:val="00085719"/>
    <w:rsid w:val="0008626A"/>
    <w:rsid w:val="000862D9"/>
    <w:rsid w:val="000864EB"/>
    <w:rsid w:val="00086C66"/>
    <w:rsid w:val="0008708C"/>
    <w:rsid w:val="0009090A"/>
    <w:rsid w:val="00091C6D"/>
    <w:rsid w:val="00092171"/>
    <w:rsid w:val="00092220"/>
    <w:rsid w:val="00092449"/>
    <w:rsid w:val="00093445"/>
    <w:rsid w:val="000937D8"/>
    <w:rsid w:val="00094877"/>
    <w:rsid w:val="00094D10"/>
    <w:rsid w:val="00095A57"/>
    <w:rsid w:val="00095BF3"/>
    <w:rsid w:val="0009602B"/>
    <w:rsid w:val="000963FE"/>
    <w:rsid w:val="00096A4E"/>
    <w:rsid w:val="00096AC9"/>
    <w:rsid w:val="00096B31"/>
    <w:rsid w:val="000A0B58"/>
    <w:rsid w:val="000A153B"/>
    <w:rsid w:val="000A3544"/>
    <w:rsid w:val="000A6148"/>
    <w:rsid w:val="000A7536"/>
    <w:rsid w:val="000A7F8A"/>
    <w:rsid w:val="000B02F5"/>
    <w:rsid w:val="000B0BF5"/>
    <w:rsid w:val="000B1902"/>
    <w:rsid w:val="000B2327"/>
    <w:rsid w:val="000B2AD2"/>
    <w:rsid w:val="000B2FA7"/>
    <w:rsid w:val="000B3B63"/>
    <w:rsid w:val="000B3CBD"/>
    <w:rsid w:val="000B47CD"/>
    <w:rsid w:val="000B4AF1"/>
    <w:rsid w:val="000B51B6"/>
    <w:rsid w:val="000B59B2"/>
    <w:rsid w:val="000B5D4A"/>
    <w:rsid w:val="000B659E"/>
    <w:rsid w:val="000B734A"/>
    <w:rsid w:val="000B7459"/>
    <w:rsid w:val="000B76E2"/>
    <w:rsid w:val="000C00E7"/>
    <w:rsid w:val="000C0111"/>
    <w:rsid w:val="000C0785"/>
    <w:rsid w:val="000C0F2B"/>
    <w:rsid w:val="000C132C"/>
    <w:rsid w:val="000C145C"/>
    <w:rsid w:val="000C1F42"/>
    <w:rsid w:val="000C2748"/>
    <w:rsid w:val="000C32C7"/>
    <w:rsid w:val="000C4024"/>
    <w:rsid w:val="000C428D"/>
    <w:rsid w:val="000C43E5"/>
    <w:rsid w:val="000C458B"/>
    <w:rsid w:val="000C4D87"/>
    <w:rsid w:val="000C6CE2"/>
    <w:rsid w:val="000D04D1"/>
    <w:rsid w:val="000D0EA0"/>
    <w:rsid w:val="000D1FE0"/>
    <w:rsid w:val="000D4327"/>
    <w:rsid w:val="000D4B81"/>
    <w:rsid w:val="000D4DDB"/>
    <w:rsid w:val="000D5EDC"/>
    <w:rsid w:val="000D5EE5"/>
    <w:rsid w:val="000D60B0"/>
    <w:rsid w:val="000D6313"/>
    <w:rsid w:val="000D7280"/>
    <w:rsid w:val="000D78DD"/>
    <w:rsid w:val="000E030D"/>
    <w:rsid w:val="000E2580"/>
    <w:rsid w:val="000E2771"/>
    <w:rsid w:val="000E35CA"/>
    <w:rsid w:val="000E47A3"/>
    <w:rsid w:val="000E49CA"/>
    <w:rsid w:val="000E4C65"/>
    <w:rsid w:val="000E5AF2"/>
    <w:rsid w:val="000E6839"/>
    <w:rsid w:val="000E6B89"/>
    <w:rsid w:val="000E6C91"/>
    <w:rsid w:val="000F0014"/>
    <w:rsid w:val="000F0A80"/>
    <w:rsid w:val="000F14B5"/>
    <w:rsid w:val="000F2A73"/>
    <w:rsid w:val="000F3002"/>
    <w:rsid w:val="000F38C3"/>
    <w:rsid w:val="000F3A1E"/>
    <w:rsid w:val="000F42BA"/>
    <w:rsid w:val="000F437D"/>
    <w:rsid w:val="000F4F7F"/>
    <w:rsid w:val="000F5033"/>
    <w:rsid w:val="000F5040"/>
    <w:rsid w:val="000F50AF"/>
    <w:rsid w:val="000F52B8"/>
    <w:rsid w:val="000F5B8D"/>
    <w:rsid w:val="000F62A8"/>
    <w:rsid w:val="000F79B3"/>
    <w:rsid w:val="000F7F20"/>
    <w:rsid w:val="00100DFF"/>
    <w:rsid w:val="00101087"/>
    <w:rsid w:val="00101F90"/>
    <w:rsid w:val="001038D5"/>
    <w:rsid w:val="001042F2"/>
    <w:rsid w:val="00104F13"/>
    <w:rsid w:val="0010548F"/>
    <w:rsid w:val="0010737F"/>
    <w:rsid w:val="00107475"/>
    <w:rsid w:val="0010791E"/>
    <w:rsid w:val="00110C88"/>
    <w:rsid w:val="00111169"/>
    <w:rsid w:val="001113DD"/>
    <w:rsid w:val="00111A54"/>
    <w:rsid w:val="00111B13"/>
    <w:rsid w:val="0011244C"/>
    <w:rsid w:val="00113581"/>
    <w:rsid w:val="00113599"/>
    <w:rsid w:val="00113C3F"/>
    <w:rsid w:val="0011413C"/>
    <w:rsid w:val="00114C93"/>
    <w:rsid w:val="00115166"/>
    <w:rsid w:val="00115A9B"/>
    <w:rsid w:val="001171A3"/>
    <w:rsid w:val="001171CD"/>
    <w:rsid w:val="00117C9B"/>
    <w:rsid w:val="00117D54"/>
    <w:rsid w:val="00117E52"/>
    <w:rsid w:val="00117F2B"/>
    <w:rsid w:val="00120419"/>
    <w:rsid w:val="0012093F"/>
    <w:rsid w:val="00121DFA"/>
    <w:rsid w:val="0012218A"/>
    <w:rsid w:val="00122B49"/>
    <w:rsid w:val="001230CF"/>
    <w:rsid w:val="00123D5A"/>
    <w:rsid w:val="00124BB9"/>
    <w:rsid w:val="00124BEF"/>
    <w:rsid w:val="00124C98"/>
    <w:rsid w:val="00125FCE"/>
    <w:rsid w:val="00126545"/>
    <w:rsid w:val="00126FFE"/>
    <w:rsid w:val="0012719A"/>
    <w:rsid w:val="00127576"/>
    <w:rsid w:val="0013005A"/>
    <w:rsid w:val="001303B5"/>
    <w:rsid w:val="00130FEA"/>
    <w:rsid w:val="00131158"/>
    <w:rsid w:val="00134389"/>
    <w:rsid w:val="00134DDE"/>
    <w:rsid w:val="00135397"/>
    <w:rsid w:val="00135519"/>
    <w:rsid w:val="00135CD3"/>
    <w:rsid w:val="00136300"/>
    <w:rsid w:val="00136F38"/>
    <w:rsid w:val="00137890"/>
    <w:rsid w:val="0014198B"/>
    <w:rsid w:val="00141D7F"/>
    <w:rsid w:val="0014369A"/>
    <w:rsid w:val="00143BAD"/>
    <w:rsid w:val="00143CC2"/>
    <w:rsid w:val="00143FC9"/>
    <w:rsid w:val="0014408E"/>
    <w:rsid w:val="001445CF"/>
    <w:rsid w:val="00145ADA"/>
    <w:rsid w:val="001460ED"/>
    <w:rsid w:val="00146B6D"/>
    <w:rsid w:val="00146F33"/>
    <w:rsid w:val="001534F4"/>
    <w:rsid w:val="00153A7E"/>
    <w:rsid w:val="00153F39"/>
    <w:rsid w:val="0015527A"/>
    <w:rsid w:val="00155BCA"/>
    <w:rsid w:val="00156038"/>
    <w:rsid w:val="0015702B"/>
    <w:rsid w:val="00157BBA"/>
    <w:rsid w:val="00160024"/>
    <w:rsid w:val="00160208"/>
    <w:rsid w:val="0016059C"/>
    <w:rsid w:val="001613DD"/>
    <w:rsid w:val="001618B7"/>
    <w:rsid w:val="00161A45"/>
    <w:rsid w:val="0016210D"/>
    <w:rsid w:val="0016394E"/>
    <w:rsid w:val="001639C7"/>
    <w:rsid w:val="00163A4D"/>
    <w:rsid w:val="00164813"/>
    <w:rsid w:val="00164C81"/>
    <w:rsid w:val="001701E8"/>
    <w:rsid w:val="001702F3"/>
    <w:rsid w:val="001712EE"/>
    <w:rsid w:val="00172458"/>
    <w:rsid w:val="00173B66"/>
    <w:rsid w:val="0017481F"/>
    <w:rsid w:val="00174CE6"/>
    <w:rsid w:val="001757B6"/>
    <w:rsid w:val="001759C0"/>
    <w:rsid w:val="00175D48"/>
    <w:rsid w:val="00176956"/>
    <w:rsid w:val="0017704E"/>
    <w:rsid w:val="00177AA3"/>
    <w:rsid w:val="00180457"/>
    <w:rsid w:val="0018106C"/>
    <w:rsid w:val="0018120D"/>
    <w:rsid w:val="00181252"/>
    <w:rsid w:val="00181EA0"/>
    <w:rsid w:val="00182D3C"/>
    <w:rsid w:val="00182D9E"/>
    <w:rsid w:val="00183AD1"/>
    <w:rsid w:val="00183C5E"/>
    <w:rsid w:val="00184962"/>
    <w:rsid w:val="00186ABE"/>
    <w:rsid w:val="001905B0"/>
    <w:rsid w:val="00191131"/>
    <w:rsid w:val="00191504"/>
    <w:rsid w:val="00192C8D"/>
    <w:rsid w:val="00193089"/>
    <w:rsid w:val="00193F92"/>
    <w:rsid w:val="001941E5"/>
    <w:rsid w:val="00194549"/>
    <w:rsid w:val="00194DC3"/>
    <w:rsid w:val="00195EBA"/>
    <w:rsid w:val="00196947"/>
    <w:rsid w:val="00197727"/>
    <w:rsid w:val="001A05EC"/>
    <w:rsid w:val="001A0AE7"/>
    <w:rsid w:val="001A23E0"/>
    <w:rsid w:val="001A38A0"/>
    <w:rsid w:val="001A47F8"/>
    <w:rsid w:val="001A4CDF"/>
    <w:rsid w:val="001A5100"/>
    <w:rsid w:val="001A5264"/>
    <w:rsid w:val="001A6826"/>
    <w:rsid w:val="001A7D56"/>
    <w:rsid w:val="001B13A6"/>
    <w:rsid w:val="001B2D08"/>
    <w:rsid w:val="001B3122"/>
    <w:rsid w:val="001B4DD4"/>
    <w:rsid w:val="001B50D2"/>
    <w:rsid w:val="001B5CB9"/>
    <w:rsid w:val="001B60BF"/>
    <w:rsid w:val="001B68F8"/>
    <w:rsid w:val="001B70AA"/>
    <w:rsid w:val="001B7394"/>
    <w:rsid w:val="001B7DEA"/>
    <w:rsid w:val="001C090C"/>
    <w:rsid w:val="001C0E42"/>
    <w:rsid w:val="001C1186"/>
    <w:rsid w:val="001C3242"/>
    <w:rsid w:val="001C3964"/>
    <w:rsid w:val="001C46B6"/>
    <w:rsid w:val="001C47EC"/>
    <w:rsid w:val="001C4830"/>
    <w:rsid w:val="001C5455"/>
    <w:rsid w:val="001C58D0"/>
    <w:rsid w:val="001C5D8A"/>
    <w:rsid w:val="001C6D04"/>
    <w:rsid w:val="001D088A"/>
    <w:rsid w:val="001D109F"/>
    <w:rsid w:val="001D1353"/>
    <w:rsid w:val="001D1AAA"/>
    <w:rsid w:val="001D1F0E"/>
    <w:rsid w:val="001D3410"/>
    <w:rsid w:val="001D3746"/>
    <w:rsid w:val="001D4C40"/>
    <w:rsid w:val="001D7FD2"/>
    <w:rsid w:val="001E093C"/>
    <w:rsid w:val="001E180B"/>
    <w:rsid w:val="001E1968"/>
    <w:rsid w:val="001E3D67"/>
    <w:rsid w:val="001E5135"/>
    <w:rsid w:val="001E54ED"/>
    <w:rsid w:val="001E569F"/>
    <w:rsid w:val="001E5DB0"/>
    <w:rsid w:val="001E7620"/>
    <w:rsid w:val="001E76FD"/>
    <w:rsid w:val="001F1493"/>
    <w:rsid w:val="001F2164"/>
    <w:rsid w:val="001F22CD"/>
    <w:rsid w:val="001F279D"/>
    <w:rsid w:val="001F2CE6"/>
    <w:rsid w:val="001F32C0"/>
    <w:rsid w:val="001F3780"/>
    <w:rsid w:val="001F45C0"/>
    <w:rsid w:val="001F528D"/>
    <w:rsid w:val="001F593D"/>
    <w:rsid w:val="001F608E"/>
    <w:rsid w:val="001F6A13"/>
    <w:rsid w:val="001F7ABE"/>
    <w:rsid w:val="002000D3"/>
    <w:rsid w:val="002006EE"/>
    <w:rsid w:val="00200A4B"/>
    <w:rsid w:val="00201C22"/>
    <w:rsid w:val="002020AE"/>
    <w:rsid w:val="00202750"/>
    <w:rsid w:val="00203716"/>
    <w:rsid w:val="002037C3"/>
    <w:rsid w:val="002038F1"/>
    <w:rsid w:val="002044AB"/>
    <w:rsid w:val="00204857"/>
    <w:rsid w:val="00204F0D"/>
    <w:rsid w:val="00204FEC"/>
    <w:rsid w:val="00205012"/>
    <w:rsid w:val="00206A3B"/>
    <w:rsid w:val="00206F43"/>
    <w:rsid w:val="00207868"/>
    <w:rsid w:val="00207927"/>
    <w:rsid w:val="00207B1E"/>
    <w:rsid w:val="00207B53"/>
    <w:rsid w:val="002100ED"/>
    <w:rsid w:val="00210250"/>
    <w:rsid w:val="002106E8"/>
    <w:rsid w:val="00210A9B"/>
    <w:rsid w:val="00210BF1"/>
    <w:rsid w:val="00210CB4"/>
    <w:rsid w:val="00210EA6"/>
    <w:rsid w:val="00211C5C"/>
    <w:rsid w:val="00213FD8"/>
    <w:rsid w:val="0021436A"/>
    <w:rsid w:val="00214990"/>
    <w:rsid w:val="00214E90"/>
    <w:rsid w:val="00215249"/>
    <w:rsid w:val="002166C1"/>
    <w:rsid w:val="002166F7"/>
    <w:rsid w:val="0021673A"/>
    <w:rsid w:val="00216FBA"/>
    <w:rsid w:val="00217AEC"/>
    <w:rsid w:val="00217ED3"/>
    <w:rsid w:val="002200E5"/>
    <w:rsid w:val="002205F5"/>
    <w:rsid w:val="0022067F"/>
    <w:rsid w:val="00221FF0"/>
    <w:rsid w:val="0022200D"/>
    <w:rsid w:val="0022304E"/>
    <w:rsid w:val="0022345A"/>
    <w:rsid w:val="00223A0F"/>
    <w:rsid w:val="00224B74"/>
    <w:rsid w:val="00225027"/>
    <w:rsid w:val="00225983"/>
    <w:rsid w:val="002268F9"/>
    <w:rsid w:val="00226C3B"/>
    <w:rsid w:val="00226DB4"/>
    <w:rsid w:val="00226F17"/>
    <w:rsid w:val="00227462"/>
    <w:rsid w:val="00227EA5"/>
    <w:rsid w:val="00230A28"/>
    <w:rsid w:val="00232B3E"/>
    <w:rsid w:val="002331D3"/>
    <w:rsid w:val="002335E8"/>
    <w:rsid w:val="00235465"/>
    <w:rsid w:val="0023565C"/>
    <w:rsid w:val="002357EB"/>
    <w:rsid w:val="00235C60"/>
    <w:rsid w:val="00240300"/>
    <w:rsid w:val="00240586"/>
    <w:rsid w:val="00241390"/>
    <w:rsid w:val="00241695"/>
    <w:rsid w:val="00242652"/>
    <w:rsid w:val="002442F4"/>
    <w:rsid w:val="00244325"/>
    <w:rsid w:val="00244430"/>
    <w:rsid w:val="00245CC9"/>
    <w:rsid w:val="002474EA"/>
    <w:rsid w:val="00251F01"/>
    <w:rsid w:val="002525DB"/>
    <w:rsid w:val="002535FB"/>
    <w:rsid w:val="002537BF"/>
    <w:rsid w:val="002542BB"/>
    <w:rsid w:val="002547A7"/>
    <w:rsid w:val="00255A4A"/>
    <w:rsid w:val="00255CF4"/>
    <w:rsid w:val="00255EA7"/>
    <w:rsid w:val="00256BCD"/>
    <w:rsid w:val="002570B5"/>
    <w:rsid w:val="00257EC4"/>
    <w:rsid w:val="00257F9A"/>
    <w:rsid w:val="00260FD8"/>
    <w:rsid w:val="0026123D"/>
    <w:rsid w:val="0026158C"/>
    <w:rsid w:val="00261F51"/>
    <w:rsid w:val="00262822"/>
    <w:rsid w:val="00262E36"/>
    <w:rsid w:val="00263118"/>
    <w:rsid w:val="00263142"/>
    <w:rsid w:val="00263A39"/>
    <w:rsid w:val="002642D5"/>
    <w:rsid w:val="00264312"/>
    <w:rsid w:val="00264908"/>
    <w:rsid w:val="00264C2D"/>
    <w:rsid w:val="0026636C"/>
    <w:rsid w:val="002664EF"/>
    <w:rsid w:val="00266810"/>
    <w:rsid w:val="0026798E"/>
    <w:rsid w:val="00270661"/>
    <w:rsid w:val="002706DA"/>
    <w:rsid w:val="002709A3"/>
    <w:rsid w:val="00270E5C"/>
    <w:rsid w:val="00273C6D"/>
    <w:rsid w:val="00273D09"/>
    <w:rsid w:val="00274695"/>
    <w:rsid w:val="002747AE"/>
    <w:rsid w:val="00274D45"/>
    <w:rsid w:val="00275587"/>
    <w:rsid w:val="00275AFF"/>
    <w:rsid w:val="00276230"/>
    <w:rsid w:val="002768B1"/>
    <w:rsid w:val="00276A02"/>
    <w:rsid w:val="00280448"/>
    <w:rsid w:val="00281B38"/>
    <w:rsid w:val="0028243F"/>
    <w:rsid w:val="00282EDE"/>
    <w:rsid w:val="00283A1B"/>
    <w:rsid w:val="00283D91"/>
    <w:rsid w:val="002851D1"/>
    <w:rsid w:val="00285C0E"/>
    <w:rsid w:val="0028616D"/>
    <w:rsid w:val="0028740C"/>
    <w:rsid w:val="00290260"/>
    <w:rsid w:val="00290389"/>
    <w:rsid w:val="00291744"/>
    <w:rsid w:val="002939DB"/>
    <w:rsid w:val="00294088"/>
    <w:rsid w:val="00294796"/>
    <w:rsid w:val="00294846"/>
    <w:rsid w:val="00294BEF"/>
    <w:rsid w:val="0029507E"/>
    <w:rsid w:val="002951CC"/>
    <w:rsid w:val="002A0E41"/>
    <w:rsid w:val="002A1B40"/>
    <w:rsid w:val="002A1C04"/>
    <w:rsid w:val="002A1E3B"/>
    <w:rsid w:val="002A28B9"/>
    <w:rsid w:val="002A2E29"/>
    <w:rsid w:val="002A2E36"/>
    <w:rsid w:val="002A32ED"/>
    <w:rsid w:val="002A3457"/>
    <w:rsid w:val="002A34BF"/>
    <w:rsid w:val="002A3891"/>
    <w:rsid w:val="002A3E33"/>
    <w:rsid w:val="002A517B"/>
    <w:rsid w:val="002A5489"/>
    <w:rsid w:val="002A5A61"/>
    <w:rsid w:val="002A5D3C"/>
    <w:rsid w:val="002A7690"/>
    <w:rsid w:val="002A7BD9"/>
    <w:rsid w:val="002B024B"/>
    <w:rsid w:val="002B0282"/>
    <w:rsid w:val="002B05E1"/>
    <w:rsid w:val="002B31AC"/>
    <w:rsid w:val="002B4205"/>
    <w:rsid w:val="002B4607"/>
    <w:rsid w:val="002B4D46"/>
    <w:rsid w:val="002B532A"/>
    <w:rsid w:val="002B5771"/>
    <w:rsid w:val="002C06DF"/>
    <w:rsid w:val="002C0A81"/>
    <w:rsid w:val="002C0E23"/>
    <w:rsid w:val="002C0F30"/>
    <w:rsid w:val="002C178B"/>
    <w:rsid w:val="002C2C91"/>
    <w:rsid w:val="002C3307"/>
    <w:rsid w:val="002C3AD3"/>
    <w:rsid w:val="002C4178"/>
    <w:rsid w:val="002C42AE"/>
    <w:rsid w:val="002C470A"/>
    <w:rsid w:val="002C4A17"/>
    <w:rsid w:val="002C5749"/>
    <w:rsid w:val="002C6921"/>
    <w:rsid w:val="002C6E2D"/>
    <w:rsid w:val="002C6F3A"/>
    <w:rsid w:val="002D159A"/>
    <w:rsid w:val="002D160C"/>
    <w:rsid w:val="002D1C37"/>
    <w:rsid w:val="002D2A60"/>
    <w:rsid w:val="002D2D86"/>
    <w:rsid w:val="002D333E"/>
    <w:rsid w:val="002D3401"/>
    <w:rsid w:val="002D35CF"/>
    <w:rsid w:val="002D43ED"/>
    <w:rsid w:val="002D4456"/>
    <w:rsid w:val="002D4AAC"/>
    <w:rsid w:val="002D52C2"/>
    <w:rsid w:val="002D6364"/>
    <w:rsid w:val="002D643E"/>
    <w:rsid w:val="002D6C40"/>
    <w:rsid w:val="002D6E4A"/>
    <w:rsid w:val="002D7058"/>
    <w:rsid w:val="002D7178"/>
    <w:rsid w:val="002D79AB"/>
    <w:rsid w:val="002D7AD8"/>
    <w:rsid w:val="002D7BD5"/>
    <w:rsid w:val="002E0321"/>
    <w:rsid w:val="002E16F4"/>
    <w:rsid w:val="002E1C4D"/>
    <w:rsid w:val="002E4C5A"/>
    <w:rsid w:val="002E5178"/>
    <w:rsid w:val="002E5551"/>
    <w:rsid w:val="002E6482"/>
    <w:rsid w:val="002E779B"/>
    <w:rsid w:val="002F0298"/>
    <w:rsid w:val="002F111C"/>
    <w:rsid w:val="002F139D"/>
    <w:rsid w:val="002F1B13"/>
    <w:rsid w:val="002F251B"/>
    <w:rsid w:val="002F430E"/>
    <w:rsid w:val="002F468A"/>
    <w:rsid w:val="002F79D9"/>
    <w:rsid w:val="002F7BA4"/>
    <w:rsid w:val="002F7BD0"/>
    <w:rsid w:val="002F7BE9"/>
    <w:rsid w:val="003009AB"/>
    <w:rsid w:val="003010D7"/>
    <w:rsid w:val="00301204"/>
    <w:rsid w:val="00301F51"/>
    <w:rsid w:val="00302498"/>
    <w:rsid w:val="00302A7E"/>
    <w:rsid w:val="00302AA0"/>
    <w:rsid w:val="003030F7"/>
    <w:rsid w:val="0030407D"/>
    <w:rsid w:val="00304292"/>
    <w:rsid w:val="003044DA"/>
    <w:rsid w:val="00306DFA"/>
    <w:rsid w:val="00311F10"/>
    <w:rsid w:val="00313D3C"/>
    <w:rsid w:val="00314881"/>
    <w:rsid w:val="00314EC5"/>
    <w:rsid w:val="00316E35"/>
    <w:rsid w:val="00317609"/>
    <w:rsid w:val="003201A8"/>
    <w:rsid w:val="003225D9"/>
    <w:rsid w:val="00322679"/>
    <w:rsid w:val="00322A54"/>
    <w:rsid w:val="00322AE4"/>
    <w:rsid w:val="003233D6"/>
    <w:rsid w:val="003241C3"/>
    <w:rsid w:val="00325953"/>
    <w:rsid w:val="00326099"/>
    <w:rsid w:val="003262DF"/>
    <w:rsid w:val="00326BAB"/>
    <w:rsid w:val="00326C7C"/>
    <w:rsid w:val="00326ED7"/>
    <w:rsid w:val="0032797E"/>
    <w:rsid w:val="0033049F"/>
    <w:rsid w:val="003317A7"/>
    <w:rsid w:val="003317FB"/>
    <w:rsid w:val="00332550"/>
    <w:rsid w:val="00334E09"/>
    <w:rsid w:val="00335962"/>
    <w:rsid w:val="00335F2F"/>
    <w:rsid w:val="0033646B"/>
    <w:rsid w:val="003365B4"/>
    <w:rsid w:val="00336A37"/>
    <w:rsid w:val="003373A5"/>
    <w:rsid w:val="00337F9B"/>
    <w:rsid w:val="0034063D"/>
    <w:rsid w:val="003430FA"/>
    <w:rsid w:val="00343618"/>
    <w:rsid w:val="00343C5E"/>
    <w:rsid w:val="00344BBD"/>
    <w:rsid w:val="003478BD"/>
    <w:rsid w:val="003503CE"/>
    <w:rsid w:val="003510CB"/>
    <w:rsid w:val="00352609"/>
    <w:rsid w:val="00352A96"/>
    <w:rsid w:val="003537D5"/>
    <w:rsid w:val="003539FB"/>
    <w:rsid w:val="00354359"/>
    <w:rsid w:val="003553CF"/>
    <w:rsid w:val="0035540E"/>
    <w:rsid w:val="003557B7"/>
    <w:rsid w:val="00355C55"/>
    <w:rsid w:val="00355E88"/>
    <w:rsid w:val="0035610E"/>
    <w:rsid w:val="0035617A"/>
    <w:rsid w:val="00356284"/>
    <w:rsid w:val="003564D0"/>
    <w:rsid w:val="00357099"/>
    <w:rsid w:val="003578B1"/>
    <w:rsid w:val="003603CB"/>
    <w:rsid w:val="0036065E"/>
    <w:rsid w:val="00360AE4"/>
    <w:rsid w:val="00361A9F"/>
    <w:rsid w:val="00361AF0"/>
    <w:rsid w:val="00362191"/>
    <w:rsid w:val="00362223"/>
    <w:rsid w:val="00362B73"/>
    <w:rsid w:val="00363E1C"/>
    <w:rsid w:val="00365E32"/>
    <w:rsid w:val="003663BA"/>
    <w:rsid w:val="00366572"/>
    <w:rsid w:val="00367AB9"/>
    <w:rsid w:val="00367D5B"/>
    <w:rsid w:val="00370F8C"/>
    <w:rsid w:val="00371D4C"/>
    <w:rsid w:val="00372EE5"/>
    <w:rsid w:val="003742D4"/>
    <w:rsid w:val="00374E01"/>
    <w:rsid w:val="00374E30"/>
    <w:rsid w:val="00375F34"/>
    <w:rsid w:val="003760CE"/>
    <w:rsid w:val="00376B02"/>
    <w:rsid w:val="003776C6"/>
    <w:rsid w:val="003802BC"/>
    <w:rsid w:val="00380642"/>
    <w:rsid w:val="00380828"/>
    <w:rsid w:val="00380CB9"/>
    <w:rsid w:val="00381460"/>
    <w:rsid w:val="00382354"/>
    <w:rsid w:val="0038237A"/>
    <w:rsid w:val="003826A3"/>
    <w:rsid w:val="003828EF"/>
    <w:rsid w:val="00382D7B"/>
    <w:rsid w:val="00382EC9"/>
    <w:rsid w:val="00382F88"/>
    <w:rsid w:val="003830FE"/>
    <w:rsid w:val="003832FA"/>
    <w:rsid w:val="00383D2E"/>
    <w:rsid w:val="00383ED2"/>
    <w:rsid w:val="00384089"/>
    <w:rsid w:val="003851D8"/>
    <w:rsid w:val="00386095"/>
    <w:rsid w:val="00386167"/>
    <w:rsid w:val="0038629B"/>
    <w:rsid w:val="00386753"/>
    <w:rsid w:val="00386EB8"/>
    <w:rsid w:val="00386F71"/>
    <w:rsid w:val="0038716C"/>
    <w:rsid w:val="00387A9F"/>
    <w:rsid w:val="0039025D"/>
    <w:rsid w:val="00395098"/>
    <w:rsid w:val="003951FC"/>
    <w:rsid w:val="003954A4"/>
    <w:rsid w:val="00395A74"/>
    <w:rsid w:val="00395C8A"/>
    <w:rsid w:val="00395F5A"/>
    <w:rsid w:val="00397569"/>
    <w:rsid w:val="003A0209"/>
    <w:rsid w:val="003A1C10"/>
    <w:rsid w:val="003A3546"/>
    <w:rsid w:val="003A3748"/>
    <w:rsid w:val="003A39FD"/>
    <w:rsid w:val="003A3AC0"/>
    <w:rsid w:val="003A3ACC"/>
    <w:rsid w:val="003A4275"/>
    <w:rsid w:val="003A475F"/>
    <w:rsid w:val="003A4AE0"/>
    <w:rsid w:val="003A5552"/>
    <w:rsid w:val="003A5956"/>
    <w:rsid w:val="003A60FA"/>
    <w:rsid w:val="003A6A59"/>
    <w:rsid w:val="003A6D8D"/>
    <w:rsid w:val="003A729E"/>
    <w:rsid w:val="003A7324"/>
    <w:rsid w:val="003A7682"/>
    <w:rsid w:val="003A7AF9"/>
    <w:rsid w:val="003A7F65"/>
    <w:rsid w:val="003B02CB"/>
    <w:rsid w:val="003B0ECA"/>
    <w:rsid w:val="003B2980"/>
    <w:rsid w:val="003B535B"/>
    <w:rsid w:val="003B5EAB"/>
    <w:rsid w:val="003B6A47"/>
    <w:rsid w:val="003B778A"/>
    <w:rsid w:val="003B7DDD"/>
    <w:rsid w:val="003B7F3B"/>
    <w:rsid w:val="003C12B8"/>
    <w:rsid w:val="003C1BA5"/>
    <w:rsid w:val="003C3CBB"/>
    <w:rsid w:val="003C473D"/>
    <w:rsid w:val="003C5445"/>
    <w:rsid w:val="003C56DA"/>
    <w:rsid w:val="003C62F9"/>
    <w:rsid w:val="003C6F07"/>
    <w:rsid w:val="003D0748"/>
    <w:rsid w:val="003D0A2C"/>
    <w:rsid w:val="003D1EBD"/>
    <w:rsid w:val="003D27B9"/>
    <w:rsid w:val="003D3033"/>
    <w:rsid w:val="003D35CA"/>
    <w:rsid w:val="003D3887"/>
    <w:rsid w:val="003D3DDC"/>
    <w:rsid w:val="003D3F03"/>
    <w:rsid w:val="003D43D8"/>
    <w:rsid w:val="003D4EF2"/>
    <w:rsid w:val="003D591B"/>
    <w:rsid w:val="003D6F9C"/>
    <w:rsid w:val="003E091E"/>
    <w:rsid w:val="003E1069"/>
    <w:rsid w:val="003E1ACA"/>
    <w:rsid w:val="003E1D48"/>
    <w:rsid w:val="003E1F1B"/>
    <w:rsid w:val="003E2A03"/>
    <w:rsid w:val="003E3093"/>
    <w:rsid w:val="003E4488"/>
    <w:rsid w:val="003E4685"/>
    <w:rsid w:val="003E499B"/>
    <w:rsid w:val="003E5964"/>
    <w:rsid w:val="003E6040"/>
    <w:rsid w:val="003E6D53"/>
    <w:rsid w:val="003E6EEB"/>
    <w:rsid w:val="003E72B1"/>
    <w:rsid w:val="003E78B9"/>
    <w:rsid w:val="003F027D"/>
    <w:rsid w:val="003F11B2"/>
    <w:rsid w:val="003F18C7"/>
    <w:rsid w:val="003F1EAD"/>
    <w:rsid w:val="003F21A5"/>
    <w:rsid w:val="003F2FB0"/>
    <w:rsid w:val="003F31C9"/>
    <w:rsid w:val="003F34ED"/>
    <w:rsid w:val="003F3BA6"/>
    <w:rsid w:val="003F6A61"/>
    <w:rsid w:val="003F6ECD"/>
    <w:rsid w:val="004001F5"/>
    <w:rsid w:val="004025C0"/>
    <w:rsid w:val="00403D2F"/>
    <w:rsid w:val="00403F7B"/>
    <w:rsid w:val="0040400D"/>
    <w:rsid w:val="004051A3"/>
    <w:rsid w:val="00405ECD"/>
    <w:rsid w:val="0040681D"/>
    <w:rsid w:val="00406B4C"/>
    <w:rsid w:val="00406BAE"/>
    <w:rsid w:val="00407037"/>
    <w:rsid w:val="00407C5E"/>
    <w:rsid w:val="00411239"/>
    <w:rsid w:val="004112E0"/>
    <w:rsid w:val="00411766"/>
    <w:rsid w:val="00411776"/>
    <w:rsid w:val="004130F3"/>
    <w:rsid w:val="00413209"/>
    <w:rsid w:val="00413354"/>
    <w:rsid w:val="00415667"/>
    <w:rsid w:val="0041583B"/>
    <w:rsid w:val="00416CFB"/>
    <w:rsid w:val="00416E80"/>
    <w:rsid w:val="00417346"/>
    <w:rsid w:val="0041782A"/>
    <w:rsid w:val="00417C0E"/>
    <w:rsid w:val="004203FC"/>
    <w:rsid w:val="00420573"/>
    <w:rsid w:val="00420FFF"/>
    <w:rsid w:val="00421782"/>
    <w:rsid w:val="00421B3B"/>
    <w:rsid w:val="004220E2"/>
    <w:rsid w:val="00424A8F"/>
    <w:rsid w:val="0042570C"/>
    <w:rsid w:val="00425E34"/>
    <w:rsid w:val="00426523"/>
    <w:rsid w:val="00426E10"/>
    <w:rsid w:val="004277FC"/>
    <w:rsid w:val="004278E8"/>
    <w:rsid w:val="00427C04"/>
    <w:rsid w:val="00427FA7"/>
    <w:rsid w:val="00430185"/>
    <w:rsid w:val="00430D64"/>
    <w:rsid w:val="00431BBF"/>
    <w:rsid w:val="004325D7"/>
    <w:rsid w:val="004329E2"/>
    <w:rsid w:val="0043350F"/>
    <w:rsid w:val="004359FE"/>
    <w:rsid w:val="00436123"/>
    <w:rsid w:val="0043671E"/>
    <w:rsid w:val="00436782"/>
    <w:rsid w:val="00436892"/>
    <w:rsid w:val="00436919"/>
    <w:rsid w:val="004373D7"/>
    <w:rsid w:val="004415C3"/>
    <w:rsid w:val="00441B88"/>
    <w:rsid w:val="00441BE9"/>
    <w:rsid w:val="00441CA0"/>
    <w:rsid w:val="00442A66"/>
    <w:rsid w:val="00442B1B"/>
    <w:rsid w:val="0044306B"/>
    <w:rsid w:val="00443430"/>
    <w:rsid w:val="004458F4"/>
    <w:rsid w:val="00450EF4"/>
    <w:rsid w:val="00451094"/>
    <w:rsid w:val="004511FC"/>
    <w:rsid w:val="00451C48"/>
    <w:rsid w:val="00451FC3"/>
    <w:rsid w:val="004528ED"/>
    <w:rsid w:val="00455057"/>
    <w:rsid w:val="0045524D"/>
    <w:rsid w:val="004559BA"/>
    <w:rsid w:val="00455AB9"/>
    <w:rsid w:val="00456079"/>
    <w:rsid w:val="004560C1"/>
    <w:rsid w:val="004577F9"/>
    <w:rsid w:val="00457948"/>
    <w:rsid w:val="00461812"/>
    <w:rsid w:val="00461944"/>
    <w:rsid w:val="00461FA3"/>
    <w:rsid w:val="00462CFB"/>
    <w:rsid w:val="00463AE1"/>
    <w:rsid w:val="00465AA9"/>
    <w:rsid w:val="00465BD0"/>
    <w:rsid w:val="00465C04"/>
    <w:rsid w:val="004660FA"/>
    <w:rsid w:val="0046639F"/>
    <w:rsid w:val="00466B8D"/>
    <w:rsid w:val="00466DAD"/>
    <w:rsid w:val="004679B6"/>
    <w:rsid w:val="004679E5"/>
    <w:rsid w:val="004706D4"/>
    <w:rsid w:val="004709E4"/>
    <w:rsid w:val="00470F8D"/>
    <w:rsid w:val="00471753"/>
    <w:rsid w:val="004728D2"/>
    <w:rsid w:val="004729F8"/>
    <w:rsid w:val="004729FA"/>
    <w:rsid w:val="004735DE"/>
    <w:rsid w:val="00473CCE"/>
    <w:rsid w:val="00474307"/>
    <w:rsid w:val="004751EA"/>
    <w:rsid w:val="004757F7"/>
    <w:rsid w:val="00475FD7"/>
    <w:rsid w:val="004761C6"/>
    <w:rsid w:val="00476C7D"/>
    <w:rsid w:val="00477458"/>
    <w:rsid w:val="0048114D"/>
    <w:rsid w:val="004816BA"/>
    <w:rsid w:val="00482344"/>
    <w:rsid w:val="00483504"/>
    <w:rsid w:val="00483F13"/>
    <w:rsid w:val="00484164"/>
    <w:rsid w:val="004843E0"/>
    <w:rsid w:val="004846E7"/>
    <w:rsid w:val="00484C81"/>
    <w:rsid w:val="00485C24"/>
    <w:rsid w:val="00485F72"/>
    <w:rsid w:val="00486479"/>
    <w:rsid w:val="004874C8"/>
    <w:rsid w:val="00490510"/>
    <w:rsid w:val="00490BEB"/>
    <w:rsid w:val="00490D1A"/>
    <w:rsid w:val="00491CCB"/>
    <w:rsid w:val="00493277"/>
    <w:rsid w:val="00493AE8"/>
    <w:rsid w:val="00493D36"/>
    <w:rsid w:val="00493DD4"/>
    <w:rsid w:val="004974EF"/>
    <w:rsid w:val="00497BAE"/>
    <w:rsid w:val="004A0134"/>
    <w:rsid w:val="004A02FC"/>
    <w:rsid w:val="004A079F"/>
    <w:rsid w:val="004A0A71"/>
    <w:rsid w:val="004A2943"/>
    <w:rsid w:val="004A2ACC"/>
    <w:rsid w:val="004A485C"/>
    <w:rsid w:val="004A6381"/>
    <w:rsid w:val="004A6D15"/>
    <w:rsid w:val="004A7681"/>
    <w:rsid w:val="004A7DA2"/>
    <w:rsid w:val="004B0300"/>
    <w:rsid w:val="004B0492"/>
    <w:rsid w:val="004B1C5A"/>
    <w:rsid w:val="004B1F9E"/>
    <w:rsid w:val="004B2739"/>
    <w:rsid w:val="004B2DB5"/>
    <w:rsid w:val="004B3DB6"/>
    <w:rsid w:val="004B3DF5"/>
    <w:rsid w:val="004B454B"/>
    <w:rsid w:val="004B4651"/>
    <w:rsid w:val="004B467C"/>
    <w:rsid w:val="004B46C1"/>
    <w:rsid w:val="004B486E"/>
    <w:rsid w:val="004B4FF1"/>
    <w:rsid w:val="004B57D7"/>
    <w:rsid w:val="004B5D54"/>
    <w:rsid w:val="004B5DCA"/>
    <w:rsid w:val="004B6550"/>
    <w:rsid w:val="004B698B"/>
    <w:rsid w:val="004B6A92"/>
    <w:rsid w:val="004B70C7"/>
    <w:rsid w:val="004B726B"/>
    <w:rsid w:val="004B729D"/>
    <w:rsid w:val="004B7F58"/>
    <w:rsid w:val="004C0D7E"/>
    <w:rsid w:val="004C27E4"/>
    <w:rsid w:val="004C2940"/>
    <w:rsid w:val="004C2E1C"/>
    <w:rsid w:val="004C3663"/>
    <w:rsid w:val="004C38B3"/>
    <w:rsid w:val="004C3E4B"/>
    <w:rsid w:val="004C5166"/>
    <w:rsid w:val="004C5B8B"/>
    <w:rsid w:val="004C6C29"/>
    <w:rsid w:val="004C6C83"/>
    <w:rsid w:val="004C76B1"/>
    <w:rsid w:val="004D0E95"/>
    <w:rsid w:val="004D263E"/>
    <w:rsid w:val="004D33D8"/>
    <w:rsid w:val="004D3556"/>
    <w:rsid w:val="004D3B58"/>
    <w:rsid w:val="004D4034"/>
    <w:rsid w:val="004D4EE8"/>
    <w:rsid w:val="004D60F0"/>
    <w:rsid w:val="004D6CC6"/>
    <w:rsid w:val="004D742D"/>
    <w:rsid w:val="004E02F8"/>
    <w:rsid w:val="004E0DA1"/>
    <w:rsid w:val="004E0FF0"/>
    <w:rsid w:val="004E188E"/>
    <w:rsid w:val="004E1C31"/>
    <w:rsid w:val="004E204E"/>
    <w:rsid w:val="004E363E"/>
    <w:rsid w:val="004E3668"/>
    <w:rsid w:val="004E3A32"/>
    <w:rsid w:val="004E4CF0"/>
    <w:rsid w:val="004E69E0"/>
    <w:rsid w:val="004E6CF9"/>
    <w:rsid w:val="004E77E4"/>
    <w:rsid w:val="004E7B3A"/>
    <w:rsid w:val="004E7EA1"/>
    <w:rsid w:val="004F0607"/>
    <w:rsid w:val="004F1B6A"/>
    <w:rsid w:val="004F2D46"/>
    <w:rsid w:val="004F360F"/>
    <w:rsid w:val="004F388F"/>
    <w:rsid w:val="004F50AD"/>
    <w:rsid w:val="004F5199"/>
    <w:rsid w:val="004F5239"/>
    <w:rsid w:val="004F5865"/>
    <w:rsid w:val="004F5942"/>
    <w:rsid w:val="004F5D92"/>
    <w:rsid w:val="004F656C"/>
    <w:rsid w:val="004F6BDB"/>
    <w:rsid w:val="004F7BCF"/>
    <w:rsid w:val="0050025C"/>
    <w:rsid w:val="0050037C"/>
    <w:rsid w:val="00500389"/>
    <w:rsid w:val="0050110C"/>
    <w:rsid w:val="00501C90"/>
    <w:rsid w:val="00503054"/>
    <w:rsid w:val="0050395E"/>
    <w:rsid w:val="00503E3B"/>
    <w:rsid w:val="00504C4A"/>
    <w:rsid w:val="00504C4E"/>
    <w:rsid w:val="00504DF1"/>
    <w:rsid w:val="005067B7"/>
    <w:rsid w:val="00507018"/>
    <w:rsid w:val="00507470"/>
    <w:rsid w:val="00510055"/>
    <w:rsid w:val="00511C26"/>
    <w:rsid w:val="00511E29"/>
    <w:rsid w:val="00511EC5"/>
    <w:rsid w:val="00511FAA"/>
    <w:rsid w:val="00513513"/>
    <w:rsid w:val="00513756"/>
    <w:rsid w:val="005137AB"/>
    <w:rsid w:val="00514C3A"/>
    <w:rsid w:val="005157EF"/>
    <w:rsid w:val="00516C6A"/>
    <w:rsid w:val="00517EB3"/>
    <w:rsid w:val="005203C2"/>
    <w:rsid w:val="00521456"/>
    <w:rsid w:val="00521FA4"/>
    <w:rsid w:val="005222A3"/>
    <w:rsid w:val="00523B40"/>
    <w:rsid w:val="00524348"/>
    <w:rsid w:val="005246D9"/>
    <w:rsid w:val="005249C7"/>
    <w:rsid w:val="00524CE7"/>
    <w:rsid w:val="00524D1D"/>
    <w:rsid w:val="005255C2"/>
    <w:rsid w:val="0052625D"/>
    <w:rsid w:val="00526276"/>
    <w:rsid w:val="005323C7"/>
    <w:rsid w:val="005323D8"/>
    <w:rsid w:val="00532486"/>
    <w:rsid w:val="00534204"/>
    <w:rsid w:val="00534681"/>
    <w:rsid w:val="00535461"/>
    <w:rsid w:val="00535C23"/>
    <w:rsid w:val="00535FB1"/>
    <w:rsid w:val="00536D72"/>
    <w:rsid w:val="00540859"/>
    <w:rsid w:val="0054161A"/>
    <w:rsid w:val="00541CDA"/>
    <w:rsid w:val="00542C8F"/>
    <w:rsid w:val="0054479C"/>
    <w:rsid w:val="00545A55"/>
    <w:rsid w:val="0054637F"/>
    <w:rsid w:val="00546C70"/>
    <w:rsid w:val="00546E61"/>
    <w:rsid w:val="00547229"/>
    <w:rsid w:val="00550965"/>
    <w:rsid w:val="0055099F"/>
    <w:rsid w:val="005515AE"/>
    <w:rsid w:val="005523D5"/>
    <w:rsid w:val="0055256B"/>
    <w:rsid w:val="00553083"/>
    <w:rsid w:val="00554474"/>
    <w:rsid w:val="005548E6"/>
    <w:rsid w:val="00555277"/>
    <w:rsid w:val="00555CE7"/>
    <w:rsid w:val="0055687C"/>
    <w:rsid w:val="00556DA2"/>
    <w:rsid w:val="00556E2F"/>
    <w:rsid w:val="00556EAE"/>
    <w:rsid w:val="00557304"/>
    <w:rsid w:val="005576CA"/>
    <w:rsid w:val="00560FC1"/>
    <w:rsid w:val="00561621"/>
    <w:rsid w:val="0056208F"/>
    <w:rsid w:val="00562287"/>
    <w:rsid w:val="00562691"/>
    <w:rsid w:val="00562B71"/>
    <w:rsid w:val="00562E02"/>
    <w:rsid w:val="0056322C"/>
    <w:rsid w:val="005635D1"/>
    <w:rsid w:val="00563CA5"/>
    <w:rsid w:val="00564CDD"/>
    <w:rsid w:val="00565347"/>
    <w:rsid w:val="00566036"/>
    <w:rsid w:val="0056618A"/>
    <w:rsid w:val="00567385"/>
    <w:rsid w:val="00570E88"/>
    <w:rsid w:val="00571CCA"/>
    <w:rsid w:val="00572301"/>
    <w:rsid w:val="005727F6"/>
    <w:rsid w:val="00572BCA"/>
    <w:rsid w:val="00572D10"/>
    <w:rsid w:val="0057366D"/>
    <w:rsid w:val="00573750"/>
    <w:rsid w:val="00575DCC"/>
    <w:rsid w:val="00577248"/>
    <w:rsid w:val="005774AA"/>
    <w:rsid w:val="00577564"/>
    <w:rsid w:val="00577602"/>
    <w:rsid w:val="0057761B"/>
    <w:rsid w:val="005809C7"/>
    <w:rsid w:val="00580E94"/>
    <w:rsid w:val="0058146F"/>
    <w:rsid w:val="00582784"/>
    <w:rsid w:val="00583639"/>
    <w:rsid w:val="005839E4"/>
    <w:rsid w:val="0058566A"/>
    <w:rsid w:val="00585680"/>
    <w:rsid w:val="005856BA"/>
    <w:rsid w:val="0058740B"/>
    <w:rsid w:val="005876A3"/>
    <w:rsid w:val="00587712"/>
    <w:rsid w:val="00587D23"/>
    <w:rsid w:val="005900E7"/>
    <w:rsid w:val="005904B9"/>
    <w:rsid w:val="00590C30"/>
    <w:rsid w:val="0059121D"/>
    <w:rsid w:val="00591258"/>
    <w:rsid w:val="00592033"/>
    <w:rsid w:val="0059232A"/>
    <w:rsid w:val="00592D28"/>
    <w:rsid w:val="00593816"/>
    <w:rsid w:val="005945BA"/>
    <w:rsid w:val="00596093"/>
    <w:rsid w:val="0059615F"/>
    <w:rsid w:val="00596A37"/>
    <w:rsid w:val="00596BA0"/>
    <w:rsid w:val="005A1083"/>
    <w:rsid w:val="005A41B8"/>
    <w:rsid w:val="005A4948"/>
    <w:rsid w:val="005A4D4A"/>
    <w:rsid w:val="005A5F40"/>
    <w:rsid w:val="005A6375"/>
    <w:rsid w:val="005A63A1"/>
    <w:rsid w:val="005A676F"/>
    <w:rsid w:val="005A6E47"/>
    <w:rsid w:val="005A6E5A"/>
    <w:rsid w:val="005A6E6D"/>
    <w:rsid w:val="005A6F83"/>
    <w:rsid w:val="005A7348"/>
    <w:rsid w:val="005A7404"/>
    <w:rsid w:val="005A76D4"/>
    <w:rsid w:val="005A7878"/>
    <w:rsid w:val="005A7C96"/>
    <w:rsid w:val="005A7CAC"/>
    <w:rsid w:val="005A7D49"/>
    <w:rsid w:val="005B15A0"/>
    <w:rsid w:val="005B1B7A"/>
    <w:rsid w:val="005B3042"/>
    <w:rsid w:val="005B343A"/>
    <w:rsid w:val="005B4640"/>
    <w:rsid w:val="005B4649"/>
    <w:rsid w:val="005B5A75"/>
    <w:rsid w:val="005B6363"/>
    <w:rsid w:val="005B70A0"/>
    <w:rsid w:val="005B7207"/>
    <w:rsid w:val="005B73AA"/>
    <w:rsid w:val="005B770E"/>
    <w:rsid w:val="005C0182"/>
    <w:rsid w:val="005C1A6D"/>
    <w:rsid w:val="005C23FD"/>
    <w:rsid w:val="005C28B7"/>
    <w:rsid w:val="005C294B"/>
    <w:rsid w:val="005C2AE9"/>
    <w:rsid w:val="005C3463"/>
    <w:rsid w:val="005C3B14"/>
    <w:rsid w:val="005C5119"/>
    <w:rsid w:val="005C52E2"/>
    <w:rsid w:val="005C585A"/>
    <w:rsid w:val="005C5FF6"/>
    <w:rsid w:val="005C7223"/>
    <w:rsid w:val="005D02E5"/>
    <w:rsid w:val="005D0AB9"/>
    <w:rsid w:val="005D0C8A"/>
    <w:rsid w:val="005D10C6"/>
    <w:rsid w:val="005D1BB1"/>
    <w:rsid w:val="005D2127"/>
    <w:rsid w:val="005D21FC"/>
    <w:rsid w:val="005D3CA5"/>
    <w:rsid w:val="005D401E"/>
    <w:rsid w:val="005D5B8A"/>
    <w:rsid w:val="005D7105"/>
    <w:rsid w:val="005D746A"/>
    <w:rsid w:val="005D74AF"/>
    <w:rsid w:val="005E04B8"/>
    <w:rsid w:val="005E073D"/>
    <w:rsid w:val="005E0D1C"/>
    <w:rsid w:val="005E10C1"/>
    <w:rsid w:val="005E41D0"/>
    <w:rsid w:val="005E4D58"/>
    <w:rsid w:val="005E5110"/>
    <w:rsid w:val="005E52A4"/>
    <w:rsid w:val="005E561B"/>
    <w:rsid w:val="005E5976"/>
    <w:rsid w:val="005E676D"/>
    <w:rsid w:val="005E6A2D"/>
    <w:rsid w:val="005E7E26"/>
    <w:rsid w:val="005F0200"/>
    <w:rsid w:val="005F03D1"/>
    <w:rsid w:val="005F2F36"/>
    <w:rsid w:val="005F2FDF"/>
    <w:rsid w:val="005F3413"/>
    <w:rsid w:val="005F3C2A"/>
    <w:rsid w:val="005F3E10"/>
    <w:rsid w:val="005F475C"/>
    <w:rsid w:val="005F4F9D"/>
    <w:rsid w:val="0060096A"/>
    <w:rsid w:val="00601F9F"/>
    <w:rsid w:val="0060267E"/>
    <w:rsid w:val="0060329A"/>
    <w:rsid w:val="00603385"/>
    <w:rsid w:val="00603557"/>
    <w:rsid w:val="006036C0"/>
    <w:rsid w:val="00603C89"/>
    <w:rsid w:val="00604F9B"/>
    <w:rsid w:val="00605245"/>
    <w:rsid w:val="00606ACF"/>
    <w:rsid w:val="00607B08"/>
    <w:rsid w:val="00607B9E"/>
    <w:rsid w:val="00607C22"/>
    <w:rsid w:val="00607C30"/>
    <w:rsid w:val="00610086"/>
    <w:rsid w:val="0061077B"/>
    <w:rsid w:val="006124E4"/>
    <w:rsid w:val="0061349D"/>
    <w:rsid w:val="00613C58"/>
    <w:rsid w:val="00614691"/>
    <w:rsid w:val="00614995"/>
    <w:rsid w:val="006161AF"/>
    <w:rsid w:val="0061678B"/>
    <w:rsid w:val="00616A87"/>
    <w:rsid w:val="006174E3"/>
    <w:rsid w:val="0062021E"/>
    <w:rsid w:val="006214AD"/>
    <w:rsid w:val="00621CD7"/>
    <w:rsid w:val="00623B1F"/>
    <w:rsid w:val="00623D69"/>
    <w:rsid w:val="00624015"/>
    <w:rsid w:val="006246EA"/>
    <w:rsid w:val="00624A72"/>
    <w:rsid w:val="00625B44"/>
    <w:rsid w:val="00625D1C"/>
    <w:rsid w:val="00625EC4"/>
    <w:rsid w:val="00626B90"/>
    <w:rsid w:val="00627282"/>
    <w:rsid w:val="006300D5"/>
    <w:rsid w:val="006303C7"/>
    <w:rsid w:val="00630585"/>
    <w:rsid w:val="00630C1B"/>
    <w:rsid w:val="00631478"/>
    <w:rsid w:val="00632838"/>
    <w:rsid w:val="00632C1F"/>
    <w:rsid w:val="00633433"/>
    <w:rsid w:val="00633C8F"/>
    <w:rsid w:val="006346F7"/>
    <w:rsid w:val="006353A6"/>
    <w:rsid w:val="006357A4"/>
    <w:rsid w:val="00637E00"/>
    <w:rsid w:val="006410A0"/>
    <w:rsid w:val="00641598"/>
    <w:rsid w:val="00641FC3"/>
    <w:rsid w:val="00642012"/>
    <w:rsid w:val="006427D9"/>
    <w:rsid w:val="00642FF9"/>
    <w:rsid w:val="00643AEB"/>
    <w:rsid w:val="00644215"/>
    <w:rsid w:val="006443D3"/>
    <w:rsid w:val="0064483A"/>
    <w:rsid w:val="006454AA"/>
    <w:rsid w:val="006466AD"/>
    <w:rsid w:val="0064755F"/>
    <w:rsid w:val="00647658"/>
    <w:rsid w:val="00647D30"/>
    <w:rsid w:val="00650330"/>
    <w:rsid w:val="00651E17"/>
    <w:rsid w:val="00651FF7"/>
    <w:rsid w:val="006525B7"/>
    <w:rsid w:val="00652F55"/>
    <w:rsid w:val="0065313C"/>
    <w:rsid w:val="00655C78"/>
    <w:rsid w:val="006560ED"/>
    <w:rsid w:val="00656286"/>
    <w:rsid w:val="006566C3"/>
    <w:rsid w:val="00656950"/>
    <w:rsid w:val="00656DF3"/>
    <w:rsid w:val="00657856"/>
    <w:rsid w:val="00657B5B"/>
    <w:rsid w:val="00657F44"/>
    <w:rsid w:val="006607AD"/>
    <w:rsid w:val="006608F2"/>
    <w:rsid w:val="006626A4"/>
    <w:rsid w:val="00662835"/>
    <w:rsid w:val="00662B49"/>
    <w:rsid w:val="00662CDC"/>
    <w:rsid w:val="0066321F"/>
    <w:rsid w:val="00664303"/>
    <w:rsid w:val="00664F3A"/>
    <w:rsid w:val="00665B42"/>
    <w:rsid w:val="00667EA7"/>
    <w:rsid w:val="006704B4"/>
    <w:rsid w:val="00670692"/>
    <w:rsid w:val="00670B0C"/>
    <w:rsid w:val="00671CD8"/>
    <w:rsid w:val="00671E5C"/>
    <w:rsid w:val="00671FF3"/>
    <w:rsid w:val="006727A9"/>
    <w:rsid w:val="00672B9A"/>
    <w:rsid w:val="006733FC"/>
    <w:rsid w:val="006734AB"/>
    <w:rsid w:val="0067372B"/>
    <w:rsid w:val="00673A35"/>
    <w:rsid w:val="00676055"/>
    <w:rsid w:val="0067751D"/>
    <w:rsid w:val="00677BE4"/>
    <w:rsid w:val="00680170"/>
    <w:rsid w:val="00680B67"/>
    <w:rsid w:val="00682597"/>
    <w:rsid w:val="00682C6F"/>
    <w:rsid w:val="00683A99"/>
    <w:rsid w:val="006853DA"/>
    <w:rsid w:val="00685A41"/>
    <w:rsid w:val="006900D0"/>
    <w:rsid w:val="00691392"/>
    <w:rsid w:val="006916C7"/>
    <w:rsid w:val="006916ED"/>
    <w:rsid w:val="006917BC"/>
    <w:rsid w:val="00691A21"/>
    <w:rsid w:val="00692537"/>
    <w:rsid w:val="0069284D"/>
    <w:rsid w:val="006938CD"/>
    <w:rsid w:val="006941FE"/>
    <w:rsid w:val="00695593"/>
    <w:rsid w:val="00695DEC"/>
    <w:rsid w:val="00696911"/>
    <w:rsid w:val="00696BB3"/>
    <w:rsid w:val="00696F4E"/>
    <w:rsid w:val="0069799C"/>
    <w:rsid w:val="00697E56"/>
    <w:rsid w:val="006A0856"/>
    <w:rsid w:val="006A0FB3"/>
    <w:rsid w:val="006A36E2"/>
    <w:rsid w:val="006A4B15"/>
    <w:rsid w:val="006A5513"/>
    <w:rsid w:val="006A5818"/>
    <w:rsid w:val="006A59D4"/>
    <w:rsid w:val="006A6BA5"/>
    <w:rsid w:val="006A6FB6"/>
    <w:rsid w:val="006A7060"/>
    <w:rsid w:val="006A768C"/>
    <w:rsid w:val="006B0D54"/>
    <w:rsid w:val="006B1396"/>
    <w:rsid w:val="006B1FB6"/>
    <w:rsid w:val="006B25C8"/>
    <w:rsid w:val="006B285A"/>
    <w:rsid w:val="006B3122"/>
    <w:rsid w:val="006B4387"/>
    <w:rsid w:val="006B4ED1"/>
    <w:rsid w:val="006B535F"/>
    <w:rsid w:val="006B70C4"/>
    <w:rsid w:val="006B7A7F"/>
    <w:rsid w:val="006B7B08"/>
    <w:rsid w:val="006C02FE"/>
    <w:rsid w:val="006C0CAA"/>
    <w:rsid w:val="006C1811"/>
    <w:rsid w:val="006C18C6"/>
    <w:rsid w:val="006C23CB"/>
    <w:rsid w:val="006C25F6"/>
    <w:rsid w:val="006C2951"/>
    <w:rsid w:val="006C2E1F"/>
    <w:rsid w:val="006C434E"/>
    <w:rsid w:val="006C4C62"/>
    <w:rsid w:val="006C5FD3"/>
    <w:rsid w:val="006C622D"/>
    <w:rsid w:val="006C747C"/>
    <w:rsid w:val="006C7FC7"/>
    <w:rsid w:val="006D0705"/>
    <w:rsid w:val="006D0862"/>
    <w:rsid w:val="006D0A89"/>
    <w:rsid w:val="006D0E8C"/>
    <w:rsid w:val="006D2BB5"/>
    <w:rsid w:val="006D3AD6"/>
    <w:rsid w:val="006D3D9D"/>
    <w:rsid w:val="006D4391"/>
    <w:rsid w:val="006D4BB6"/>
    <w:rsid w:val="006D62AA"/>
    <w:rsid w:val="006D6E76"/>
    <w:rsid w:val="006D6E8D"/>
    <w:rsid w:val="006D7337"/>
    <w:rsid w:val="006D7672"/>
    <w:rsid w:val="006E1112"/>
    <w:rsid w:val="006E2305"/>
    <w:rsid w:val="006E2339"/>
    <w:rsid w:val="006E2C98"/>
    <w:rsid w:val="006E2D0D"/>
    <w:rsid w:val="006E30D0"/>
    <w:rsid w:val="006E3277"/>
    <w:rsid w:val="006E3838"/>
    <w:rsid w:val="006E4766"/>
    <w:rsid w:val="006E4DBE"/>
    <w:rsid w:val="006E50A6"/>
    <w:rsid w:val="006E5B8A"/>
    <w:rsid w:val="006E66CA"/>
    <w:rsid w:val="006E70A3"/>
    <w:rsid w:val="006E715D"/>
    <w:rsid w:val="006E7C7A"/>
    <w:rsid w:val="006F01A8"/>
    <w:rsid w:val="006F2236"/>
    <w:rsid w:val="006F23F1"/>
    <w:rsid w:val="006F3F0C"/>
    <w:rsid w:val="006F418F"/>
    <w:rsid w:val="006F45C1"/>
    <w:rsid w:val="006F476F"/>
    <w:rsid w:val="006F5823"/>
    <w:rsid w:val="006F5A24"/>
    <w:rsid w:val="006F6A72"/>
    <w:rsid w:val="006F6B20"/>
    <w:rsid w:val="006F70A5"/>
    <w:rsid w:val="006F70C7"/>
    <w:rsid w:val="006F7142"/>
    <w:rsid w:val="006F75BE"/>
    <w:rsid w:val="006F7885"/>
    <w:rsid w:val="00700034"/>
    <w:rsid w:val="0070013F"/>
    <w:rsid w:val="007015FA"/>
    <w:rsid w:val="007020C3"/>
    <w:rsid w:val="00702170"/>
    <w:rsid w:val="00703CC6"/>
    <w:rsid w:val="00705B77"/>
    <w:rsid w:val="00705BEF"/>
    <w:rsid w:val="00705ECE"/>
    <w:rsid w:val="0070604C"/>
    <w:rsid w:val="00706721"/>
    <w:rsid w:val="00706955"/>
    <w:rsid w:val="00706A52"/>
    <w:rsid w:val="0070754A"/>
    <w:rsid w:val="007075B7"/>
    <w:rsid w:val="00711FA8"/>
    <w:rsid w:val="007120ED"/>
    <w:rsid w:val="00713B6D"/>
    <w:rsid w:val="00715A60"/>
    <w:rsid w:val="00715B54"/>
    <w:rsid w:val="00715F70"/>
    <w:rsid w:val="00716874"/>
    <w:rsid w:val="0071756C"/>
    <w:rsid w:val="00720DA5"/>
    <w:rsid w:val="00721058"/>
    <w:rsid w:val="00721995"/>
    <w:rsid w:val="00724103"/>
    <w:rsid w:val="00724171"/>
    <w:rsid w:val="00724529"/>
    <w:rsid w:val="00725A1F"/>
    <w:rsid w:val="0072632B"/>
    <w:rsid w:val="00726BF3"/>
    <w:rsid w:val="00726D23"/>
    <w:rsid w:val="00730765"/>
    <w:rsid w:val="00732F2A"/>
    <w:rsid w:val="00732FC3"/>
    <w:rsid w:val="00733D50"/>
    <w:rsid w:val="007342EA"/>
    <w:rsid w:val="00734479"/>
    <w:rsid w:val="00734869"/>
    <w:rsid w:val="007374DB"/>
    <w:rsid w:val="00737707"/>
    <w:rsid w:val="00737D1F"/>
    <w:rsid w:val="00740085"/>
    <w:rsid w:val="007410EA"/>
    <w:rsid w:val="007412C8"/>
    <w:rsid w:val="0074219E"/>
    <w:rsid w:val="007434FE"/>
    <w:rsid w:val="00744042"/>
    <w:rsid w:val="007448FE"/>
    <w:rsid w:val="007461D5"/>
    <w:rsid w:val="00747AC8"/>
    <w:rsid w:val="00747D2A"/>
    <w:rsid w:val="00752039"/>
    <w:rsid w:val="00752339"/>
    <w:rsid w:val="00752D54"/>
    <w:rsid w:val="007539F0"/>
    <w:rsid w:val="00753C7F"/>
    <w:rsid w:val="00753E2C"/>
    <w:rsid w:val="007541F3"/>
    <w:rsid w:val="0075484C"/>
    <w:rsid w:val="00754A8F"/>
    <w:rsid w:val="007559BA"/>
    <w:rsid w:val="007575E6"/>
    <w:rsid w:val="00757790"/>
    <w:rsid w:val="007601D2"/>
    <w:rsid w:val="0076192E"/>
    <w:rsid w:val="00761C70"/>
    <w:rsid w:val="007622C3"/>
    <w:rsid w:val="00762407"/>
    <w:rsid w:val="0076289A"/>
    <w:rsid w:val="007632B2"/>
    <w:rsid w:val="007643E1"/>
    <w:rsid w:val="007664A2"/>
    <w:rsid w:val="0076685E"/>
    <w:rsid w:val="00766FF1"/>
    <w:rsid w:val="007670C8"/>
    <w:rsid w:val="007677F6"/>
    <w:rsid w:val="0076781C"/>
    <w:rsid w:val="00770A7F"/>
    <w:rsid w:val="00770EA0"/>
    <w:rsid w:val="0077127F"/>
    <w:rsid w:val="00771288"/>
    <w:rsid w:val="00771648"/>
    <w:rsid w:val="00771783"/>
    <w:rsid w:val="00771F4D"/>
    <w:rsid w:val="00772020"/>
    <w:rsid w:val="00772539"/>
    <w:rsid w:val="00772CEA"/>
    <w:rsid w:val="00776707"/>
    <w:rsid w:val="00776A77"/>
    <w:rsid w:val="0078002E"/>
    <w:rsid w:val="00780F1C"/>
    <w:rsid w:val="00781A35"/>
    <w:rsid w:val="00781F88"/>
    <w:rsid w:val="00782419"/>
    <w:rsid w:val="00783412"/>
    <w:rsid w:val="00784131"/>
    <w:rsid w:val="00784265"/>
    <w:rsid w:val="00784C72"/>
    <w:rsid w:val="0078629A"/>
    <w:rsid w:val="00786574"/>
    <w:rsid w:val="007868CE"/>
    <w:rsid w:val="00786936"/>
    <w:rsid w:val="007869B8"/>
    <w:rsid w:val="007871A1"/>
    <w:rsid w:val="00790349"/>
    <w:rsid w:val="007911BB"/>
    <w:rsid w:val="007911C3"/>
    <w:rsid w:val="00791391"/>
    <w:rsid w:val="0079179B"/>
    <w:rsid w:val="00791D65"/>
    <w:rsid w:val="00792478"/>
    <w:rsid w:val="00792D9C"/>
    <w:rsid w:val="007943D1"/>
    <w:rsid w:val="00794AA0"/>
    <w:rsid w:val="00795481"/>
    <w:rsid w:val="00796161"/>
    <w:rsid w:val="00797B01"/>
    <w:rsid w:val="007A0A4B"/>
    <w:rsid w:val="007A0F09"/>
    <w:rsid w:val="007A11F0"/>
    <w:rsid w:val="007A1B0C"/>
    <w:rsid w:val="007A2D3D"/>
    <w:rsid w:val="007A3EFE"/>
    <w:rsid w:val="007A40D3"/>
    <w:rsid w:val="007A465A"/>
    <w:rsid w:val="007A491E"/>
    <w:rsid w:val="007A50C5"/>
    <w:rsid w:val="007A5627"/>
    <w:rsid w:val="007A5B21"/>
    <w:rsid w:val="007A6051"/>
    <w:rsid w:val="007A735D"/>
    <w:rsid w:val="007B040C"/>
    <w:rsid w:val="007B0F7B"/>
    <w:rsid w:val="007B1981"/>
    <w:rsid w:val="007B1E89"/>
    <w:rsid w:val="007B2571"/>
    <w:rsid w:val="007B2A0A"/>
    <w:rsid w:val="007B2FAC"/>
    <w:rsid w:val="007B43BD"/>
    <w:rsid w:val="007B4684"/>
    <w:rsid w:val="007B526A"/>
    <w:rsid w:val="007B5C4F"/>
    <w:rsid w:val="007B6315"/>
    <w:rsid w:val="007B6437"/>
    <w:rsid w:val="007B6AB4"/>
    <w:rsid w:val="007B78ED"/>
    <w:rsid w:val="007C047C"/>
    <w:rsid w:val="007C13AF"/>
    <w:rsid w:val="007C2899"/>
    <w:rsid w:val="007C3103"/>
    <w:rsid w:val="007C4999"/>
    <w:rsid w:val="007C59C7"/>
    <w:rsid w:val="007C5ED5"/>
    <w:rsid w:val="007C600E"/>
    <w:rsid w:val="007D0056"/>
    <w:rsid w:val="007D052E"/>
    <w:rsid w:val="007D0716"/>
    <w:rsid w:val="007D446C"/>
    <w:rsid w:val="007D4B07"/>
    <w:rsid w:val="007D6A58"/>
    <w:rsid w:val="007D6F58"/>
    <w:rsid w:val="007E1BFF"/>
    <w:rsid w:val="007E1F3D"/>
    <w:rsid w:val="007E35C7"/>
    <w:rsid w:val="007E489A"/>
    <w:rsid w:val="007E48BF"/>
    <w:rsid w:val="007E51C6"/>
    <w:rsid w:val="007E57A7"/>
    <w:rsid w:val="007E6983"/>
    <w:rsid w:val="007E7787"/>
    <w:rsid w:val="007E7978"/>
    <w:rsid w:val="007E7EAD"/>
    <w:rsid w:val="007F0567"/>
    <w:rsid w:val="007F07E1"/>
    <w:rsid w:val="007F271D"/>
    <w:rsid w:val="007F3D8A"/>
    <w:rsid w:val="007F562D"/>
    <w:rsid w:val="007F63DD"/>
    <w:rsid w:val="007F6609"/>
    <w:rsid w:val="007F6681"/>
    <w:rsid w:val="007F7229"/>
    <w:rsid w:val="007F756D"/>
    <w:rsid w:val="007F7C41"/>
    <w:rsid w:val="00800225"/>
    <w:rsid w:val="0080125B"/>
    <w:rsid w:val="00801E69"/>
    <w:rsid w:val="008028EC"/>
    <w:rsid w:val="00802AB5"/>
    <w:rsid w:val="00803458"/>
    <w:rsid w:val="00803FEA"/>
    <w:rsid w:val="00804099"/>
    <w:rsid w:val="0080469F"/>
    <w:rsid w:val="00805CD5"/>
    <w:rsid w:val="00806A4F"/>
    <w:rsid w:val="0080747E"/>
    <w:rsid w:val="00807A3C"/>
    <w:rsid w:val="00811027"/>
    <w:rsid w:val="0081152D"/>
    <w:rsid w:val="00812907"/>
    <w:rsid w:val="00815839"/>
    <w:rsid w:val="00815A35"/>
    <w:rsid w:val="00817113"/>
    <w:rsid w:val="008171D1"/>
    <w:rsid w:val="008177F1"/>
    <w:rsid w:val="00820108"/>
    <w:rsid w:val="00820246"/>
    <w:rsid w:val="00820A46"/>
    <w:rsid w:val="00821FAC"/>
    <w:rsid w:val="00822C99"/>
    <w:rsid w:val="008237C9"/>
    <w:rsid w:val="0082610D"/>
    <w:rsid w:val="00826FF1"/>
    <w:rsid w:val="008276D9"/>
    <w:rsid w:val="00830511"/>
    <w:rsid w:val="008319A7"/>
    <w:rsid w:val="008320A4"/>
    <w:rsid w:val="0083268B"/>
    <w:rsid w:val="00832F23"/>
    <w:rsid w:val="0083349C"/>
    <w:rsid w:val="00833CA7"/>
    <w:rsid w:val="00833CB4"/>
    <w:rsid w:val="00834451"/>
    <w:rsid w:val="00835AD4"/>
    <w:rsid w:val="00836035"/>
    <w:rsid w:val="00836F1D"/>
    <w:rsid w:val="00837767"/>
    <w:rsid w:val="008377B0"/>
    <w:rsid w:val="00837D9B"/>
    <w:rsid w:val="00840025"/>
    <w:rsid w:val="00840B04"/>
    <w:rsid w:val="00842013"/>
    <w:rsid w:val="008428EB"/>
    <w:rsid w:val="00842C64"/>
    <w:rsid w:val="00842F98"/>
    <w:rsid w:val="00843F32"/>
    <w:rsid w:val="00845E48"/>
    <w:rsid w:val="008475E3"/>
    <w:rsid w:val="008503BB"/>
    <w:rsid w:val="00850AD8"/>
    <w:rsid w:val="008511E6"/>
    <w:rsid w:val="00851A31"/>
    <w:rsid w:val="00851F1A"/>
    <w:rsid w:val="00852A10"/>
    <w:rsid w:val="008531DF"/>
    <w:rsid w:val="00853406"/>
    <w:rsid w:val="008537C3"/>
    <w:rsid w:val="00854138"/>
    <w:rsid w:val="00854ED4"/>
    <w:rsid w:val="00856FA0"/>
    <w:rsid w:val="0086016C"/>
    <w:rsid w:val="00860B3F"/>
    <w:rsid w:val="0086239D"/>
    <w:rsid w:val="008644FB"/>
    <w:rsid w:val="00864813"/>
    <w:rsid w:val="00864AA6"/>
    <w:rsid w:val="008656B3"/>
    <w:rsid w:val="00866238"/>
    <w:rsid w:val="00866967"/>
    <w:rsid w:val="00866AAB"/>
    <w:rsid w:val="0087017D"/>
    <w:rsid w:val="00871848"/>
    <w:rsid w:val="00871BC4"/>
    <w:rsid w:val="00871D7E"/>
    <w:rsid w:val="00872249"/>
    <w:rsid w:val="00872612"/>
    <w:rsid w:val="00872C87"/>
    <w:rsid w:val="00872CBB"/>
    <w:rsid w:val="00872D25"/>
    <w:rsid w:val="0087401F"/>
    <w:rsid w:val="0087442E"/>
    <w:rsid w:val="0087502B"/>
    <w:rsid w:val="00875B2B"/>
    <w:rsid w:val="00876499"/>
    <w:rsid w:val="0087772A"/>
    <w:rsid w:val="0088187F"/>
    <w:rsid w:val="008835DB"/>
    <w:rsid w:val="008837A3"/>
    <w:rsid w:val="00884233"/>
    <w:rsid w:val="00884EC5"/>
    <w:rsid w:val="00885989"/>
    <w:rsid w:val="00886D4F"/>
    <w:rsid w:val="0088734B"/>
    <w:rsid w:val="008875D7"/>
    <w:rsid w:val="00895416"/>
    <w:rsid w:val="00895E1A"/>
    <w:rsid w:val="00895FAF"/>
    <w:rsid w:val="00896408"/>
    <w:rsid w:val="008966E8"/>
    <w:rsid w:val="00896B9F"/>
    <w:rsid w:val="00896EEE"/>
    <w:rsid w:val="0089772F"/>
    <w:rsid w:val="00897993"/>
    <w:rsid w:val="008A0717"/>
    <w:rsid w:val="008A1AB7"/>
    <w:rsid w:val="008A1F0A"/>
    <w:rsid w:val="008A214B"/>
    <w:rsid w:val="008A308E"/>
    <w:rsid w:val="008A322B"/>
    <w:rsid w:val="008A3594"/>
    <w:rsid w:val="008A4DFD"/>
    <w:rsid w:val="008A4EA9"/>
    <w:rsid w:val="008A4F81"/>
    <w:rsid w:val="008A558C"/>
    <w:rsid w:val="008A5795"/>
    <w:rsid w:val="008A7372"/>
    <w:rsid w:val="008B01E0"/>
    <w:rsid w:val="008B0B64"/>
    <w:rsid w:val="008B1145"/>
    <w:rsid w:val="008B19CC"/>
    <w:rsid w:val="008B1AFC"/>
    <w:rsid w:val="008B26A1"/>
    <w:rsid w:val="008B3C06"/>
    <w:rsid w:val="008B3D9D"/>
    <w:rsid w:val="008B3EEB"/>
    <w:rsid w:val="008B4027"/>
    <w:rsid w:val="008B42F9"/>
    <w:rsid w:val="008B4F0A"/>
    <w:rsid w:val="008B5512"/>
    <w:rsid w:val="008B66F9"/>
    <w:rsid w:val="008B6E8A"/>
    <w:rsid w:val="008B7E4E"/>
    <w:rsid w:val="008C0781"/>
    <w:rsid w:val="008C0A45"/>
    <w:rsid w:val="008C1033"/>
    <w:rsid w:val="008C185B"/>
    <w:rsid w:val="008C194A"/>
    <w:rsid w:val="008C28A6"/>
    <w:rsid w:val="008C2C1A"/>
    <w:rsid w:val="008C459C"/>
    <w:rsid w:val="008C46CF"/>
    <w:rsid w:val="008C639F"/>
    <w:rsid w:val="008C6A4B"/>
    <w:rsid w:val="008C6EAE"/>
    <w:rsid w:val="008C72E2"/>
    <w:rsid w:val="008C75C7"/>
    <w:rsid w:val="008C7FE4"/>
    <w:rsid w:val="008D1ACE"/>
    <w:rsid w:val="008D1E88"/>
    <w:rsid w:val="008D295F"/>
    <w:rsid w:val="008D327E"/>
    <w:rsid w:val="008D512B"/>
    <w:rsid w:val="008D65EE"/>
    <w:rsid w:val="008D6646"/>
    <w:rsid w:val="008D669D"/>
    <w:rsid w:val="008D7409"/>
    <w:rsid w:val="008D7EF1"/>
    <w:rsid w:val="008E064B"/>
    <w:rsid w:val="008E0D29"/>
    <w:rsid w:val="008E1091"/>
    <w:rsid w:val="008E11A5"/>
    <w:rsid w:val="008E1D94"/>
    <w:rsid w:val="008E2932"/>
    <w:rsid w:val="008E32D1"/>
    <w:rsid w:val="008E36A2"/>
    <w:rsid w:val="008E3D1A"/>
    <w:rsid w:val="008E5908"/>
    <w:rsid w:val="008E64A9"/>
    <w:rsid w:val="008E6CBB"/>
    <w:rsid w:val="008E6FDE"/>
    <w:rsid w:val="008F1F83"/>
    <w:rsid w:val="008F2678"/>
    <w:rsid w:val="008F26A3"/>
    <w:rsid w:val="008F272E"/>
    <w:rsid w:val="008F2801"/>
    <w:rsid w:val="008F6993"/>
    <w:rsid w:val="008F6BAA"/>
    <w:rsid w:val="008F7415"/>
    <w:rsid w:val="008F7C39"/>
    <w:rsid w:val="008F7E18"/>
    <w:rsid w:val="00900494"/>
    <w:rsid w:val="009007DE"/>
    <w:rsid w:val="00900F74"/>
    <w:rsid w:val="00901A16"/>
    <w:rsid w:val="00901A3F"/>
    <w:rsid w:val="00901C1E"/>
    <w:rsid w:val="00902BED"/>
    <w:rsid w:val="009031A3"/>
    <w:rsid w:val="00903324"/>
    <w:rsid w:val="009037FC"/>
    <w:rsid w:val="00903A97"/>
    <w:rsid w:val="00903C03"/>
    <w:rsid w:val="0090459F"/>
    <w:rsid w:val="00904A98"/>
    <w:rsid w:val="0090521E"/>
    <w:rsid w:val="009058F8"/>
    <w:rsid w:val="0090604B"/>
    <w:rsid w:val="0090699F"/>
    <w:rsid w:val="0091145A"/>
    <w:rsid w:val="0091171E"/>
    <w:rsid w:val="009126EB"/>
    <w:rsid w:val="00912744"/>
    <w:rsid w:val="00913C4C"/>
    <w:rsid w:val="00913E31"/>
    <w:rsid w:val="0091424B"/>
    <w:rsid w:val="009148CE"/>
    <w:rsid w:val="00914901"/>
    <w:rsid w:val="00914C26"/>
    <w:rsid w:val="0091571E"/>
    <w:rsid w:val="009157F6"/>
    <w:rsid w:val="0091632C"/>
    <w:rsid w:val="009171DB"/>
    <w:rsid w:val="0092016D"/>
    <w:rsid w:val="0092139E"/>
    <w:rsid w:val="0092275C"/>
    <w:rsid w:val="0092323F"/>
    <w:rsid w:val="00923C75"/>
    <w:rsid w:val="00924612"/>
    <w:rsid w:val="0092505B"/>
    <w:rsid w:val="00925AE3"/>
    <w:rsid w:val="00925F1B"/>
    <w:rsid w:val="00925F55"/>
    <w:rsid w:val="00926396"/>
    <w:rsid w:val="00927A8B"/>
    <w:rsid w:val="0093042B"/>
    <w:rsid w:val="00931197"/>
    <w:rsid w:val="0093130C"/>
    <w:rsid w:val="00931D81"/>
    <w:rsid w:val="0093360E"/>
    <w:rsid w:val="00933A74"/>
    <w:rsid w:val="00933B8C"/>
    <w:rsid w:val="00933D2D"/>
    <w:rsid w:val="00933F65"/>
    <w:rsid w:val="009344A0"/>
    <w:rsid w:val="00935B08"/>
    <w:rsid w:val="00935C93"/>
    <w:rsid w:val="00936899"/>
    <w:rsid w:val="00940771"/>
    <w:rsid w:val="00942328"/>
    <w:rsid w:val="00942B78"/>
    <w:rsid w:val="00942C66"/>
    <w:rsid w:val="00942FD3"/>
    <w:rsid w:val="00943AD1"/>
    <w:rsid w:val="00945779"/>
    <w:rsid w:val="00945824"/>
    <w:rsid w:val="00945C61"/>
    <w:rsid w:val="009467E7"/>
    <w:rsid w:val="009479C1"/>
    <w:rsid w:val="00950874"/>
    <w:rsid w:val="00950B3C"/>
    <w:rsid w:val="009513BB"/>
    <w:rsid w:val="00951592"/>
    <w:rsid w:val="00951748"/>
    <w:rsid w:val="0095194F"/>
    <w:rsid w:val="00952C15"/>
    <w:rsid w:val="00952F43"/>
    <w:rsid w:val="009534E6"/>
    <w:rsid w:val="00954DAC"/>
    <w:rsid w:val="00955912"/>
    <w:rsid w:val="00956C49"/>
    <w:rsid w:val="009574B0"/>
    <w:rsid w:val="00960F33"/>
    <w:rsid w:val="009624DB"/>
    <w:rsid w:val="00962DB8"/>
    <w:rsid w:val="00964942"/>
    <w:rsid w:val="00964DD0"/>
    <w:rsid w:val="00965638"/>
    <w:rsid w:val="00965C47"/>
    <w:rsid w:val="00965DB3"/>
    <w:rsid w:val="00966898"/>
    <w:rsid w:val="00966C66"/>
    <w:rsid w:val="009673F5"/>
    <w:rsid w:val="00967C5E"/>
    <w:rsid w:val="009701E3"/>
    <w:rsid w:val="009715BE"/>
    <w:rsid w:val="009721A5"/>
    <w:rsid w:val="00972705"/>
    <w:rsid w:val="00973934"/>
    <w:rsid w:val="0097425D"/>
    <w:rsid w:val="0097677D"/>
    <w:rsid w:val="00977761"/>
    <w:rsid w:val="00980093"/>
    <w:rsid w:val="00980B62"/>
    <w:rsid w:val="00980FF3"/>
    <w:rsid w:val="0098247B"/>
    <w:rsid w:val="00983030"/>
    <w:rsid w:val="009833C9"/>
    <w:rsid w:val="0098404A"/>
    <w:rsid w:val="009841B0"/>
    <w:rsid w:val="0098550F"/>
    <w:rsid w:val="009858B8"/>
    <w:rsid w:val="0098591A"/>
    <w:rsid w:val="009859E4"/>
    <w:rsid w:val="00986BF5"/>
    <w:rsid w:val="00987235"/>
    <w:rsid w:val="00991B45"/>
    <w:rsid w:val="00992592"/>
    <w:rsid w:val="00992899"/>
    <w:rsid w:val="00993A6B"/>
    <w:rsid w:val="00994556"/>
    <w:rsid w:val="009949C9"/>
    <w:rsid w:val="009950A9"/>
    <w:rsid w:val="009A025A"/>
    <w:rsid w:val="009A1129"/>
    <w:rsid w:val="009A11A1"/>
    <w:rsid w:val="009A15B0"/>
    <w:rsid w:val="009A16BF"/>
    <w:rsid w:val="009A1AED"/>
    <w:rsid w:val="009A1E0A"/>
    <w:rsid w:val="009A279A"/>
    <w:rsid w:val="009A2E0E"/>
    <w:rsid w:val="009A3F4D"/>
    <w:rsid w:val="009A46C4"/>
    <w:rsid w:val="009A4B09"/>
    <w:rsid w:val="009A4B48"/>
    <w:rsid w:val="009A4D95"/>
    <w:rsid w:val="009A5CAB"/>
    <w:rsid w:val="009A5FE3"/>
    <w:rsid w:val="009B04ED"/>
    <w:rsid w:val="009B0E4C"/>
    <w:rsid w:val="009B34AF"/>
    <w:rsid w:val="009B3D3A"/>
    <w:rsid w:val="009B4A4A"/>
    <w:rsid w:val="009B5169"/>
    <w:rsid w:val="009B5700"/>
    <w:rsid w:val="009B60A2"/>
    <w:rsid w:val="009B6557"/>
    <w:rsid w:val="009B6A2E"/>
    <w:rsid w:val="009B713D"/>
    <w:rsid w:val="009B739F"/>
    <w:rsid w:val="009B7753"/>
    <w:rsid w:val="009B7D3C"/>
    <w:rsid w:val="009C096E"/>
    <w:rsid w:val="009C34E7"/>
    <w:rsid w:val="009C37B7"/>
    <w:rsid w:val="009C438A"/>
    <w:rsid w:val="009C5005"/>
    <w:rsid w:val="009C59E0"/>
    <w:rsid w:val="009C6678"/>
    <w:rsid w:val="009C6DBA"/>
    <w:rsid w:val="009C749F"/>
    <w:rsid w:val="009C76D4"/>
    <w:rsid w:val="009C7D91"/>
    <w:rsid w:val="009D03A0"/>
    <w:rsid w:val="009D0893"/>
    <w:rsid w:val="009D08F6"/>
    <w:rsid w:val="009D110E"/>
    <w:rsid w:val="009D19FF"/>
    <w:rsid w:val="009D2291"/>
    <w:rsid w:val="009D4378"/>
    <w:rsid w:val="009D480F"/>
    <w:rsid w:val="009D5622"/>
    <w:rsid w:val="009D5AE0"/>
    <w:rsid w:val="009D5DCA"/>
    <w:rsid w:val="009D652F"/>
    <w:rsid w:val="009D6948"/>
    <w:rsid w:val="009D700D"/>
    <w:rsid w:val="009E23AB"/>
    <w:rsid w:val="009E240D"/>
    <w:rsid w:val="009E2E01"/>
    <w:rsid w:val="009E428D"/>
    <w:rsid w:val="009E43E8"/>
    <w:rsid w:val="009E48B5"/>
    <w:rsid w:val="009E491E"/>
    <w:rsid w:val="009E505D"/>
    <w:rsid w:val="009E51D4"/>
    <w:rsid w:val="009E63CB"/>
    <w:rsid w:val="009E6496"/>
    <w:rsid w:val="009E6A8C"/>
    <w:rsid w:val="009E781E"/>
    <w:rsid w:val="009F033A"/>
    <w:rsid w:val="009F076D"/>
    <w:rsid w:val="009F0E1C"/>
    <w:rsid w:val="009F2754"/>
    <w:rsid w:val="009F2CF2"/>
    <w:rsid w:val="009F3687"/>
    <w:rsid w:val="009F3C8E"/>
    <w:rsid w:val="009F3EDA"/>
    <w:rsid w:val="009F5F32"/>
    <w:rsid w:val="009F68E5"/>
    <w:rsid w:val="009F7591"/>
    <w:rsid w:val="009F79C7"/>
    <w:rsid w:val="00A009A8"/>
    <w:rsid w:val="00A00C93"/>
    <w:rsid w:val="00A00DD7"/>
    <w:rsid w:val="00A00F2A"/>
    <w:rsid w:val="00A010A5"/>
    <w:rsid w:val="00A011CC"/>
    <w:rsid w:val="00A021E6"/>
    <w:rsid w:val="00A02BF5"/>
    <w:rsid w:val="00A03D7F"/>
    <w:rsid w:val="00A06FA7"/>
    <w:rsid w:val="00A0740C"/>
    <w:rsid w:val="00A104EF"/>
    <w:rsid w:val="00A1109C"/>
    <w:rsid w:val="00A11A6F"/>
    <w:rsid w:val="00A11A8D"/>
    <w:rsid w:val="00A128F1"/>
    <w:rsid w:val="00A12DB3"/>
    <w:rsid w:val="00A14363"/>
    <w:rsid w:val="00A14ECF"/>
    <w:rsid w:val="00A1626D"/>
    <w:rsid w:val="00A1736D"/>
    <w:rsid w:val="00A178A4"/>
    <w:rsid w:val="00A203FF"/>
    <w:rsid w:val="00A20D1C"/>
    <w:rsid w:val="00A21A57"/>
    <w:rsid w:val="00A22511"/>
    <w:rsid w:val="00A22AE2"/>
    <w:rsid w:val="00A22F21"/>
    <w:rsid w:val="00A23DAC"/>
    <w:rsid w:val="00A24F22"/>
    <w:rsid w:val="00A2514D"/>
    <w:rsid w:val="00A26F73"/>
    <w:rsid w:val="00A277ED"/>
    <w:rsid w:val="00A27A78"/>
    <w:rsid w:val="00A27BC9"/>
    <w:rsid w:val="00A303EF"/>
    <w:rsid w:val="00A308BA"/>
    <w:rsid w:val="00A31021"/>
    <w:rsid w:val="00A31308"/>
    <w:rsid w:val="00A32BA7"/>
    <w:rsid w:val="00A350F6"/>
    <w:rsid w:val="00A35C0C"/>
    <w:rsid w:val="00A35DA8"/>
    <w:rsid w:val="00A36226"/>
    <w:rsid w:val="00A37616"/>
    <w:rsid w:val="00A376A4"/>
    <w:rsid w:val="00A378A9"/>
    <w:rsid w:val="00A37A85"/>
    <w:rsid w:val="00A4009D"/>
    <w:rsid w:val="00A40273"/>
    <w:rsid w:val="00A40719"/>
    <w:rsid w:val="00A413F0"/>
    <w:rsid w:val="00A4184E"/>
    <w:rsid w:val="00A421DD"/>
    <w:rsid w:val="00A422AE"/>
    <w:rsid w:val="00A42D48"/>
    <w:rsid w:val="00A43E2F"/>
    <w:rsid w:val="00A4470E"/>
    <w:rsid w:val="00A44A58"/>
    <w:rsid w:val="00A44CCE"/>
    <w:rsid w:val="00A45685"/>
    <w:rsid w:val="00A45E5B"/>
    <w:rsid w:val="00A479C9"/>
    <w:rsid w:val="00A505B2"/>
    <w:rsid w:val="00A51980"/>
    <w:rsid w:val="00A51A75"/>
    <w:rsid w:val="00A52963"/>
    <w:rsid w:val="00A5366C"/>
    <w:rsid w:val="00A53886"/>
    <w:rsid w:val="00A53B22"/>
    <w:rsid w:val="00A5593D"/>
    <w:rsid w:val="00A562D7"/>
    <w:rsid w:val="00A56906"/>
    <w:rsid w:val="00A60A6C"/>
    <w:rsid w:val="00A63B2E"/>
    <w:rsid w:val="00A63B61"/>
    <w:rsid w:val="00A64A73"/>
    <w:rsid w:val="00A64B7F"/>
    <w:rsid w:val="00A65E34"/>
    <w:rsid w:val="00A65E88"/>
    <w:rsid w:val="00A65F1E"/>
    <w:rsid w:val="00A661A0"/>
    <w:rsid w:val="00A665D2"/>
    <w:rsid w:val="00A667BF"/>
    <w:rsid w:val="00A66A33"/>
    <w:rsid w:val="00A67AD2"/>
    <w:rsid w:val="00A67D77"/>
    <w:rsid w:val="00A7028C"/>
    <w:rsid w:val="00A70734"/>
    <w:rsid w:val="00A7146A"/>
    <w:rsid w:val="00A71E28"/>
    <w:rsid w:val="00A7210A"/>
    <w:rsid w:val="00A7222C"/>
    <w:rsid w:val="00A72BF0"/>
    <w:rsid w:val="00A72F01"/>
    <w:rsid w:val="00A73AD2"/>
    <w:rsid w:val="00A7472F"/>
    <w:rsid w:val="00A754C2"/>
    <w:rsid w:val="00A7565F"/>
    <w:rsid w:val="00A76ED7"/>
    <w:rsid w:val="00A7725F"/>
    <w:rsid w:val="00A80B65"/>
    <w:rsid w:val="00A814A1"/>
    <w:rsid w:val="00A81526"/>
    <w:rsid w:val="00A81559"/>
    <w:rsid w:val="00A8231E"/>
    <w:rsid w:val="00A8283D"/>
    <w:rsid w:val="00A82C75"/>
    <w:rsid w:val="00A82DD1"/>
    <w:rsid w:val="00A82F08"/>
    <w:rsid w:val="00A83F53"/>
    <w:rsid w:val="00A85575"/>
    <w:rsid w:val="00A85775"/>
    <w:rsid w:val="00A85A87"/>
    <w:rsid w:val="00A8603D"/>
    <w:rsid w:val="00A86264"/>
    <w:rsid w:val="00A86368"/>
    <w:rsid w:val="00A907C6"/>
    <w:rsid w:val="00A919BB"/>
    <w:rsid w:val="00A92783"/>
    <w:rsid w:val="00A937D8"/>
    <w:rsid w:val="00A945F8"/>
    <w:rsid w:val="00A94C69"/>
    <w:rsid w:val="00A94E4A"/>
    <w:rsid w:val="00A956FF"/>
    <w:rsid w:val="00A96016"/>
    <w:rsid w:val="00A96211"/>
    <w:rsid w:val="00A9662F"/>
    <w:rsid w:val="00A97988"/>
    <w:rsid w:val="00A97CFB"/>
    <w:rsid w:val="00AA00E2"/>
    <w:rsid w:val="00AA0798"/>
    <w:rsid w:val="00AA19C0"/>
    <w:rsid w:val="00AA2FA3"/>
    <w:rsid w:val="00AA30D3"/>
    <w:rsid w:val="00AA3F1D"/>
    <w:rsid w:val="00AA4BFB"/>
    <w:rsid w:val="00AA4ECE"/>
    <w:rsid w:val="00AA5A07"/>
    <w:rsid w:val="00AA5CDE"/>
    <w:rsid w:val="00AA71FE"/>
    <w:rsid w:val="00AA742C"/>
    <w:rsid w:val="00AB0932"/>
    <w:rsid w:val="00AB0F87"/>
    <w:rsid w:val="00AB19DD"/>
    <w:rsid w:val="00AB1C45"/>
    <w:rsid w:val="00AB24A7"/>
    <w:rsid w:val="00AB2854"/>
    <w:rsid w:val="00AB3AEB"/>
    <w:rsid w:val="00AB3BB1"/>
    <w:rsid w:val="00AB5031"/>
    <w:rsid w:val="00AB57EC"/>
    <w:rsid w:val="00AB6156"/>
    <w:rsid w:val="00AB73A4"/>
    <w:rsid w:val="00AC190A"/>
    <w:rsid w:val="00AC1E8C"/>
    <w:rsid w:val="00AC2250"/>
    <w:rsid w:val="00AC26EC"/>
    <w:rsid w:val="00AC3C3D"/>
    <w:rsid w:val="00AC4B03"/>
    <w:rsid w:val="00AC51EF"/>
    <w:rsid w:val="00AC55A1"/>
    <w:rsid w:val="00AC691C"/>
    <w:rsid w:val="00AC6DD2"/>
    <w:rsid w:val="00AC7ADB"/>
    <w:rsid w:val="00AD075B"/>
    <w:rsid w:val="00AD10C1"/>
    <w:rsid w:val="00AD1189"/>
    <w:rsid w:val="00AD135A"/>
    <w:rsid w:val="00AD19A0"/>
    <w:rsid w:val="00AD1A86"/>
    <w:rsid w:val="00AD1C8B"/>
    <w:rsid w:val="00AD3D0B"/>
    <w:rsid w:val="00AD3E16"/>
    <w:rsid w:val="00AD4AD7"/>
    <w:rsid w:val="00AD572A"/>
    <w:rsid w:val="00AD594E"/>
    <w:rsid w:val="00AD59B6"/>
    <w:rsid w:val="00AD62EB"/>
    <w:rsid w:val="00AD7574"/>
    <w:rsid w:val="00AD7942"/>
    <w:rsid w:val="00AE2497"/>
    <w:rsid w:val="00AE463C"/>
    <w:rsid w:val="00AE5CC1"/>
    <w:rsid w:val="00AE6774"/>
    <w:rsid w:val="00AE6FDD"/>
    <w:rsid w:val="00AE7208"/>
    <w:rsid w:val="00AF06E8"/>
    <w:rsid w:val="00AF12DA"/>
    <w:rsid w:val="00AF26D2"/>
    <w:rsid w:val="00AF2710"/>
    <w:rsid w:val="00AF3135"/>
    <w:rsid w:val="00AF4762"/>
    <w:rsid w:val="00AF51FF"/>
    <w:rsid w:val="00AF53D3"/>
    <w:rsid w:val="00AF687F"/>
    <w:rsid w:val="00B023EC"/>
    <w:rsid w:val="00B02FC2"/>
    <w:rsid w:val="00B03003"/>
    <w:rsid w:val="00B0370A"/>
    <w:rsid w:val="00B0480D"/>
    <w:rsid w:val="00B051FC"/>
    <w:rsid w:val="00B05EAC"/>
    <w:rsid w:val="00B0626D"/>
    <w:rsid w:val="00B06512"/>
    <w:rsid w:val="00B069A2"/>
    <w:rsid w:val="00B076A6"/>
    <w:rsid w:val="00B07987"/>
    <w:rsid w:val="00B10392"/>
    <w:rsid w:val="00B10766"/>
    <w:rsid w:val="00B110AD"/>
    <w:rsid w:val="00B11887"/>
    <w:rsid w:val="00B11AA8"/>
    <w:rsid w:val="00B12FD3"/>
    <w:rsid w:val="00B148AF"/>
    <w:rsid w:val="00B14BE0"/>
    <w:rsid w:val="00B165B9"/>
    <w:rsid w:val="00B202C9"/>
    <w:rsid w:val="00B204CC"/>
    <w:rsid w:val="00B20F25"/>
    <w:rsid w:val="00B20F98"/>
    <w:rsid w:val="00B2175B"/>
    <w:rsid w:val="00B22717"/>
    <w:rsid w:val="00B23099"/>
    <w:rsid w:val="00B23879"/>
    <w:rsid w:val="00B25E6B"/>
    <w:rsid w:val="00B2627A"/>
    <w:rsid w:val="00B26AD3"/>
    <w:rsid w:val="00B27A89"/>
    <w:rsid w:val="00B30517"/>
    <w:rsid w:val="00B30B0D"/>
    <w:rsid w:val="00B31084"/>
    <w:rsid w:val="00B32708"/>
    <w:rsid w:val="00B33072"/>
    <w:rsid w:val="00B33463"/>
    <w:rsid w:val="00B3379C"/>
    <w:rsid w:val="00B33DE9"/>
    <w:rsid w:val="00B34172"/>
    <w:rsid w:val="00B3440C"/>
    <w:rsid w:val="00B346DF"/>
    <w:rsid w:val="00B35742"/>
    <w:rsid w:val="00B35C69"/>
    <w:rsid w:val="00B35CFC"/>
    <w:rsid w:val="00B35F18"/>
    <w:rsid w:val="00B362FE"/>
    <w:rsid w:val="00B367B5"/>
    <w:rsid w:val="00B37363"/>
    <w:rsid w:val="00B4035C"/>
    <w:rsid w:val="00B411D1"/>
    <w:rsid w:val="00B41C69"/>
    <w:rsid w:val="00B42F64"/>
    <w:rsid w:val="00B43F2E"/>
    <w:rsid w:val="00B453D8"/>
    <w:rsid w:val="00B4588F"/>
    <w:rsid w:val="00B458F0"/>
    <w:rsid w:val="00B45D4D"/>
    <w:rsid w:val="00B462AE"/>
    <w:rsid w:val="00B46FF3"/>
    <w:rsid w:val="00B50960"/>
    <w:rsid w:val="00B51871"/>
    <w:rsid w:val="00B52039"/>
    <w:rsid w:val="00B528BA"/>
    <w:rsid w:val="00B52BF6"/>
    <w:rsid w:val="00B53F64"/>
    <w:rsid w:val="00B54C7D"/>
    <w:rsid w:val="00B5695C"/>
    <w:rsid w:val="00B56C11"/>
    <w:rsid w:val="00B601A7"/>
    <w:rsid w:val="00B6020E"/>
    <w:rsid w:val="00B6159F"/>
    <w:rsid w:val="00B61844"/>
    <w:rsid w:val="00B62502"/>
    <w:rsid w:val="00B631D7"/>
    <w:rsid w:val="00B6413D"/>
    <w:rsid w:val="00B6458D"/>
    <w:rsid w:val="00B64922"/>
    <w:rsid w:val="00B64C04"/>
    <w:rsid w:val="00B65B22"/>
    <w:rsid w:val="00B66189"/>
    <w:rsid w:val="00B667B5"/>
    <w:rsid w:val="00B66921"/>
    <w:rsid w:val="00B66C70"/>
    <w:rsid w:val="00B67919"/>
    <w:rsid w:val="00B70571"/>
    <w:rsid w:val="00B70B46"/>
    <w:rsid w:val="00B72A73"/>
    <w:rsid w:val="00B73174"/>
    <w:rsid w:val="00B73CC0"/>
    <w:rsid w:val="00B73EC4"/>
    <w:rsid w:val="00B74393"/>
    <w:rsid w:val="00B757A0"/>
    <w:rsid w:val="00B77EC4"/>
    <w:rsid w:val="00B810E9"/>
    <w:rsid w:val="00B8161B"/>
    <w:rsid w:val="00B81C7F"/>
    <w:rsid w:val="00B82F06"/>
    <w:rsid w:val="00B82F4F"/>
    <w:rsid w:val="00B834CA"/>
    <w:rsid w:val="00B83A2A"/>
    <w:rsid w:val="00B84551"/>
    <w:rsid w:val="00B84958"/>
    <w:rsid w:val="00B849DA"/>
    <w:rsid w:val="00B85F7A"/>
    <w:rsid w:val="00B86626"/>
    <w:rsid w:val="00B86687"/>
    <w:rsid w:val="00B87EE7"/>
    <w:rsid w:val="00B905DE"/>
    <w:rsid w:val="00B90E18"/>
    <w:rsid w:val="00B91081"/>
    <w:rsid w:val="00B910DE"/>
    <w:rsid w:val="00B920DD"/>
    <w:rsid w:val="00B92B23"/>
    <w:rsid w:val="00B92BA1"/>
    <w:rsid w:val="00B92ECD"/>
    <w:rsid w:val="00B938D5"/>
    <w:rsid w:val="00B93A10"/>
    <w:rsid w:val="00B93BB1"/>
    <w:rsid w:val="00B9645E"/>
    <w:rsid w:val="00B96E75"/>
    <w:rsid w:val="00B97C68"/>
    <w:rsid w:val="00B97E7D"/>
    <w:rsid w:val="00BA0916"/>
    <w:rsid w:val="00BA0B0B"/>
    <w:rsid w:val="00BA37C8"/>
    <w:rsid w:val="00BA3A1C"/>
    <w:rsid w:val="00BA4F83"/>
    <w:rsid w:val="00BA58F5"/>
    <w:rsid w:val="00BA687F"/>
    <w:rsid w:val="00BA6972"/>
    <w:rsid w:val="00BA708E"/>
    <w:rsid w:val="00BA72EB"/>
    <w:rsid w:val="00BA73B3"/>
    <w:rsid w:val="00BA7707"/>
    <w:rsid w:val="00BA791B"/>
    <w:rsid w:val="00BA7F0D"/>
    <w:rsid w:val="00BB0214"/>
    <w:rsid w:val="00BB0979"/>
    <w:rsid w:val="00BB106C"/>
    <w:rsid w:val="00BB1D57"/>
    <w:rsid w:val="00BB1D81"/>
    <w:rsid w:val="00BB24DB"/>
    <w:rsid w:val="00BB332A"/>
    <w:rsid w:val="00BB4620"/>
    <w:rsid w:val="00BB63E7"/>
    <w:rsid w:val="00BB6F8E"/>
    <w:rsid w:val="00BB74B4"/>
    <w:rsid w:val="00BC0411"/>
    <w:rsid w:val="00BC0DEB"/>
    <w:rsid w:val="00BC1167"/>
    <w:rsid w:val="00BC11BC"/>
    <w:rsid w:val="00BC26B5"/>
    <w:rsid w:val="00BC330B"/>
    <w:rsid w:val="00BC3490"/>
    <w:rsid w:val="00BC3C9F"/>
    <w:rsid w:val="00BC431F"/>
    <w:rsid w:val="00BC50BF"/>
    <w:rsid w:val="00BC5FA4"/>
    <w:rsid w:val="00BC642C"/>
    <w:rsid w:val="00BC646D"/>
    <w:rsid w:val="00BC6488"/>
    <w:rsid w:val="00BC7AEA"/>
    <w:rsid w:val="00BD165E"/>
    <w:rsid w:val="00BD1AE1"/>
    <w:rsid w:val="00BD1F57"/>
    <w:rsid w:val="00BD21C8"/>
    <w:rsid w:val="00BD246C"/>
    <w:rsid w:val="00BD25B7"/>
    <w:rsid w:val="00BD29DD"/>
    <w:rsid w:val="00BD2E40"/>
    <w:rsid w:val="00BD36B2"/>
    <w:rsid w:val="00BD3B1A"/>
    <w:rsid w:val="00BD4ACD"/>
    <w:rsid w:val="00BD4E95"/>
    <w:rsid w:val="00BD6703"/>
    <w:rsid w:val="00BD70F6"/>
    <w:rsid w:val="00BD7BC6"/>
    <w:rsid w:val="00BE00CD"/>
    <w:rsid w:val="00BE04EE"/>
    <w:rsid w:val="00BE05B0"/>
    <w:rsid w:val="00BE0A79"/>
    <w:rsid w:val="00BE0F19"/>
    <w:rsid w:val="00BE138B"/>
    <w:rsid w:val="00BE179F"/>
    <w:rsid w:val="00BE2516"/>
    <w:rsid w:val="00BE260F"/>
    <w:rsid w:val="00BE2B96"/>
    <w:rsid w:val="00BE3068"/>
    <w:rsid w:val="00BE44DA"/>
    <w:rsid w:val="00BE56A1"/>
    <w:rsid w:val="00BE6806"/>
    <w:rsid w:val="00BE7984"/>
    <w:rsid w:val="00BE7A1C"/>
    <w:rsid w:val="00BE7EAC"/>
    <w:rsid w:val="00BF0D29"/>
    <w:rsid w:val="00BF13B0"/>
    <w:rsid w:val="00BF231E"/>
    <w:rsid w:val="00BF370E"/>
    <w:rsid w:val="00BF3839"/>
    <w:rsid w:val="00BF3C09"/>
    <w:rsid w:val="00BF4602"/>
    <w:rsid w:val="00BF4684"/>
    <w:rsid w:val="00BF4EF6"/>
    <w:rsid w:val="00BF4EFB"/>
    <w:rsid w:val="00BF4FD0"/>
    <w:rsid w:val="00BF5289"/>
    <w:rsid w:val="00BF5755"/>
    <w:rsid w:val="00BF590E"/>
    <w:rsid w:val="00BF6D73"/>
    <w:rsid w:val="00BF75B4"/>
    <w:rsid w:val="00BF7655"/>
    <w:rsid w:val="00BF79D7"/>
    <w:rsid w:val="00BF7EC6"/>
    <w:rsid w:val="00C011AF"/>
    <w:rsid w:val="00C01B4A"/>
    <w:rsid w:val="00C01E42"/>
    <w:rsid w:val="00C02611"/>
    <w:rsid w:val="00C030CC"/>
    <w:rsid w:val="00C03124"/>
    <w:rsid w:val="00C055B0"/>
    <w:rsid w:val="00C060C5"/>
    <w:rsid w:val="00C064F5"/>
    <w:rsid w:val="00C06FF1"/>
    <w:rsid w:val="00C07A2E"/>
    <w:rsid w:val="00C07C4D"/>
    <w:rsid w:val="00C1036A"/>
    <w:rsid w:val="00C106C8"/>
    <w:rsid w:val="00C11C9C"/>
    <w:rsid w:val="00C12A70"/>
    <w:rsid w:val="00C133A7"/>
    <w:rsid w:val="00C1384E"/>
    <w:rsid w:val="00C14540"/>
    <w:rsid w:val="00C1464B"/>
    <w:rsid w:val="00C1584D"/>
    <w:rsid w:val="00C15D0E"/>
    <w:rsid w:val="00C166E9"/>
    <w:rsid w:val="00C206D3"/>
    <w:rsid w:val="00C20877"/>
    <w:rsid w:val="00C20E68"/>
    <w:rsid w:val="00C21011"/>
    <w:rsid w:val="00C214F2"/>
    <w:rsid w:val="00C23751"/>
    <w:rsid w:val="00C23AB6"/>
    <w:rsid w:val="00C23B5E"/>
    <w:rsid w:val="00C2433D"/>
    <w:rsid w:val="00C24FFB"/>
    <w:rsid w:val="00C25184"/>
    <w:rsid w:val="00C25321"/>
    <w:rsid w:val="00C277D6"/>
    <w:rsid w:val="00C2797C"/>
    <w:rsid w:val="00C308C3"/>
    <w:rsid w:val="00C31299"/>
    <w:rsid w:val="00C31434"/>
    <w:rsid w:val="00C34B04"/>
    <w:rsid w:val="00C35377"/>
    <w:rsid w:val="00C35491"/>
    <w:rsid w:val="00C35510"/>
    <w:rsid w:val="00C36C30"/>
    <w:rsid w:val="00C36FF2"/>
    <w:rsid w:val="00C4030B"/>
    <w:rsid w:val="00C41386"/>
    <w:rsid w:val="00C4188E"/>
    <w:rsid w:val="00C41D7B"/>
    <w:rsid w:val="00C41FA4"/>
    <w:rsid w:val="00C42FDD"/>
    <w:rsid w:val="00C43AF5"/>
    <w:rsid w:val="00C43B25"/>
    <w:rsid w:val="00C441BD"/>
    <w:rsid w:val="00C44F4F"/>
    <w:rsid w:val="00C45045"/>
    <w:rsid w:val="00C455C6"/>
    <w:rsid w:val="00C463E4"/>
    <w:rsid w:val="00C46500"/>
    <w:rsid w:val="00C467E2"/>
    <w:rsid w:val="00C46DBA"/>
    <w:rsid w:val="00C475D3"/>
    <w:rsid w:val="00C477A3"/>
    <w:rsid w:val="00C501F8"/>
    <w:rsid w:val="00C505F0"/>
    <w:rsid w:val="00C50D77"/>
    <w:rsid w:val="00C52E02"/>
    <w:rsid w:val="00C5311A"/>
    <w:rsid w:val="00C53337"/>
    <w:rsid w:val="00C540AB"/>
    <w:rsid w:val="00C5470D"/>
    <w:rsid w:val="00C5482B"/>
    <w:rsid w:val="00C5487C"/>
    <w:rsid w:val="00C54CA8"/>
    <w:rsid w:val="00C55A2B"/>
    <w:rsid w:val="00C55A52"/>
    <w:rsid w:val="00C56129"/>
    <w:rsid w:val="00C564C5"/>
    <w:rsid w:val="00C56BF0"/>
    <w:rsid w:val="00C56D2E"/>
    <w:rsid w:val="00C56E2F"/>
    <w:rsid w:val="00C572E9"/>
    <w:rsid w:val="00C61977"/>
    <w:rsid w:val="00C623A9"/>
    <w:rsid w:val="00C62E48"/>
    <w:rsid w:val="00C64591"/>
    <w:rsid w:val="00C64BF4"/>
    <w:rsid w:val="00C652B6"/>
    <w:rsid w:val="00C65848"/>
    <w:rsid w:val="00C6736E"/>
    <w:rsid w:val="00C6748C"/>
    <w:rsid w:val="00C67C31"/>
    <w:rsid w:val="00C67D5C"/>
    <w:rsid w:val="00C70101"/>
    <w:rsid w:val="00C70339"/>
    <w:rsid w:val="00C71197"/>
    <w:rsid w:val="00C71302"/>
    <w:rsid w:val="00C713FF"/>
    <w:rsid w:val="00C71AC9"/>
    <w:rsid w:val="00C71CC1"/>
    <w:rsid w:val="00C71F92"/>
    <w:rsid w:val="00C72446"/>
    <w:rsid w:val="00C724CE"/>
    <w:rsid w:val="00C72FF2"/>
    <w:rsid w:val="00C7336C"/>
    <w:rsid w:val="00C73462"/>
    <w:rsid w:val="00C73FCF"/>
    <w:rsid w:val="00C749C3"/>
    <w:rsid w:val="00C74D58"/>
    <w:rsid w:val="00C758C3"/>
    <w:rsid w:val="00C7600F"/>
    <w:rsid w:val="00C76995"/>
    <w:rsid w:val="00C77528"/>
    <w:rsid w:val="00C77D46"/>
    <w:rsid w:val="00C80421"/>
    <w:rsid w:val="00C806E7"/>
    <w:rsid w:val="00C8089C"/>
    <w:rsid w:val="00C80A3F"/>
    <w:rsid w:val="00C810BB"/>
    <w:rsid w:val="00C81201"/>
    <w:rsid w:val="00C814F3"/>
    <w:rsid w:val="00C8152D"/>
    <w:rsid w:val="00C819ED"/>
    <w:rsid w:val="00C83815"/>
    <w:rsid w:val="00C83CE5"/>
    <w:rsid w:val="00C83E4D"/>
    <w:rsid w:val="00C84317"/>
    <w:rsid w:val="00C84BA2"/>
    <w:rsid w:val="00C850A5"/>
    <w:rsid w:val="00C8565D"/>
    <w:rsid w:val="00C85676"/>
    <w:rsid w:val="00C857E2"/>
    <w:rsid w:val="00C86A23"/>
    <w:rsid w:val="00C86FF7"/>
    <w:rsid w:val="00C9001B"/>
    <w:rsid w:val="00C9014E"/>
    <w:rsid w:val="00C904DD"/>
    <w:rsid w:val="00C908BC"/>
    <w:rsid w:val="00C914AF"/>
    <w:rsid w:val="00C915DF"/>
    <w:rsid w:val="00C92414"/>
    <w:rsid w:val="00C92ECF"/>
    <w:rsid w:val="00C930FA"/>
    <w:rsid w:val="00C94069"/>
    <w:rsid w:val="00C943DD"/>
    <w:rsid w:val="00C94416"/>
    <w:rsid w:val="00C95278"/>
    <w:rsid w:val="00C958AB"/>
    <w:rsid w:val="00C95F9E"/>
    <w:rsid w:val="00C96206"/>
    <w:rsid w:val="00C965C0"/>
    <w:rsid w:val="00C96AD3"/>
    <w:rsid w:val="00C96E24"/>
    <w:rsid w:val="00C977B1"/>
    <w:rsid w:val="00C97DD4"/>
    <w:rsid w:val="00CA0764"/>
    <w:rsid w:val="00CA0806"/>
    <w:rsid w:val="00CA0AA0"/>
    <w:rsid w:val="00CA0C04"/>
    <w:rsid w:val="00CA0D4E"/>
    <w:rsid w:val="00CA1985"/>
    <w:rsid w:val="00CA22DC"/>
    <w:rsid w:val="00CA294F"/>
    <w:rsid w:val="00CA2A9D"/>
    <w:rsid w:val="00CA3104"/>
    <w:rsid w:val="00CA3196"/>
    <w:rsid w:val="00CA31F5"/>
    <w:rsid w:val="00CA33B2"/>
    <w:rsid w:val="00CA4450"/>
    <w:rsid w:val="00CA4496"/>
    <w:rsid w:val="00CA44FE"/>
    <w:rsid w:val="00CA5C8A"/>
    <w:rsid w:val="00CA5EEB"/>
    <w:rsid w:val="00CA72B2"/>
    <w:rsid w:val="00CA783B"/>
    <w:rsid w:val="00CA7CC4"/>
    <w:rsid w:val="00CA7E2B"/>
    <w:rsid w:val="00CB0122"/>
    <w:rsid w:val="00CB11E6"/>
    <w:rsid w:val="00CB1CDF"/>
    <w:rsid w:val="00CB3471"/>
    <w:rsid w:val="00CB3E68"/>
    <w:rsid w:val="00CB43E9"/>
    <w:rsid w:val="00CB4D0C"/>
    <w:rsid w:val="00CB5098"/>
    <w:rsid w:val="00CB5584"/>
    <w:rsid w:val="00CB670E"/>
    <w:rsid w:val="00CB747C"/>
    <w:rsid w:val="00CC0321"/>
    <w:rsid w:val="00CC07FF"/>
    <w:rsid w:val="00CC0C00"/>
    <w:rsid w:val="00CC0E4F"/>
    <w:rsid w:val="00CC0FEE"/>
    <w:rsid w:val="00CC10CE"/>
    <w:rsid w:val="00CC2075"/>
    <w:rsid w:val="00CC2D56"/>
    <w:rsid w:val="00CC4B9D"/>
    <w:rsid w:val="00CC4C2C"/>
    <w:rsid w:val="00CC593E"/>
    <w:rsid w:val="00CC7857"/>
    <w:rsid w:val="00CC78A2"/>
    <w:rsid w:val="00CD00FE"/>
    <w:rsid w:val="00CD10B6"/>
    <w:rsid w:val="00CD1A4F"/>
    <w:rsid w:val="00CD1D53"/>
    <w:rsid w:val="00CD20CA"/>
    <w:rsid w:val="00CD29DE"/>
    <w:rsid w:val="00CD33CA"/>
    <w:rsid w:val="00CD40C9"/>
    <w:rsid w:val="00CD50EA"/>
    <w:rsid w:val="00CD5277"/>
    <w:rsid w:val="00CD5635"/>
    <w:rsid w:val="00CD56C3"/>
    <w:rsid w:val="00CD5F1A"/>
    <w:rsid w:val="00CD6237"/>
    <w:rsid w:val="00CD6CD5"/>
    <w:rsid w:val="00CD79E2"/>
    <w:rsid w:val="00CE0FA6"/>
    <w:rsid w:val="00CE14CA"/>
    <w:rsid w:val="00CE19C3"/>
    <w:rsid w:val="00CE2314"/>
    <w:rsid w:val="00CE257E"/>
    <w:rsid w:val="00CE2CB2"/>
    <w:rsid w:val="00CE3D1B"/>
    <w:rsid w:val="00CE43BD"/>
    <w:rsid w:val="00CE49AB"/>
    <w:rsid w:val="00CE4D50"/>
    <w:rsid w:val="00CE4E28"/>
    <w:rsid w:val="00CE5906"/>
    <w:rsid w:val="00CE6346"/>
    <w:rsid w:val="00CE725A"/>
    <w:rsid w:val="00CE7D16"/>
    <w:rsid w:val="00CE7EC3"/>
    <w:rsid w:val="00CF0385"/>
    <w:rsid w:val="00CF0A8D"/>
    <w:rsid w:val="00CF0B62"/>
    <w:rsid w:val="00CF0ECC"/>
    <w:rsid w:val="00CF12C2"/>
    <w:rsid w:val="00CF3E48"/>
    <w:rsid w:val="00CF3F78"/>
    <w:rsid w:val="00CF4075"/>
    <w:rsid w:val="00CF6629"/>
    <w:rsid w:val="00CF6711"/>
    <w:rsid w:val="00CF79A8"/>
    <w:rsid w:val="00CF7DB0"/>
    <w:rsid w:val="00CF7F4C"/>
    <w:rsid w:val="00D001EA"/>
    <w:rsid w:val="00D00402"/>
    <w:rsid w:val="00D00FEF"/>
    <w:rsid w:val="00D01744"/>
    <w:rsid w:val="00D01C4C"/>
    <w:rsid w:val="00D02995"/>
    <w:rsid w:val="00D02A26"/>
    <w:rsid w:val="00D02D31"/>
    <w:rsid w:val="00D04891"/>
    <w:rsid w:val="00D04B10"/>
    <w:rsid w:val="00D04C88"/>
    <w:rsid w:val="00D04DF3"/>
    <w:rsid w:val="00D04F4F"/>
    <w:rsid w:val="00D05109"/>
    <w:rsid w:val="00D05518"/>
    <w:rsid w:val="00D05BE1"/>
    <w:rsid w:val="00D068D5"/>
    <w:rsid w:val="00D07616"/>
    <w:rsid w:val="00D10273"/>
    <w:rsid w:val="00D10B7E"/>
    <w:rsid w:val="00D11139"/>
    <w:rsid w:val="00D11710"/>
    <w:rsid w:val="00D122CA"/>
    <w:rsid w:val="00D131D5"/>
    <w:rsid w:val="00D13830"/>
    <w:rsid w:val="00D13F0C"/>
    <w:rsid w:val="00D14072"/>
    <w:rsid w:val="00D14100"/>
    <w:rsid w:val="00D14746"/>
    <w:rsid w:val="00D14ED7"/>
    <w:rsid w:val="00D15B75"/>
    <w:rsid w:val="00D1659F"/>
    <w:rsid w:val="00D16E87"/>
    <w:rsid w:val="00D17443"/>
    <w:rsid w:val="00D17DB0"/>
    <w:rsid w:val="00D22230"/>
    <w:rsid w:val="00D2245C"/>
    <w:rsid w:val="00D2257E"/>
    <w:rsid w:val="00D22679"/>
    <w:rsid w:val="00D22BB3"/>
    <w:rsid w:val="00D22E95"/>
    <w:rsid w:val="00D23079"/>
    <w:rsid w:val="00D241D0"/>
    <w:rsid w:val="00D244C3"/>
    <w:rsid w:val="00D248E0"/>
    <w:rsid w:val="00D24D2E"/>
    <w:rsid w:val="00D24D40"/>
    <w:rsid w:val="00D25594"/>
    <w:rsid w:val="00D26163"/>
    <w:rsid w:val="00D31304"/>
    <w:rsid w:val="00D32B5E"/>
    <w:rsid w:val="00D333C0"/>
    <w:rsid w:val="00D34A76"/>
    <w:rsid w:val="00D3511D"/>
    <w:rsid w:val="00D35679"/>
    <w:rsid w:val="00D36645"/>
    <w:rsid w:val="00D36C6A"/>
    <w:rsid w:val="00D37C40"/>
    <w:rsid w:val="00D40037"/>
    <w:rsid w:val="00D409DF"/>
    <w:rsid w:val="00D4116D"/>
    <w:rsid w:val="00D42754"/>
    <w:rsid w:val="00D431B3"/>
    <w:rsid w:val="00D457B2"/>
    <w:rsid w:val="00D46E4C"/>
    <w:rsid w:val="00D46EF0"/>
    <w:rsid w:val="00D4704C"/>
    <w:rsid w:val="00D47B82"/>
    <w:rsid w:val="00D50410"/>
    <w:rsid w:val="00D51DD2"/>
    <w:rsid w:val="00D53CC8"/>
    <w:rsid w:val="00D53E8E"/>
    <w:rsid w:val="00D53EB3"/>
    <w:rsid w:val="00D54131"/>
    <w:rsid w:val="00D54698"/>
    <w:rsid w:val="00D561D7"/>
    <w:rsid w:val="00D5766B"/>
    <w:rsid w:val="00D6079D"/>
    <w:rsid w:val="00D60C59"/>
    <w:rsid w:val="00D60C8C"/>
    <w:rsid w:val="00D636AE"/>
    <w:rsid w:val="00D6704C"/>
    <w:rsid w:val="00D67FC7"/>
    <w:rsid w:val="00D70415"/>
    <w:rsid w:val="00D70730"/>
    <w:rsid w:val="00D72964"/>
    <w:rsid w:val="00D73B5F"/>
    <w:rsid w:val="00D73CE8"/>
    <w:rsid w:val="00D74B99"/>
    <w:rsid w:val="00D74F88"/>
    <w:rsid w:val="00D76F71"/>
    <w:rsid w:val="00D8019E"/>
    <w:rsid w:val="00D8049A"/>
    <w:rsid w:val="00D80C6A"/>
    <w:rsid w:val="00D813A7"/>
    <w:rsid w:val="00D815CD"/>
    <w:rsid w:val="00D8265E"/>
    <w:rsid w:val="00D82BA6"/>
    <w:rsid w:val="00D82C86"/>
    <w:rsid w:val="00D83275"/>
    <w:rsid w:val="00D83E5E"/>
    <w:rsid w:val="00D846B9"/>
    <w:rsid w:val="00D847BB"/>
    <w:rsid w:val="00D847F0"/>
    <w:rsid w:val="00D85138"/>
    <w:rsid w:val="00D85A0F"/>
    <w:rsid w:val="00D8638C"/>
    <w:rsid w:val="00D86A39"/>
    <w:rsid w:val="00D87952"/>
    <w:rsid w:val="00D903FB"/>
    <w:rsid w:val="00D907CC"/>
    <w:rsid w:val="00D92427"/>
    <w:rsid w:val="00D928DF"/>
    <w:rsid w:val="00D929B2"/>
    <w:rsid w:val="00D935B6"/>
    <w:rsid w:val="00D93961"/>
    <w:rsid w:val="00D94C27"/>
    <w:rsid w:val="00D94E73"/>
    <w:rsid w:val="00D95259"/>
    <w:rsid w:val="00DA0D1A"/>
    <w:rsid w:val="00DA20D3"/>
    <w:rsid w:val="00DA29EA"/>
    <w:rsid w:val="00DA2BC4"/>
    <w:rsid w:val="00DA3028"/>
    <w:rsid w:val="00DA32AB"/>
    <w:rsid w:val="00DA36FB"/>
    <w:rsid w:val="00DA4251"/>
    <w:rsid w:val="00DA48AA"/>
    <w:rsid w:val="00DA4997"/>
    <w:rsid w:val="00DA529B"/>
    <w:rsid w:val="00DA5473"/>
    <w:rsid w:val="00DA59B2"/>
    <w:rsid w:val="00DA734A"/>
    <w:rsid w:val="00DA78CE"/>
    <w:rsid w:val="00DB0AE7"/>
    <w:rsid w:val="00DB137D"/>
    <w:rsid w:val="00DB2239"/>
    <w:rsid w:val="00DB2D41"/>
    <w:rsid w:val="00DB419F"/>
    <w:rsid w:val="00DB4587"/>
    <w:rsid w:val="00DB47C8"/>
    <w:rsid w:val="00DB4E6D"/>
    <w:rsid w:val="00DB52ED"/>
    <w:rsid w:val="00DB5855"/>
    <w:rsid w:val="00DB587A"/>
    <w:rsid w:val="00DB6679"/>
    <w:rsid w:val="00DB74C7"/>
    <w:rsid w:val="00DB7510"/>
    <w:rsid w:val="00DB7C0A"/>
    <w:rsid w:val="00DC0938"/>
    <w:rsid w:val="00DC0B0C"/>
    <w:rsid w:val="00DC1313"/>
    <w:rsid w:val="00DC171E"/>
    <w:rsid w:val="00DC1A3E"/>
    <w:rsid w:val="00DC21F7"/>
    <w:rsid w:val="00DC2D4C"/>
    <w:rsid w:val="00DC36F2"/>
    <w:rsid w:val="00DC4168"/>
    <w:rsid w:val="00DC4197"/>
    <w:rsid w:val="00DC4952"/>
    <w:rsid w:val="00DC51DC"/>
    <w:rsid w:val="00DC5D3E"/>
    <w:rsid w:val="00DC6DF8"/>
    <w:rsid w:val="00DC7356"/>
    <w:rsid w:val="00DC7D7B"/>
    <w:rsid w:val="00DD017C"/>
    <w:rsid w:val="00DD019D"/>
    <w:rsid w:val="00DD0484"/>
    <w:rsid w:val="00DD060A"/>
    <w:rsid w:val="00DD1131"/>
    <w:rsid w:val="00DD116D"/>
    <w:rsid w:val="00DD182D"/>
    <w:rsid w:val="00DD1C03"/>
    <w:rsid w:val="00DD2D3A"/>
    <w:rsid w:val="00DD3899"/>
    <w:rsid w:val="00DD39EA"/>
    <w:rsid w:val="00DD5032"/>
    <w:rsid w:val="00DD5A4D"/>
    <w:rsid w:val="00DD608E"/>
    <w:rsid w:val="00DD6D35"/>
    <w:rsid w:val="00DD6E67"/>
    <w:rsid w:val="00DD72A8"/>
    <w:rsid w:val="00DD741E"/>
    <w:rsid w:val="00DE0A4C"/>
    <w:rsid w:val="00DE0FF8"/>
    <w:rsid w:val="00DE1C45"/>
    <w:rsid w:val="00DE200D"/>
    <w:rsid w:val="00DE2843"/>
    <w:rsid w:val="00DE3172"/>
    <w:rsid w:val="00DE3C52"/>
    <w:rsid w:val="00DE41A3"/>
    <w:rsid w:val="00DE467C"/>
    <w:rsid w:val="00DE5312"/>
    <w:rsid w:val="00DE566A"/>
    <w:rsid w:val="00DE65D1"/>
    <w:rsid w:val="00DE70BD"/>
    <w:rsid w:val="00DE73A5"/>
    <w:rsid w:val="00DE795D"/>
    <w:rsid w:val="00DF006D"/>
    <w:rsid w:val="00DF01C7"/>
    <w:rsid w:val="00DF06AC"/>
    <w:rsid w:val="00DF084C"/>
    <w:rsid w:val="00DF1D0A"/>
    <w:rsid w:val="00DF2086"/>
    <w:rsid w:val="00DF20BD"/>
    <w:rsid w:val="00DF23D7"/>
    <w:rsid w:val="00DF3157"/>
    <w:rsid w:val="00DF348A"/>
    <w:rsid w:val="00DF3BBB"/>
    <w:rsid w:val="00DF4D03"/>
    <w:rsid w:val="00DF4F6A"/>
    <w:rsid w:val="00DF578F"/>
    <w:rsid w:val="00DF6AB3"/>
    <w:rsid w:val="00DF6EC0"/>
    <w:rsid w:val="00DF7E13"/>
    <w:rsid w:val="00E005E0"/>
    <w:rsid w:val="00E01299"/>
    <w:rsid w:val="00E016CD"/>
    <w:rsid w:val="00E01738"/>
    <w:rsid w:val="00E01AB0"/>
    <w:rsid w:val="00E01D17"/>
    <w:rsid w:val="00E01D94"/>
    <w:rsid w:val="00E01E41"/>
    <w:rsid w:val="00E029C8"/>
    <w:rsid w:val="00E036EB"/>
    <w:rsid w:val="00E0373B"/>
    <w:rsid w:val="00E039AD"/>
    <w:rsid w:val="00E03DE6"/>
    <w:rsid w:val="00E044EF"/>
    <w:rsid w:val="00E04F2C"/>
    <w:rsid w:val="00E05148"/>
    <w:rsid w:val="00E051E3"/>
    <w:rsid w:val="00E05C2C"/>
    <w:rsid w:val="00E06747"/>
    <w:rsid w:val="00E10719"/>
    <w:rsid w:val="00E107DB"/>
    <w:rsid w:val="00E12BD1"/>
    <w:rsid w:val="00E1328B"/>
    <w:rsid w:val="00E13681"/>
    <w:rsid w:val="00E13AF2"/>
    <w:rsid w:val="00E13D40"/>
    <w:rsid w:val="00E160A7"/>
    <w:rsid w:val="00E16308"/>
    <w:rsid w:val="00E20E56"/>
    <w:rsid w:val="00E20F23"/>
    <w:rsid w:val="00E214CD"/>
    <w:rsid w:val="00E22551"/>
    <w:rsid w:val="00E225F6"/>
    <w:rsid w:val="00E22F2F"/>
    <w:rsid w:val="00E23EFE"/>
    <w:rsid w:val="00E245B8"/>
    <w:rsid w:val="00E251CA"/>
    <w:rsid w:val="00E255BF"/>
    <w:rsid w:val="00E262CD"/>
    <w:rsid w:val="00E26599"/>
    <w:rsid w:val="00E2679C"/>
    <w:rsid w:val="00E277B4"/>
    <w:rsid w:val="00E27B09"/>
    <w:rsid w:val="00E27E14"/>
    <w:rsid w:val="00E303C5"/>
    <w:rsid w:val="00E30A98"/>
    <w:rsid w:val="00E32ABC"/>
    <w:rsid w:val="00E337DA"/>
    <w:rsid w:val="00E33CDE"/>
    <w:rsid w:val="00E35864"/>
    <w:rsid w:val="00E3775D"/>
    <w:rsid w:val="00E4012E"/>
    <w:rsid w:val="00E406E2"/>
    <w:rsid w:val="00E40AA7"/>
    <w:rsid w:val="00E40D21"/>
    <w:rsid w:val="00E41030"/>
    <w:rsid w:val="00E412B3"/>
    <w:rsid w:val="00E41959"/>
    <w:rsid w:val="00E419D2"/>
    <w:rsid w:val="00E4219A"/>
    <w:rsid w:val="00E424EC"/>
    <w:rsid w:val="00E42668"/>
    <w:rsid w:val="00E4486D"/>
    <w:rsid w:val="00E44AA5"/>
    <w:rsid w:val="00E44AFA"/>
    <w:rsid w:val="00E44F84"/>
    <w:rsid w:val="00E45F2E"/>
    <w:rsid w:val="00E45FD9"/>
    <w:rsid w:val="00E461C6"/>
    <w:rsid w:val="00E472A5"/>
    <w:rsid w:val="00E473D2"/>
    <w:rsid w:val="00E47FF2"/>
    <w:rsid w:val="00E5017B"/>
    <w:rsid w:val="00E50351"/>
    <w:rsid w:val="00E5042B"/>
    <w:rsid w:val="00E50E0D"/>
    <w:rsid w:val="00E515A4"/>
    <w:rsid w:val="00E5182C"/>
    <w:rsid w:val="00E523D6"/>
    <w:rsid w:val="00E543BE"/>
    <w:rsid w:val="00E55303"/>
    <w:rsid w:val="00E55394"/>
    <w:rsid w:val="00E55506"/>
    <w:rsid w:val="00E55B18"/>
    <w:rsid w:val="00E56119"/>
    <w:rsid w:val="00E562A1"/>
    <w:rsid w:val="00E573B0"/>
    <w:rsid w:val="00E5779E"/>
    <w:rsid w:val="00E60484"/>
    <w:rsid w:val="00E60712"/>
    <w:rsid w:val="00E610AD"/>
    <w:rsid w:val="00E62BE1"/>
    <w:rsid w:val="00E62D53"/>
    <w:rsid w:val="00E63AC2"/>
    <w:rsid w:val="00E6451E"/>
    <w:rsid w:val="00E647B0"/>
    <w:rsid w:val="00E65D30"/>
    <w:rsid w:val="00E70624"/>
    <w:rsid w:val="00E70E9C"/>
    <w:rsid w:val="00E71096"/>
    <w:rsid w:val="00E714B1"/>
    <w:rsid w:val="00E728B5"/>
    <w:rsid w:val="00E72D0C"/>
    <w:rsid w:val="00E738A6"/>
    <w:rsid w:val="00E73DC3"/>
    <w:rsid w:val="00E73EDC"/>
    <w:rsid w:val="00E74BD1"/>
    <w:rsid w:val="00E75390"/>
    <w:rsid w:val="00E761F5"/>
    <w:rsid w:val="00E76EE5"/>
    <w:rsid w:val="00E77001"/>
    <w:rsid w:val="00E77784"/>
    <w:rsid w:val="00E800F8"/>
    <w:rsid w:val="00E80A06"/>
    <w:rsid w:val="00E80A87"/>
    <w:rsid w:val="00E80DE8"/>
    <w:rsid w:val="00E81B38"/>
    <w:rsid w:val="00E81D9C"/>
    <w:rsid w:val="00E82029"/>
    <w:rsid w:val="00E82415"/>
    <w:rsid w:val="00E83765"/>
    <w:rsid w:val="00E8447D"/>
    <w:rsid w:val="00E863F7"/>
    <w:rsid w:val="00E869DB"/>
    <w:rsid w:val="00E875BF"/>
    <w:rsid w:val="00E909DC"/>
    <w:rsid w:val="00E9141C"/>
    <w:rsid w:val="00E91671"/>
    <w:rsid w:val="00E918D9"/>
    <w:rsid w:val="00E928B3"/>
    <w:rsid w:val="00E92DC9"/>
    <w:rsid w:val="00E93A0C"/>
    <w:rsid w:val="00E942EE"/>
    <w:rsid w:val="00E94D58"/>
    <w:rsid w:val="00E95205"/>
    <w:rsid w:val="00E961AA"/>
    <w:rsid w:val="00E96792"/>
    <w:rsid w:val="00EA12BB"/>
    <w:rsid w:val="00EA2AA4"/>
    <w:rsid w:val="00EA4ECD"/>
    <w:rsid w:val="00EA50A8"/>
    <w:rsid w:val="00EA5932"/>
    <w:rsid w:val="00EA5A89"/>
    <w:rsid w:val="00EA62E4"/>
    <w:rsid w:val="00EA648A"/>
    <w:rsid w:val="00EA66CF"/>
    <w:rsid w:val="00EA6B0E"/>
    <w:rsid w:val="00EA7B10"/>
    <w:rsid w:val="00EA7DB1"/>
    <w:rsid w:val="00EB1AF4"/>
    <w:rsid w:val="00EB3376"/>
    <w:rsid w:val="00EB36F0"/>
    <w:rsid w:val="00EB37B0"/>
    <w:rsid w:val="00EB4708"/>
    <w:rsid w:val="00EB716C"/>
    <w:rsid w:val="00EB7346"/>
    <w:rsid w:val="00EC07E6"/>
    <w:rsid w:val="00EC10DE"/>
    <w:rsid w:val="00EC139B"/>
    <w:rsid w:val="00EC2EE8"/>
    <w:rsid w:val="00EC3056"/>
    <w:rsid w:val="00EC4B7F"/>
    <w:rsid w:val="00EC610D"/>
    <w:rsid w:val="00EC6127"/>
    <w:rsid w:val="00EC61A5"/>
    <w:rsid w:val="00EC6801"/>
    <w:rsid w:val="00EC6C25"/>
    <w:rsid w:val="00EC6CCB"/>
    <w:rsid w:val="00EC7192"/>
    <w:rsid w:val="00EC734E"/>
    <w:rsid w:val="00EC74EF"/>
    <w:rsid w:val="00EC7CC9"/>
    <w:rsid w:val="00ED047F"/>
    <w:rsid w:val="00ED0B1E"/>
    <w:rsid w:val="00ED12EF"/>
    <w:rsid w:val="00ED1BCA"/>
    <w:rsid w:val="00ED2043"/>
    <w:rsid w:val="00ED2782"/>
    <w:rsid w:val="00ED2E5E"/>
    <w:rsid w:val="00ED2E70"/>
    <w:rsid w:val="00ED2EFE"/>
    <w:rsid w:val="00ED30EB"/>
    <w:rsid w:val="00ED3573"/>
    <w:rsid w:val="00ED35C6"/>
    <w:rsid w:val="00ED46D3"/>
    <w:rsid w:val="00ED5066"/>
    <w:rsid w:val="00ED5663"/>
    <w:rsid w:val="00ED57DA"/>
    <w:rsid w:val="00ED588C"/>
    <w:rsid w:val="00ED6351"/>
    <w:rsid w:val="00EE0A31"/>
    <w:rsid w:val="00EE0A63"/>
    <w:rsid w:val="00EE1639"/>
    <w:rsid w:val="00EE1BE2"/>
    <w:rsid w:val="00EE23A6"/>
    <w:rsid w:val="00EE4293"/>
    <w:rsid w:val="00EE46AD"/>
    <w:rsid w:val="00EE5F79"/>
    <w:rsid w:val="00EE6F26"/>
    <w:rsid w:val="00EE77EA"/>
    <w:rsid w:val="00EE7B3F"/>
    <w:rsid w:val="00EF0831"/>
    <w:rsid w:val="00EF0A1A"/>
    <w:rsid w:val="00EF19B1"/>
    <w:rsid w:val="00EF2A86"/>
    <w:rsid w:val="00EF3288"/>
    <w:rsid w:val="00EF3A81"/>
    <w:rsid w:val="00EF43BC"/>
    <w:rsid w:val="00EF4DB7"/>
    <w:rsid w:val="00EF4F41"/>
    <w:rsid w:val="00EF5355"/>
    <w:rsid w:val="00EF54F0"/>
    <w:rsid w:val="00EF57DF"/>
    <w:rsid w:val="00EF6C76"/>
    <w:rsid w:val="00EF7126"/>
    <w:rsid w:val="00F00185"/>
    <w:rsid w:val="00F00BD3"/>
    <w:rsid w:val="00F029AC"/>
    <w:rsid w:val="00F02A35"/>
    <w:rsid w:val="00F03467"/>
    <w:rsid w:val="00F03AF0"/>
    <w:rsid w:val="00F03EC9"/>
    <w:rsid w:val="00F04391"/>
    <w:rsid w:val="00F04622"/>
    <w:rsid w:val="00F04CF2"/>
    <w:rsid w:val="00F0549F"/>
    <w:rsid w:val="00F0578E"/>
    <w:rsid w:val="00F058DE"/>
    <w:rsid w:val="00F05AE9"/>
    <w:rsid w:val="00F05E8C"/>
    <w:rsid w:val="00F0659C"/>
    <w:rsid w:val="00F07376"/>
    <w:rsid w:val="00F1181F"/>
    <w:rsid w:val="00F11BC3"/>
    <w:rsid w:val="00F12137"/>
    <w:rsid w:val="00F12655"/>
    <w:rsid w:val="00F12972"/>
    <w:rsid w:val="00F13200"/>
    <w:rsid w:val="00F13B70"/>
    <w:rsid w:val="00F14C86"/>
    <w:rsid w:val="00F14DAA"/>
    <w:rsid w:val="00F14F91"/>
    <w:rsid w:val="00F159F6"/>
    <w:rsid w:val="00F17470"/>
    <w:rsid w:val="00F17E85"/>
    <w:rsid w:val="00F205A7"/>
    <w:rsid w:val="00F2092B"/>
    <w:rsid w:val="00F2099B"/>
    <w:rsid w:val="00F21250"/>
    <w:rsid w:val="00F21897"/>
    <w:rsid w:val="00F22353"/>
    <w:rsid w:val="00F22BB3"/>
    <w:rsid w:val="00F22C1A"/>
    <w:rsid w:val="00F22EA2"/>
    <w:rsid w:val="00F2354C"/>
    <w:rsid w:val="00F2366F"/>
    <w:rsid w:val="00F23777"/>
    <w:rsid w:val="00F24C52"/>
    <w:rsid w:val="00F24EE5"/>
    <w:rsid w:val="00F25044"/>
    <w:rsid w:val="00F25433"/>
    <w:rsid w:val="00F25794"/>
    <w:rsid w:val="00F264DC"/>
    <w:rsid w:val="00F2697D"/>
    <w:rsid w:val="00F26D15"/>
    <w:rsid w:val="00F273FC"/>
    <w:rsid w:val="00F3012D"/>
    <w:rsid w:val="00F31CD4"/>
    <w:rsid w:val="00F3210F"/>
    <w:rsid w:val="00F32208"/>
    <w:rsid w:val="00F329E7"/>
    <w:rsid w:val="00F32C6A"/>
    <w:rsid w:val="00F330BC"/>
    <w:rsid w:val="00F33A47"/>
    <w:rsid w:val="00F3436C"/>
    <w:rsid w:val="00F3494E"/>
    <w:rsid w:val="00F35D7D"/>
    <w:rsid w:val="00F37757"/>
    <w:rsid w:val="00F40613"/>
    <w:rsid w:val="00F40754"/>
    <w:rsid w:val="00F40BF4"/>
    <w:rsid w:val="00F40C5B"/>
    <w:rsid w:val="00F40F72"/>
    <w:rsid w:val="00F41E88"/>
    <w:rsid w:val="00F42DD7"/>
    <w:rsid w:val="00F42E7F"/>
    <w:rsid w:val="00F42F3F"/>
    <w:rsid w:val="00F440F2"/>
    <w:rsid w:val="00F44316"/>
    <w:rsid w:val="00F44636"/>
    <w:rsid w:val="00F44651"/>
    <w:rsid w:val="00F4580A"/>
    <w:rsid w:val="00F461DC"/>
    <w:rsid w:val="00F4696B"/>
    <w:rsid w:val="00F46AA1"/>
    <w:rsid w:val="00F47EAF"/>
    <w:rsid w:val="00F50248"/>
    <w:rsid w:val="00F50406"/>
    <w:rsid w:val="00F50A42"/>
    <w:rsid w:val="00F50AF1"/>
    <w:rsid w:val="00F50BF9"/>
    <w:rsid w:val="00F50CAC"/>
    <w:rsid w:val="00F5238C"/>
    <w:rsid w:val="00F52836"/>
    <w:rsid w:val="00F52FF0"/>
    <w:rsid w:val="00F532B0"/>
    <w:rsid w:val="00F5332A"/>
    <w:rsid w:val="00F53A12"/>
    <w:rsid w:val="00F54070"/>
    <w:rsid w:val="00F5448A"/>
    <w:rsid w:val="00F54871"/>
    <w:rsid w:val="00F554E7"/>
    <w:rsid w:val="00F55B51"/>
    <w:rsid w:val="00F56A80"/>
    <w:rsid w:val="00F5785D"/>
    <w:rsid w:val="00F60143"/>
    <w:rsid w:val="00F607E1"/>
    <w:rsid w:val="00F6157F"/>
    <w:rsid w:val="00F62141"/>
    <w:rsid w:val="00F62B7F"/>
    <w:rsid w:val="00F6443C"/>
    <w:rsid w:val="00F64B8F"/>
    <w:rsid w:val="00F64EA1"/>
    <w:rsid w:val="00F65477"/>
    <w:rsid w:val="00F654EF"/>
    <w:rsid w:val="00F65881"/>
    <w:rsid w:val="00F65A09"/>
    <w:rsid w:val="00F66234"/>
    <w:rsid w:val="00F66304"/>
    <w:rsid w:val="00F669A1"/>
    <w:rsid w:val="00F67D19"/>
    <w:rsid w:val="00F700F7"/>
    <w:rsid w:val="00F70848"/>
    <w:rsid w:val="00F711A2"/>
    <w:rsid w:val="00F71200"/>
    <w:rsid w:val="00F71550"/>
    <w:rsid w:val="00F71A17"/>
    <w:rsid w:val="00F73CD3"/>
    <w:rsid w:val="00F75000"/>
    <w:rsid w:val="00F762E8"/>
    <w:rsid w:val="00F76F9E"/>
    <w:rsid w:val="00F7725D"/>
    <w:rsid w:val="00F77368"/>
    <w:rsid w:val="00F77638"/>
    <w:rsid w:val="00F77D9D"/>
    <w:rsid w:val="00F8073F"/>
    <w:rsid w:val="00F80993"/>
    <w:rsid w:val="00F8153F"/>
    <w:rsid w:val="00F825BE"/>
    <w:rsid w:val="00F831E4"/>
    <w:rsid w:val="00F83EE2"/>
    <w:rsid w:val="00F84951"/>
    <w:rsid w:val="00F85A0F"/>
    <w:rsid w:val="00F85FC3"/>
    <w:rsid w:val="00F8634A"/>
    <w:rsid w:val="00F864C2"/>
    <w:rsid w:val="00F87786"/>
    <w:rsid w:val="00F90860"/>
    <w:rsid w:val="00F9104C"/>
    <w:rsid w:val="00F915C8"/>
    <w:rsid w:val="00F92BE2"/>
    <w:rsid w:val="00F93023"/>
    <w:rsid w:val="00F930D3"/>
    <w:rsid w:val="00F9385D"/>
    <w:rsid w:val="00F938CB"/>
    <w:rsid w:val="00F94102"/>
    <w:rsid w:val="00F95119"/>
    <w:rsid w:val="00F95AD7"/>
    <w:rsid w:val="00F95C0C"/>
    <w:rsid w:val="00F95C12"/>
    <w:rsid w:val="00F95C66"/>
    <w:rsid w:val="00F96CE7"/>
    <w:rsid w:val="00F97A02"/>
    <w:rsid w:val="00FA36D1"/>
    <w:rsid w:val="00FA39B4"/>
    <w:rsid w:val="00FA5124"/>
    <w:rsid w:val="00FA55DC"/>
    <w:rsid w:val="00FA6E33"/>
    <w:rsid w:val="00FA7E27"/>
    <w:rsid w:val="00FB025C"/>
    <w:rsid w:val="00FB03D4"/>
    <w:rsid w:val="00FB05BA"/>
    <w:rsid w:val="00FB091E"/>
    <w:rsid w:val="00FB0AAC"/>
    <w:rsid w:val="00FB0B05"/>
    <w:rsid w:val="00FB0CE7"/>
    <w:rsid w:val="00FB1B11"/>
    <w:rsid w:val="00FB1FBF"/>
    <w:rsid w:val="00FB290D"/>
    <w:rsid w:val="00FB3A0C"/>
    <w:rsid w:val="00FB3AF8"/>
    <w:rsid w:val="00FB493C"/>
    <w:rsid w:val="00FB54DB"/>
    <w:rsid w:val="00FB5520"/>
    <w:rsid w:val="00FB65D4"/>
    <w:rsid w:val="00FB6742"/>
    <w:rsid w:val="00FB674E"/>
    <w:rsid w:val="00FC0D0D"/>
    <w:rsid w:val="00FC12B0"/>
    <w:rsid w:val="00FC13E7"/>
    <w:rsid w:val="00FC1494"/>
    <w:rsid w:val="00FC16AD"/>
    <w:rsid w:val="00FC2919"/>
    <w:rsid w:val="00FC3099"/>
    <w:rsid w:val="00FC32CB"/>
    <w:rsid w:val="00FC349E"/>
    <w:rsid w:val="00FC3C44"/>
    <w:rsid w:val="00FC4D78"/>
    <w:rsid w:val="00FC5047"/>
    <w:rsid w:val="00FC57C9"/>
    <w:rsid w:val="00FC5FE3"/>
    <w:rsid w:val="00FC69D5"/>
    <w:rsid w:val="00FC6F61"/>
    <w:rsid w:val="00FD040C"/>
    <w:rsid w:val="00FD0676"/>
    <w:rsid w:val="00FD10BD"/>
    <w:rsid w:val="00FD161E"/>
    <w:rsid w:val="00FD2068"/>
    <w:rsid w:val="00FD2D3E"/>
    <w:rsid w:val="00FD3471"/>
    <w:rsid w:val="00FD3D95"/>
    <w:rsid w:val="00FD3E51"/>
    <w:rsid w:val="00FD4298"/>
    <w:rsid w:val="00FD61AD"/>
    <w:rsid w:val="00FD7A8A"/>
    <w:rsid w:val="00FD7F4D"/>
    <w:rsid w:val="00FE149E"/>
    <w:rsid w:val="00FE268B"/>
    <w:rsid w:val="00FE2B82"/>
    <w:rsid w:val="00FE317E"/>
    <w:rsid w:val="00FE3EE2"/>
    <w:rsid w:val="00FE40D9"/>
    <w:rsid w:val="00FE5084"/>
    <w:rsid w:val="00FE529A"/>
    <w:rsid w:val="00FE6066"/>
    <w:rsid w:val="00FE6CC0"/>
    <w:rsid w:val="00FF03FB"/>
    <w:rsid w:val="00FF0596"/>
    <w:rsid w:val="00FF14C4"/>
    <w:rsid w:val="00FF1C46"/>
    <w:rsid w:val="00FF1D7F"/>
    <w:rsid w:val="00FF2326"/>
    <w:rsid w:val="00FF3B92"/>
    <w:rsid w:val="00FF4C08"/>
    <w:rsid w:val="00FF5BBE"/>
    <w:rsid w:val="00FF5DA6"/>
    <w:rsid w:val="00FF637E"/>
    <w:rsid w:val="00FF652F"/>
    <w:rsid w:val="00FF6536"/>
    <w:rsid w:val="00FF6E43"/>
    <w:rsid w:val="00FF7126"/>
    <w:rsid w:val="00FF72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F349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next w:val="Kop2"/>
    <w:qFormat/>
    <w:rsid w:val="00FE40D9"/>
    <w:pPr>
      <w:spacing w:line="360" w:lineRule="auto"/>
      <w:ind w:firstLine="709"/>
    </w:pPr>
    <w:rPr>
      <w:rFonts w:ascii="Arial" w:hAnsi="Arial"/>
      <w:szCs w:val="24"/>
    </w:rPr>
  </w:style>
  <w:style w:type="paragraph" w:styleId="Kop1">
    <w:name w:val="heading 1"/>
    <w:basedOn w:val="Standaard"/>
    <w:next w:val="Standaard"/>
    <w:link w:val="Kop1Char"/>
    <w:uiPriority w:val="9"/>
    <w:qFormat/>
    <w:rsid w:val="00ED0B1E"/>
    <w:pPr>
      <w:numPr>
        <w:numId w:val="2"/>
      </w:numPr>
      <w:outlineLvl w:val="0"/>
    </w:pPr>
    <w:rPr>
      <w:b/>
    </w:rPr>
  </w:style>
  <w:style w:type="paragraph" w:styleId="Kop2">
    <w:name w:val="heading 2"/>
    <w:basedOn w:val="Kop1"/>
    <w:next w:val="Standaard"/>
    <w:link w:val="Kop2Char"/>
    <w:uiPriority w:val="9"/>
    <w:qFormat/>
    <w:rsid w:val="008320A4"/>
    <w:pPr>
      <w:keepNext/>
      <w:numPr>
        <w:ilvl w:val="1"/>
      </w:numPr>
      <w:spacing w:before="240" w:after="60"/>
      <w:outlineLvl w:val="1"/>
    </w:pPr>
    <w:rPr>
      <w:bCs/>
      <w:iCs/>
      <w:szCs w:val="28"/>
    </w:rPr>
  </w:style>
  <w:style w:type="paragraph" w:styleId="Kop3">
    <w:name w:val="heading 3"/>
    <w:basedOn w:val="Standaard"/>
    <w:next w:val="Standaard"/>
    <w:link w:val="Kop3Char"/>
    <w:uiPriority w:val="9"/>
    <w:qFormat/>
    <w:rsid w:val="00D67FC7"/>
    <w:pPr>
      <w:keepNext/>
      <w:numPr>
        <w:ilvl w:val="2"/>
        <w:numId w:val="2"/>
      </w:numPr>
      <w:spacing w:before="240" w:after="60"/>
      <w:outlineLvl w:val="2"/>
    </w:pPr>
    <w:rPr>
      <w:b/>
      <w:bCs/>
      <w:szCs w:val="20"/>
    </w:rPr>
  </w:style>
  <w:style w:type="paragraph" w:styleId="Kop4">
    <w:name w:val="heading 4"/>
    <w:basedOn w:val="Standaard"/>
    <w:next w:val="Standaard"/>
    <w:link w:val="Kop4Char"/>
    <w:uiPriority w:val="9"/>
    <w:qFormat/>
    <w:rsid w:val="00ED0B1E"/>
    <w:pPr>
      <w:keepNext/>
      <w:numPr>
        <w:ilvl w:val="3"/>
        <w:numId w:val="2"/>
      </w:numPr>
      <w:spacing w:before="240" w:after="60"/>
      <w:outlineLvl w:val="3"/>
    </w:pPr>
    <w:rPr>
      <w:rFonts w:ascii="Calibri" w:hAnsi="Calibri"/>
      <w:b/>
      <w:bCs/>
      <w:sz w:val="28"/>
      <w:szCs w:val="28"/>
    </w:rPr>
  </w:style>
  <w:style w:type="paragraph" w:styleId="Kop5">
    <w:name w:val="heading 5"/>
    <w:basedOn w:val="Standaard"/>
    <w:next w:val="Standaard"/>
    <w:link w:val="Kop5Char"/>
    <w:uiPriority w:val="9"/>
    <w:qFormat/>
    <w:rsid w:val="00ED0B1E"/>
    <w:pPr>
      <w:numPr>
        <w:ilvl w:val="4"/>
        <w:numId w:val="2"/>
      </w:numPr>
      <w:spacing w:before="240" w:after="60"/>
      <w:outlineLvl w:val="4"/>
    </w:pPr>
    <w:rPr>
      <w:rFonts w:ascii="Calibri" w:hAnsi="Calibri"/>
      <w:b/>
      <w:bCs/>
      <w:i/>
      <w:iCs/>
      <w:sz w:val="26"/>
      <w:szCs w:val="26"/>
    </w:rPr>
  </w:style>
  <w:style w:type="paragraph" w:styleId="Kop6">
    <w:name w:val="heading 6"/>
    <w:basedOn w:val="Standaard"/>
    <w:next w:val="Standaard"/>
    <w:link w:val="Kop6Char"/>
    <w:uiPriority w:val="9"/>
    <w:qFormat/>
    <w:rsid w:val="00ED0B1E"/>
    <w:pPr>
      <w:numPr>
        <w:ilvl w:val="5"/>
        <w:numId w:val="2"/>
      </w:numPr>
      <w:spacing w:before="240" w:after="60"/>
      <w:outlineLvl w:val="5"/>
    </w:pPr>
    <w:rPr>
      <w:rFonts w:ascii="Calibri" w:hAnsi="Calibri"/>
      <w:b/>
      <w:bCs/>
      <w:sz w:val="22"/>
      <w:szCs w:val="22"/>
    </w:rPr>
  </w:style>
  <w:style w:type="paragraph" w:styleId="Kop7">
    <w:name w:val="heading 7"/>
    <w:basedOn w:val="Standaard"/>
    <w:next w:val="Standaard"/>
    <w:link w:val="Kop7Char"/>
    <w:uiPriority w:val="9"/>
    <w:qFormat/>
    <w:rsid w:val="00ED0B1E"/>
    <w:pPr>
      <w:numPr>
        <w:ilvl w:val="6"/>
        <w:numId w:val="2"/>
      </w:numPr>
      <w:spacing w:before="240" w:after="60"/>
      <w:outlineLvl w:val="6"/>
    </w:pPr>
    <w:rPr>
      <w:rFonts w:ascii="Calibri" w:hAnsi="Calibri"/>
      <w:sz w:val="24"/>
    </w:rPr>
  </w:style>
  <w:style w:type="paragraph" w:styleId="Kop8">
    <w:name w:val="heading 8"/>
    <w:basedOn w:val="Standaard"/>
    <w:next w:val="Standaard"/>
    <w:link w:val="Kop8Char"/>
    <w:uiPriority w:val="9"/>
    <w:qFormat/>
    <w:rsid w:val="00ED0B1E"/>
    <w:pPr>
      <w:numPr>
        <w:ilvl w:val="7"/>
        <w:numId w:val="2"/>
      </w:numPr>
      <w:spacing w:before="240" w:after="60"/>
      <w:outlineLvl w:val="7"/>
    </w:pPr>
    <w:rPr>
      <w:rFonts w:ascii="Calibri" w:hAnsi="Calibri"/>
      <w:i/>
      <w:iCs/>
      <w:sz w:val="24"/>
    </w:rPr>
  </w:style>
  <w:style w:type="paragraph" w:styleId="Kop9">
    <w:name w:val="heading 9"/>
    <w:basedOn w:val="Standaard"/>
    <w:next w:val="Standaard"/>
    <w:link w:val="Kop9Char"/>
    <w:uiPriority w:val="9"/>
    <w:qFormat/>
    <w:rsid w:val="00ED0B1E"/>
    <w:pPr>
      <w:numPr>
        <w:ilvl w:val="8"/>
        <w:numId w:val="2"/>
      </w:numPr>
      <w:spacing w:before="240" w:after="60"/>
      <w:outlineLvl w:val="8"/>
    </w:pPr>
    <w:rPr>
      <w:rFonts w:ascii="Cambria" w:hAnsi="Cambria"/>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2D160C"/>
    <w:rPr>
      <w:color w:val="0000FF"/>
      <w:u w:val="single"/>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link w:val="Voetnoottekst"/>
    <w:rsid w:val="002D160C"/>
    <w:rPr>
      <w:rFonts w:ascii="Arial" w:hAnsi="Arial"/>
      <w:szCs w:val="24"/>
      <w:lang w:val="en-GB" w:eastAsia="nl-NL" w:bidi="ar-SA"/>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Char"/>
    <w:basedOn w:val="Standaard"/>
    <w:link w:val="VoetnoottekstChar"/>
    <w:rsid w:val="002D160C"/>
    <w:pPr>
      <w:widowControl w:val="0"/>
    </w:pPr>
  </w:style>
  <w:style w:type="character" w:customStyle="1" w:styleId="TekstopmerkingChar">
    <w:name w:val="Tekst opmerking Char"/>
    <w:link w:val="Tekstopmerking"/>
    <w:uiPriority w:val="99"/>
    <w:rsid w:val="002D160C"/>
    <w:rPr>
      <w:rFonts w:ascii="Arial" w:hAnsi="Arial"/>
      <w:szCs w:val="24"/>
      <w:lang w:val="en-GB" w:eastAsia="nl-NL" w:bidi="ar-SA"/>
    </w:rPr>
  </w:style>
  <w:style w:type="paragraph" w:styleId="Tekstopmerking">
    <w:name w:val="annotation text"/>
    <w:basedOn w:val="Standaard"/>
    <w:link w:val="TekstopmerkingChar"/>
    <w:uiPriority w:val="99"/>
    <w:semiHidden/>
    <w:rsid w:val="002D160C"/>
  </w:style>
  <w:style w:type="character" w:customStyle="1" w:styleId="PlattetekstChar">
    <w:name w:val="Platte tekst Char"/>
    <w:link w:val="Plattetekst"/>
    <w:rsid w:val="002D160C"/>
    <w:rPr>
      <w:rFonts w:ascii="Verdana" w:hAnsi="Verdana"/>
      <w:sz w:val="18"/>
      <w:szCs w:val="24"/>
      <w:lang w:val="en-GB" w:eastAsia="en-US" w:bidi="ar-SA"/>
    </w:rPr>
  </w:style>
  <w:style w:type="paragraph" w:styleId="Plattetekst">
    <w:name w:val="Body Text"/>
    <w:basedOn w:val="Standaard"/>
    <w:link w:val="PlattetekstChar"/>
    <w:rsid w:val="002D160C"/>
    <w:pPr>
      <w:spacing w:line="240" w:lineRule="exact"/>
      <w:ind w:firstLine="0"/>
    </w:pPr>
    <w:rPr>
      <w:rFonts w:ascii="Verdana" w:hAnsi="Verdana"/>
      <w:sz w:val="18"/>
      <w:lang w:eastAsia="en-US"/>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link w:val="Char1CharCharCarCarCarCarCarCarCarCarCarCar"/>
    <w:uiPriority w:val="99"/>
    <w:rsid w:val="002D160C"/>
    <w:rPr>
      <w:vertAlign w:val="superscript"/>
    </w:rPr>
  </w:style>
  <w:style w:type="character" w:styleId="Verwijzingopmerking">
    <w:name w:val="annotation reference"/>
    <w:uiPriority w:val="99"/>
    <w:semiHidden/>
    <w:rsid w:val="002D160C"/>
    <w:rPr>
      <w:sz w:val="16"/>
      <w:szCs w:val="16"/>
    </w:rPr>
  </w:style>
  <w:style w:type="paragraph" w:styleId="Ballontekst">
    <w:name w:val="Balloon Text"/>
    <w:basedOn w:val="Standaard"/>
    <w:semiHidden/>
    <w:rsid w:val="002D160C"/>
    <w:rPr>
      <w:rFonts w:ascii="Tahoma" w:hAnsi="Tahoma" w:cs="Tahoma"/>
      <w:sz w:val="16"/>
      <w:szCs w:val="16"/>
    </w:rPr>
  </w:style>
  <w:style w:type="paragraph" w:customStyle="1" w:styleId="CharCharCharCharChar">
    <w:name w:val="Char Char Char Char Char"/>
    <w:basedOn w:val="Standaard"/>
    <w:rsid w:val="00802AB5"/>
    <w:pPr>
      <w:spacing w:after="160" w:line="240" w:lineRule="exact"/>
      <w:ind w:firstLine="0"/>
    </w:pPr>
    <w:rPr>
      <w:rFonts w:ascii="Tahoma" w:hAnsi="Tahoma"/>
      <w:szCs w:val="20"/>
      <w:lang w:val="en-US" w:eastAsia="en-US"/>
    </w:rPr>
  </w:style>
  <w:style w:type="paragraph" w:styleId="Onderwerpvanopmerking">
    <w:name w:val="annotation subject"/>
    <w:basedOn w:val="Tekstopmerking"/>
    <w:next w:val="Tekstopmerking"/>
    <w:link w:val="OnderwerpvanopmerkingChar"/>
    <w:semiHidden/>
    <w:unhideWhenUsed/>
    <w:rsid w:val="00DD0484"/>
    <w:rPr>
      <w:b/>
      <w:bCs/>
    </w:rPr>
  </w:style>
  <w:style w:type="character" w:customStyle="1" w:styleId="OnderwerpvanopmerkingChar">
    <w:name w:val="Onderwerp van opmerking Char"/>
    <w:link w:val="Onderwerpvanopmerking"/>
    <w:semiHidden/>
    <w:rsid w:val="00DD0484"/>
    <w:rPr>
      <w:rFonts w:ascii="Arial" w:hAnsi="Arial"/>
      <w:b/>
      <w:bCs/>
      <w:szCs w:val="24"/>
      <w:lang w:val="en-GB" w:eastAsia="nl-NL" w:bidi="ar-SA"/>
    </w:rPr>
  </w:style>
  <w:style w:type="paragraph" w:styleId="Koptekst">
    <w:name w:val="header"/>
    <w:basedOn w:val="Standaard"/>
    <w:rsid w:val="006B3122"/>
    <w:pPr>
      <w:tabs>
        <w:tab w:val="center" w:pos="4536"/>
        <w:tab w:val="right" w:pos="9072"/>
      </w:tabs>
    </w:pPr>
  </w:style>
  <w:style w:type="paragraph" w:styleId="Voettekst">
    <w:name w:val="footer"/>
    <w:basedOn w:val="Standaard"/>
    <w:rsid w:val="006B3122"/>
    <w:pPr>
      <w:tabs>
        <w:tab w:val="center" w:pos="4536"/>
        <w:tab w:val="right" w:pos="9072"/>
      </w:tabs>
    </w:pPr>
  </w:style>
  <w:style w:type="character" w:styleId="Paginanummer">
    <w:name w:val="page number"/>
    <w:basedOn w:val="Standaardalinea-lettertype"/>
    <w:uiPriority w:val="99"/>
    <w:rsid w:val="006B3122"/>
  </w:style>
  <w:style w:type="character" w:customStyle="1" w:styleId="Kop1Char">
    <w:name w:val="Kop 1 Char"/>
    <w:link w:val="Kop1"/>
    <w:uiPriority w:val="9"/>
    <w:rsid w:val="00ED0B1E"/>
    <w:rPr>
      <w:rFonts w:ascii="Arial" w:hAnsi="Arial"/>
      <w:b/>
      <w:szCs w:val="24"/>
      <w:lang w:val="en-GB"/>
    </w:rPr>
  </w:style>
  <w:style w:type="paragraph" w:styleId="Titel">
    <w:name w:val="Title"/>
    <w:basedOn w:val="Standaard"/>
    <w:next w:val="Standaard"/>
    <w:link w:val="TitelChar"/>
    <w:qFormat/>
    <w:rsid w:val="00FE40D9"/>
    <w:pPr>
      <w:ind w:firstLine="0"/>
    </w:pPr>
    <w:rPr>
      <w:u w:val="single"/>
    </w:rPr>
  </w:style>
  <w:style w:type="character" w:customStyle="1" w:styleId="TitelChar">
    <w:name w:val="Titel Char"/>
    <w:link w:val="Titel"/>
    <w:rsid w:val="00FE40D9"/>
    <w:rPr>
      <w:rFonts w:ascii="Arial" w:hAnsi="Arial"/>
      <w:szCs w:val="24"/>
      <w:u w:val="single"/>
    </w:rPr>
  </w:style>
  <w:style w:type="character" w:customStyle="1" w:styleId="Kop3Char">
    <w:name w:val="Kop 3 Char"/>
    <w:link w:val="Kop3"/>
    <w:uiPriority w:val="9"/>
    <w:rsid w:val="00D67FC7"/>
    <w:rPr>
      <w:rFonts w:ascii="Arial" w:hAnsi="Arial"/>
      <w:b/>
      <w:bCs/>
      <w:lang w:val="en-GB"/>
    </w:rPr>
  </w:style>
  <w:style w:type="character" w:customStyle="1" w:styleId="Kop2Char">
    <w:name w:val="Kop 2 Char"/>
    <w:link w:val="Kop2"/>
    <w:uiPriority w:val="9"/>
    <w:rsid w:val="008320A4"/>
    <w:rPr>
      <w:rFonts w:ascii="Arial" w:hAnsi="Arial"/>
      <w:b/>
      <w:bCs/>
      <w:iCs/>
      <w:szCs w:val="28"/>
      <w:lang w:val="en-GB"/>
    </w:rPr>
  </w:style>
  <w:style w:type="character" w:customStyle="1" w:styleId="Kop4Char">
    <w:name w:val="Kop 4 Char"/>
    <w:link w:val="Kop4"/>
    <w:uiPriority w:val="9"/>
    <w:rsid w:val="00ED0B1E"/>
    <w:rPr>
      <w:rFonts w:ascii="Calibri" w:hAnsi="Calibri"/>
      <w:b/>
      <w:bCs/>
      <w:sz w:val="28"/>
      <w:szCs w:val="28"/>
      <w:lang w:val="en-GB"/>
    </w:rPr>
  </w:style>
  <w:style w:type="character" w:customStyle="1" w:styleId="Kop5Char">
    <w:name w:val="Kop 5 Char"/>
    <w:link w:val="Kop5"/>
    <w:uiPriority w:val="9"/>
    <w:rsid w:val="00ED0B1E"/>
    <w:rPr>
      <w:rFonts w:ascii="Calibri" w:hAnsi="Calibri"/>
      <w:b/>
      <w:bCs/>
      <w:i/>
      <w:iCs/>
      <w:sz w:val="26"/>
      <w:szCs w:val="26"/>
      <w:lang w:val="en-GB"/>
    </w:rPr>
  </w:style>
  <w:style w:type="character" w:customStyle="1" w:styleId="Kop6Char">
    <w:name w:val="Kop 6 Char"/>
    <w:link w:val="Kop6"/>
    <w:uiPriority w:val="9"/>
    <w:rsid w:val="00ED0B1E"/>
    <w:rPr>
      <w:rFonts w:ascii="Calibri" w:hAnsi="Calibri"/>
      <w:b/>
      <w:bCs/>
      <w:sz w:val="22"/>
      <w:szCs w:val="22"/>
      <w:lang w:val="en-GB"/>
    </w:rPr>
  </w:style>
  <w:style w:type="character" w:customStyle="1" w:styleId="Kop7Char">
    <w:name w:val="Kop 7 Char"/>
    <w:link w:val="Kop7"/>
    <w:uiPriority w:val="9"/>
    <w:rsid w:val="00ED0B1E"/>
    <w:rPr>
      <w:rFonts w:ascii="Calibri" w:hAnsi="Calibri"/>
      <w:sz w:val="24"/>
      <w:szCs w:val="24"/>
      <w:lang w:val="en-GB"/>
    </w:rPr>
  </w:style>
  <w:style w:type="character" w:customStyle="1" w:styleId="Kop8Char">
    <w:name w:val="Kop 8 Char"/>
    <w:link w:val="Kop8"/>
    <w:uiPriority w:val="9"/>
    <w:rsid w:val="00ED0B1E"/>
    <w:rPr>
      <w:rFonts w:ascii="Calibri" w:hAnsi="Calibri"/>
      <w:i/>
      <w:iCs/>
      <w:sz w:val="24"/>
      <w:szCs w:val="24"/>
      <w:lang w:val="en-GB"/>
    </w:rPr>
  </w:style>
  <w:style w:type="character" w:customStyle="1" w:styleId="Kop9Char">
    <w:name w:val="Kop 9 Char"/>
    <w:link w:val="Kop9"/>
    <w:uiPriority w:val="9"/>
    <w:rsid w:val="00ED0B1E"/>
    <w:rPr>
      <w:rFonts w:ascii="Cambria" w:hAnsi="Cambria"/>
      <w:sz w:val="22"/>
      <w:szCs w:val="22"/>
      <w:lang w:val="en-GB"/>
    </w:rPr>
  </w:style>
  <w:style w:type="character" w:styleId="GevolgdeHyperlink">
    <w:name w:val="FollowedHyperlink"/>
    <w:semiHidden/>
    <w:unhideWhenUsed/>
    <w:rsid w:val="00F8634A"/>
    <w:rPr>
      <w:color w:val="800080"/>
      <w:u w:val="single"/>
    </w:rPr>
  </w:style>
  <w:style w:type="character" w:styleId="Nadruk">
    <w:name w:val="Emphasis"/>
    <w:basedOn w:val="Standaardalinea-lettertype"/>
    <w:uiPriority w:val="20"/>
    <w:qFormat/>
    <w:rsid w:val="000B5D4A"/>
    <w:rPr>
      <w:i/>
      <w:iCs/>
    </w:rPr>
  </w:style>
  <w:style w:type="character" w:customStyle="1" w:styleId="ol1">
    <w:name w:val="ol1"/>
    <w:basedOn w:val="Standaardalinea-lettertype"/>
    <w:rsid w:val="000B5D4A"/>
  </w:style>
  <w:style w:type="paragraph" w:customStyle="1" w:styleId="labeled2">
    <w:name w:val="labeled2"/>
    <w:basedOn w:val="Standaard"/>
    <w:rsid w:val="000B5D4A"/>
    <w:pPr>
      <w:spacing w:line="240" w:lineRule="auto"/>
      <w:ind w:left="1200" w:firstLine="0"/>
    </w:pPr>
    <w:rPr>
      <w:rFonts w:ascii="Times New Roman" w:hAnsi="Times New Roman"/>
      <w:sz w:val="24"/>
    </w:rPr>
  </w:style>
  <w:style w:type="paragraph" w:styleId="Lijstalinea">
    <w:name w:val="List Paragraph"/>
    <w:basedOn w:val="Standaard"/>
    <w:uiPriority w:val="99"/>
    <w:qFormat/>
    <w:rsid w:val="004560C1"/>
    <w:pPr>
      <w:spacing w:after="200" w:line="276" w:lineRule="auto"/>
      <w:ind w:left="720" w:firstLine="0"/>
      <w:contextualSpacing/>
    </w:pPr>
    <w:rPr>
      <w:rFonts w:ascii="Calibri" w:hAnsi="Calibri"/>
      <w:sz w:val="22"/>
      <w:szCs w:val="22"/>
    </w:rPr>
  </w:style>
  <w:style w:type="character" w:customStyle="1" w:styleId="emph-i">
    <w:name w:val="emph-i"/>
    <w:basedOn w:val="Standaardalinea-lettertype"/>
    <w:rsid w:val="00E472A5"/>
  </w:style>
  <w:style w:type="character" w:customStyle="1" w:styleId="apple-converted-space">
    <w:name w:val="apple-converted-space"/>
    <w:basedOn w:val="Standaardalinea-lettertype"/>
    <w:rsid w:val="00E472A5"/>
  </w:style>
  <w:style w:type="character" w:customStyle="1" w:styleId="st1">
    <w:name w:val="st1"/>
    <w:basedOn w:val="Standaardalinea-lettertype"/>
    <w:rsid w:val="003E1069"/>
  </w:style>
  <w:style w:type="paragraph" w:styleId="Revisie">
    <w:name w:val="Revision"/>
    <w:hidden/>
    <w:uiPriority w:val="99"/>
    <w:semiHidden/>
    <w:rsid w:val="00206A3B"/>
    <w:rPr>
      <w:rFonts w:ascii="Arial" w:hAnsi="Arial"/>
      <w:szCs w:val="24"/>
      <w:lang w:val="en-GB"/>
    </w:rPr>
  </w:style>
  <w:style w:type="character" w:customStyle="1" w:styleId="CommentTextChar">
    <w:name w:val="Comment Text Char"/>
    <w:uiPriority w:val="99"/>
    <w:semiHidden/>
    <w:rsid w:val="00205012"/>
    <w:rPr>
      <w:rFonts w:ascii="Arial" w:hAnsi="Arial"/>
      <w:szCs w:val="24"/>
      <w:lang w:val="en-GB" w:eastAsia="nl-NL" w:bidi="ar-SA"/>
    </w:rPr>
  </w:style>
  <w:style w:type="paragraph" w:customStyle="1" w:styleId="Standard">
    <w:name w:val="Standard"/>
    <w:rsid w:val="007B6437"/>
    <w:pPr>
      <w:widowControl w:val="0"/>
      <w:suppressAutoHyphens/>
      <w:autoSpaceDN w:val="0"/>
      <w:textAlignment w:val="baseline"/>
    </w:pPr>
    <w:rPr>
      <w:rFonts w:eastAsia="SimSun" w:cs="Mangal"/>
      <w:kern w:val="3"/>
      <w:sz w:val="24"/>
      <w:szCs w:val="24"/>
      <w:lang w:eastAsia="zh-CN" w:bidi="hi-IN"/>
    </w:rPr>
  </w:style>
  <w:style w:type="paragraph" w:styleId="Plattetekstinspringen">
    <w:name w:val="Body Text Indent"/>
    <w:basedOn w:val="Standaard"/>
    <w:link w:val="PlattetekstinspringenChar"/>
    <w:semiHidden/>
    <w:rsid w:val="007B6437"/>
    <w:pPr>
      <w:ind w:firstLine="708"/>
    </w:pPr>
  </w:style>
  <w:style w:type="character" w:customStyle="1" w:styleId="PlattetekstinspringenChar">
    <w:name w:val="Platte tekst inspringen Char"/>
    <w:basedOn w:val="Standaardalinea-lettertype"/>
    <w:link w:val="Plattetekstinspringen"/>
    <w:semiHidden/>
    <w:rsid w:val="007B6437"/>
    <w:rPr>
      <w:rFonts w:ascii="Arial" w:hAnsi="Arial"/>
      <w:szCs w:val="24"/>
    </w:rPr>
  </w:style>
  <w:style w:type="paragraph" w:styleId="Normaalweb">
    <w:name w:val="Normal (Web)"/>
    <w:basedOn w:val="Standaard"/>
    <w:unhideWhenUsed/>
    <w:rsid w:val="007B6437"/>
    <w:pPr>
      <w:spacing w:before="100" w:beforeAutospacing="1" w:after="100" w:afterAutospacing="1" w:line="240" w:lineRule="auto"/>
      <w:ind w:firstLine="0"/>
    </w:pPr>
    <w:rPr>
      <w:rFonts w:ascii="Times New Roman" w:hAnsi="Times New Roman"/>
      <w:sz w:val="24"/>
    </w:rPr>
  </w:style>
  <w:style w:type="character" w:customStyle="1" w:styleId="wknlverwijzing">
    <w:name w:val="wknl_verwijzing"/>
    <w:basedOn w:val="Standaardalinea-lettertype"/>
    <w:rsid w:val="007B6437"/>
  </w:style>
  <w:style w:type="paragraph" w:styleId="Plattetekstinspringen2">
    <w:name w:val="Body Text Indent 2"/>
    <w:basedOn w:val="Standaard"/>
    <w:link w:val="Plattetekstinspringen2Char"/>
    <w:semiHidden/>
    <w:rsid w:val="007B6437"/>
    <w:pPr>
      <w:ind w:firstLine="900"/>
    </w:pPr>
  </w:style>
  <w:style w:type="character" w:customStyle="1" w:styleId="Plattetekstinspringen2Char">
    <w:name w:val="Platte tekst inspringen 2 Char"/>
    <w:basedOn w:val="Standaardalinea-lettertype"/>
    <w:link w:val="Plattetekstinspringen2"/>
    <w:semiHidden/>
    <w:rsid w:val="007B6437"/>
    <w:rPr>
      <w:rFonts w:ascii="Arial" w:hAnsi="Arial"/>
      <w:szCs w:val="24"/>
    </w:rPr>
  </w:style>
  <w:style w:type="paragraph" w:styleId="Plattetekstinspringen3">
    <w:name w:val="Body Text Indent 3"/>
    <w:basedOn w:val="Standaard"/>
    <w:link w:val="Plattetekstinspringen3Char"/>
    <w:semiHidden/>
    <w:rsid w:val="007B6437"/>
  </w:style>
  <w:style w:type="character" w:customStyle="1" w:styleId="Plattetekstinspringen3Char">
    <w:name w:val="Platte tekst inspringen 3 Char"/>
    <w:basedOn w:val="Standaardalinea-lettertype"/>
    <w:link w:val="Plattetekstinspringen3"/>
    <w:semiHidden/>
    <w:rsid w:val="007B6437"/>
    <w:rPr>
      <w:rFonts w:ascii="Arial" w:hAnsi="Arial"/>
      <w:szCs w:val="24"/>
    </w:rPr>
  </w:style>
  <w:style w:type="paragraph" w:customStyle="1" w:styleId="Default">
    <w:name w:val="Default"/>
    <w:rsid w:val="007B6437"/>
    <w:pPr>
      <w:autoSpaceDE w:val="0"/>
      <w:autoSpaceDN w:val="0"/>
      <w:adjustRightInd w:val="0"/>
    </w:pPr>
    <w:rPr>
      <w:rFonts w:ascii="HICEL A+ Univers" w:hAnsi="HICEL A+ Univers" w:cs="HICEL A+ Univers"/>
      <w:color w:val="000000"/>
      <w:sz w:val="24"/>
      <w:szCs w:val="24"/>
    </w:rPr>
  </w:style>
  <w:style w:type="paragraph" w:styleId="Documentstructuur">
    <w:name w:val="Document Map"/>
    <w:basedOn w:val="Standaard"/>
    <w:link w:val="DocumentstructuurChar"/>
    <w:uiPriority w:val="99"/>
    <w:semiHidden/>
    <w:unhideWhenUsed/>
    <w:rsid w:val="007B6437"/>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7B6437"/>
    <w:rPr>
      <w:rFonts w:ascii="Tahoma" w:hAnsi="Tahoma" w:cs="Tahoma"/>
      <w:sz w:val="16"/>
      <w:szCs w:val="16"/>
      <w:lang w:val="en-GB"/>
    </w:rPr>
  </w:style>
  <w:style w:type="paragraph" w:styleId="Geenafstand">
    <w:name w:val="No Spacing"/>
    <w:uiPriority w:val="3"/>
    <w:qFormat/>
    <w:rsid w:val="00914C26"/>
    <w:rPr>
      <w:rFonts w:asciiTheme="minorHAnsi" w:eastAsiaTheme="minorHAnsi" w:hAnsiTheme="minorHAnsi" w:cstheme="minorBidi"/>
      <w:sz w:val="22"/>
      <w:szCs w:val="22"/>
      <w:lang w:eastAsia="en-US"/>
    </w:rPr>
  </w:style>
  <w:style w:type="paragraph" w:customStyle="1" w:styleId="hoofdtekst1">
    <w:name w:val="hoofdtekst 1"/>
    <w:basedOn w:val="Standaard"/>
    <w:link w:val="hoofdtekst1Char"/>
    <w:qFormat/>
    <w:rsid w:val="0092505B"/>
    <w:pPr>
      <w:ind w:firstLine="708"/>
    </w:pPr>
    <w:rPr>
      <w:rFonts w:asciiTheme="majorHAnsi" w:eastAsiaTheme="minorHAnsi" w:hAnsiTheme="majorHAnsi" w:cs="Arial"/>
      <w:sz w:val="18"/>
      <w:szCs w:val="18"/>
    </w:rPr>
  </w:style>
  <w:style w:type="character" w:customStyle="1" w:styleId="hoofdtekst1Char">
    <w:name w:val="hoofdtekst 1 Char"/>
    <w:basedOn w:val="Standaardalinea-lettertype"/>
    <w:link w:val="hoofdtekst1"/>
    <w:rsid w:val="0092505B"/>
    <w:rPr>
      <w:rFonts w:asciiTheme="majorHAnsi" w:eastAsiaTheme="minorHAnsi" w:hAnsiTheme="majorHAnsi" w:cs="Arial"/>
      <w:sz w:val="18"/>
      <w:szCs w:val="18"/>
    </w:rPr>
  </w:style>
  <w:style w:type="paragraph" w:customStyle="1" w:styleId="norm3">
    <w:name w:val="norm3"/>
    <w:basedOn w:val="Standaard"/>
    <w:rsid w:val="00124C98"/>
    <w:pPr>
      <w:spacing w:before="120" w:line="312" w:lineRule="atLeast"/>
      <w:ind w:firstLine="0"/>
      <w:jc w:val="both"/>
    </w:pPr>
    <w:rPr>
      <w:rFonts w:ascii="Times New Roman" w:hAnsi="Times New Roman"/>
      <w:sz w:val="24"/>
    </w:rPr>
  </w:style>
  <w:style w:type="paragraph" w:styleId="Lijstopsomteken">
    <w:name w:val="List Bullet"/>
    <w:basedOn w:val="Standaard"/>
    <w:uiPriority w:val="99"/>
    <w:unhideWhenUsed/>
    <w:rsid w:val="00F12137"/>
    <w:pPr>
      <w:numPr>
        <w:numId w:val="5"/>
      </w:numPr>
      <w:contextualSpacing/>
    </w:pPr>
  </w:style>
  <w:style w:type="paragraph" w:customStyle="1" w:styleId="lid">
    <w:name w:val="lid"/>
    <w:basedOn w:val="Standaard"/>
    <w:rsid w:val="003826A3"/>
    <w:pPr>
      <w:spacing w:before="100" w:beforeAutospacing="1" w:after="100" w:afterAutospacing="1" w:line="240" w:lineRule="auto"/>
      <w:ind w:firstLine="0"/>
    </w:pPr>
    <w:rPr>
      <w:rFonts w:ascii="Times New Roman" w:hAnsi="Times New Roman"/>
      <w:sz w:val="24"/>
    </w:rPr>
  </w:style>
  <w:style w:type="paragraph" w:customStyle="1" w:styleId="al">
    <w:name w:val="al"/>
    <w:basedOn w:val="Standaard"/>
    <w:rsid w:val="003826A3"/>
    <w:pPr>
      <w:spacing w:before="100" w:beforeAutospacing="1" w:after="100" w:afterAutospacing="1" w:line="240" w:lineRule="auto"/>
      <w:ind w:firstLine="0"/>
    </w:pPr>
    <w:rPr>
      <w:rFonts w:ascii="Times New Roman" w:hAnsi="Times New Roman"/>
      <w:sz w:val="24"/>
    </w:rPr>
  </w:style>
  <w:style w:type="paragraph" w:customStyle="1" w:styleId="Char1CharCharCarCarCarCarCarCarCarCarCarCar">
    <w:name w:val="Char1 Char Char Car Car Car Car Car Car Car Car Car Car"/>
    <w:basedOn w:val="Standaard"/>
    <w:next w:val="Standaard"/>
    <w:link w:val="Voetnootmarkering"/>
    <w:uiPriority w:val="99"/>
    <w:rsid w:val="004D0E95"/>
    <w:pPr>
      <w:spacing w:after="160" w:line="240" w:lineRule="exact"/>
      <w:ind w:firstLine="0"/>
    </w:pPr>
    <w:rPr>
      <w:rFonts w:ascii="Times New Roman" w:hAnsi="Times New Roman"/>
      <w:szCs w:val="20"/>
      <w:vertAlign w:val="superscript"/>
    </w:rPr>
  </w:style>
  <w:style w:type="character" w:customStyle="1" w:styleId="atomhl">
    <w:name w:val="atomhl"/>
    <w:basedOn w:val="Standaardalinea-lettertype"/>
    <w:rsid w:val="003E091E"/>
  </w:style>
  <w:style w:type="character" w:customStyle="1" w:styleId="wknlbron">
    <w:name w:val="wknl_bron"/>
    <w:basedOn w:val="Standaardalinea-lettertype"/>
    <w:rsid w:val="00413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3287">
      <w:bodyDiv w:val="1"/>
      <w:marLeft w:val="0"/>
      <w:marRight w:val="0"/>
      <w:marTop w:val="0"/>
      <w:marBottom w:val="0"/>
      <w:divBdr>
        <w:top w:val="none" w:sz="0" w:space="0" w:color="auto"/>
        <w:left w:val="none" w:sz="0" w:space="0" w:color="auto"/>
        <w:bottom w:val="none" w:sz="0" w:space="0" w:color="auto"/>
        <w:right w:val="none" w:sz="0" w:space="0" w:color="auto"/>
      </w:divBdr>
      <w:divsChild>
        <w:div w:id="638193431">
          <w:marLeft w:val="0"/>
          <w:marRight w:val="0"/>
          <w:marTop w:val="0"/>
          <w:marBottom w:val="300"/>
          <w:divBdr>
            <w:top w:val="none" w:sz="0" w:space="0" w:color="auto"/>
            <w:left w:val="none" w:sz="0" w:space="0" w:color="auto"/>
            <w:bottom w:val="none" w:sz="0" w:space="0" w:color="auto"/>
            <w:right w:val="none" w:sz="0" w:space="0" w:color="auto"/>
          </w:divBdr>
          <w:divsChild>
            <w:div w:id="1980724460">
              <w:marLeft w:val="0"/>
              <w:marRight w:val="0"/>
              <w:marTop w:val="0"/>
              <w:marBottom w:val="0"/>
              <w:divBdr>
                <w:top w:val="none" w:sz="0" w:space="0" w:color="auto"/>
                <w:left w:val="none" w:sz="0" w:space="0" w:color="auto"/>
                <w:bottom w:val="none" w:sz="0" w:space="0" w:color="auto"/>
                <w:right w:val="none" w:sz="0" w:space="0" w:color="auto"/>
              </w:divBdr>
              <w:divsChild>
                <w:div w:id="1065033119">
                  <w:marLeft w:val="0"/>
                  <w:marRight w:val="0"/>
                  <w:marTop w:val="0"/>
                  <w:marBottom w:val="0"/>
                  <w:divBdr>
                    <w:top w:val="none" w:sz="0" w:space="0" w:color="auto"/>
                    <w:left w:val="none" w:sz="0" w:space="0" w:color="auto"/>
                    <w:bottom w:val="none" w:sz="0" w:space="0" w:color="auto"/>
                    <w:right w:val="none" w:sz="0" w:space="0" w:color="auto"/>
                  </w:divBdr>
                  <w:divsChild>
                    <w:div w:id="12890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58058">
      <w:bodyDiv w:val="1"/>
      <w:marLeft w:val="0"/>
      <w:marRight w:val="0"/>
      <w:marTop w:val="0"/>
      <w:marBottom w:val="0"/>
      <w:divBdr>
        <w:top w:val="none" w:sz="0" w:space="0" w:color="auto"/>
        <w:left w:val="none" w:sz="0" w:space="0" w:color="auto"/>
        <w:bottom w:val="none" w:sz="0" w:space="0" w:color="auto"/>
        <w:right w:val="none" w:sz="0" w:space="0" w:color="auto"/>
      </w:divBdr>
    </w:div>
    <w:div w:id="209539260">
      <w:bodyDiv w:val="1"/>
      <w:marLeft w:val="0"/>
      <w:marRight w:val="0"/>
      <w:marTop w:val="0"/>
      <w:marBottom w:val="0"/>
      <w:divBdr>
        <w:top w:val="none" w:sz="0" w:space="0" w:color="auto"/>
        <w:left w:val="none" w:sz="0" w:space="0" w:color="auto"/>
        <w:bottom w:val="none" w:sz="0" w:space="0" w:color="auto"/>
        <w:right w:val="none" w:sz="0" w:space="0" w:color="auto"/>
      </w:divBdr>
      <w:divsChild>
        <w:div w:id="991910748">
          <w:marLeft w:val="0"/>
          <w:marRight w:val="0"/>
          <w:marTop w:val="0"/>
          <w:marBottom w:val="0"/>
          <w:divBdr>
            <w:top w:val="none" w:sz="0" w:space="0" w:color="auto"/>
            <w:left w:val="none" w:sz="0" w:space="0" w:color="auto"/>
            <w:bottom w:val="none" w:sz="0" w:space="0" w:color="auto"/>
            <w:right w:val="none" w:sz="0" w:space="0" w:color="auto"/>
          </w:divBdr>
          <w:divsChild>
            <w:div w:id="630019757">
              <w:marLeft w:val="0"/>
              <w:marRight w:val="0"/>
              <w:marTop w:val="0"/>
              <w:marBottom w:val="0"/>
              <w:divBdr>
                <w:top w:val="none" w:sz="0" w:space="0" w:color="auto"/>
                <w:left w:val="none" w:sz="0" w:space="0" w:color="auto"/>
                <w:bottom w:val="none" w:sz="0" w:space="0" w:color="auto"/>
                <w:right w:val="none" w:sz="0" w:space="0" w:color="auto"/>
              </w:divBdr>
              <w:divsChild>
                <w:div w:id="870142109">
                  <w:marLeft w:val="0"/>
                  <w:marRight w:val="0"/>
                  <w:marTop w:val="0"/>
                  <w:marBottom w:val="0"/>
                  <w:divBdr>
                    <w:top w:val="none" w:sz="0" w:space="0" w:color="auto"/>
                    <w:left w:val="none" w:sz="0" w:space="0" w:color="auto"/>
                    <w:bottom w:val="none" w:sz="0" w:space="0" w:color="auto"/>
                    <w:right w:val="none" w:sz="0" w:space="0" w:color="auto"/>
                  </w:divBdr>
                  <w:divsChild>
                    <w:div w:id="34159825">
                      <w:marLeft w:val="0"/>
                      <w:marRight w:val="0"/>
                      <w:marTop w:val="0"/>
                      <w:marBottom w:val="0"/>
                      <w:divBdr>
                        <w:top w:val="none" w:sz="0" w:space="0" w:color="auto"/>
                        <w:left w:val="none" w:sz="0" w:space="0" w:color="auto"/>
                        <w:bottom w:val="none" w:sz="0" w:space="0" w:color="auto"/>
                        <w:right w:val="none" w:sz="0" w:space="0" w:color="auto"/>
                      </w:divBdr>
                      <w:divsChild>
                        <w:div w:id="1780300604">
                          <w:marLeft w:val="0"/>
                          <w:marRight w:val="0"/>
                          <w:marTop w:val="0"/>
                          <w:marBottom w:val="0"/>
                          <w:divBdr>
                            <w:top w:val="none" w:sz="0" w:space="0" w:color="auto"/>
                            <w:left w:val="none" w:sz="0" w:space="0" w:color="auto"/>
                            <w:bottom w:val="none" w:sz="0" w:space="0" w:color="auto"/>
                            <w:right w:val="none" w:sz="0" w:space="0" w:color="auto"/>
                          </w:divBdr>
                          <w:divsChild>
                            <w:div w:id="119418856">
                              <w:marLeft w:val="0"/>
                              <w:marRight w:val="0"/>
                              <w:marTop w:val="0"/>
                              <w:marBottom w:val="0"/>
                              <w:divBdr>
                                <w:top w:val="none" w:sz="0" w:space="0" w:color="auto"/>
                                <w:left w:val="none" w:sz="0" w:space="0" w:color="auto"/>
                                <w:bottom w:val="none" w:sz="0" w:space="0" w:color="auto"/>
                                <w:right w:val="none" w:sz="0" w:space="0" w:color="auto"/>
                              </w:divBdr>
                              <w:divsChild>
                                <w:div w:id="1063723551">
                                  <w:marLeft w:val="0"/>
                                  <w:marRight w:val="0"/>
                                  <w:marTop w:val="0"/>
                                  <w:marBottom w:val="0"/>
                                  <w:divBdr>
                                    <w:top w:val="none" w:sz="0" w:space="0" w:color="auto"/>
                                    <w:left w:val="none" w:sz="0" w:space="0" w:color="auto"/>
                                    <w:bottom w:val="none" w:sz="0" w:space="0" w:color="auto"/>
                                    <w:right w:val="none" w:sz="0" w:space="0" w:color="auto"/>
                                  </w:divBdr>
                                  <w:divsChild>
                                    <w:div w:id="913854438">
                                      <w:marLeft w:val="0"/>
                                      <w:marRight w:val="0"/>
                                      <w:marTop w:val="240"/>
                                      <w:marBottom w:val="0"/>
                                      <w:divBdr>
                                        <w:top w:val="none" w:sz="0" w:space="0" w:color="auto"/>
                                        <w:left w:val="none" w:sz="0" w:space="0" w:color="auto"/>
                                        <w:bottom w:val="none" w:sz="0" w:space="0" w:color="auto"/>
                                        <w:right w:val="none" w:sz="0" w:space="0" w:color="auto"/>
                                      </w:divBdr>
                                    </w:div>
                                    <w:div w:id="92518959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5900687">
      <w:bodyDiv w:val="1"/>
      <w:marLeft w:val="0"/>
      <w:marRight w:val="0"/>
      <w:marTop w:val="0"/>
      <w:marBottom w:val="0"/>
      <w:divBdr>
        <w:top w:val="none" w:sz="0" w:space="0" w:color="auto"/>
        <w:left w:val="none" w:sz="0" w:space="0" w:color="auto"/>
        <w:bottom w:val="none" w:sz="0" w:space="0" w:color="auto"/>
        <w:right w:val="none" w:sz="0" w:space="0" w:color="auto"/>
      </w:divBdr>
      <w:divsChild>
        <w:div w:id="1090275804">
          <w:marLeft w:val="0"/>
          <w:marRight w:val="0"/>
          <w:marTop w:val="0"/>
          <w:marBottom w:val="0"/>
          <w:divBdr>
            <w:top w:val="none" w:sz="0" w:space="0" w:color="auto"/>
            <w:left w:val="none" w:sz="0" w:space="0" w:color="auto"/>
            <w:bottom w:val="none" w:sz="0" w:space="0" w:color="auto"/>
            <w:right w:val="none" w:sz="0" w:space="0" w:color="auto"/>
          </w:divBdr>
          <w:divsChild>
            <w:div w:id="1536389134">
              <w:marLeft w:val="0"/>
              <w:marRight w:val="0"/>
              <w:marTop w:val="260"/>
              <w:marBottom w:val="0"/>
              <w:divBdr>
                <w:top w:val="none" w:sz="0" w:space="0" w:color="auto"/>
                <w:left w:val="none" w:sz="0" w:space="0" w:color="auto"/>
                <w:bottom w:val="none" w:sz="0" w:space="0" w:color="auto"/>
                <w:right w:val="none" w:sz="0" w:space="0" w:color="auto"/>
              </w:divBdr>
            </w:div>
            <w:div w:id="1938323451">
              <w:marLeft w:val="0"/>
              <w:marRight w:val="0"/>
              <w:marTop w:val="0"/>
              <w:marBottom w:val="0"/>
              <w:divBdr>
                <w:top w:val="none" w:sz="0" w:space="0" w:color="auto"/>
                <w:left w:val="none" w:sz="0" w:space="0" w:color="auto"/>
                <w:bottom w:val="none" w:sz="0" w:space="0" w:color="auto"/>
                <w:right w:val="none" w:sz="0" w:space="0" w:color="auto"/>
              </w:divBdr>
            </w:div>
            <w:div w:id="1918661054">
              <w:marLeft w:val="0"/>
              <w:marRight w:val="0"/>
              <w:marTop w:val="0"/>
              <w:marBottom w:val="120"/>
              <w:divBdr>
                <w:top w:val="none" w:sz="0" w:space="0" w:color="auto"/>
                <w:left w:val="none" w:sz="0" w:space="0" w:color="auto"/>
                <w:bottom w:val="none" w:sz="0" w:space="0" w:color="auto"/>
                <w:right w:val="none" w:sz="0" w:space="0" w:color="auto"/>
              </w:divBdr>
            </w:div>
            <w:div w:id="99571831">
              <w:marLeft w:val="0"/>
              <w:marRight w:val="0"/>
              <w:marTop w:val="260"/>
              <w:marBottom w:val="0"/>
              <w:divBdr>
                <w:top w:val="single" w:sz="12" w:space="0" w:color="000066"/>
                <w:left w:val="single" w:sz="12" w:space="0" w:color="000066"/>
                <w:bottom w:val="single" w:sz="12" w:space="0" w:color="000066"/>
                <w:right w:val="single" w:sz="12" w:space="0" w:color="000066"/>
              </w:divBdr>
              <w:divsChild>
                <w:div w:id="650981046">
                  <w:marLeft w:val="60"/>
                  <w:marRight w:val="60"/>
                  <w:marTop w:val="60"/>
                  <w:marBottom w:val="60"/>
                  <w:divBdr>
                    <w:top w:val="none" w:sz="0" w:space="0" w:color="auto"/>
                    <w:left w:val="none" w:sz="0" w:space="0" w:color="auto"/>
                    <w:bottom w:val="none" w:sz="0" w:space="0" w:color="auto"/>
                    <w:right w:val="none" w:sz="0" w:space="0" w:color="auto"/>
                  </w:divBdr>
                </w:div>
                <w:div w:id="524288100">
                  <w:marLeft w:val="60"/>
                  <w:marRight w:val="60"/>
                  <w:marTop w:val="60"/>
                  <w:marBottom w:val="60"/>
                  <w:divBdr>
                    <w:top w:val="none" w:sz="0" w:space="0" w:color="auto"/>
                    <w:left w:val="none" w:sz="0" w:space="0" w:color="auto"/>
                    <w:bottom w:val="none" w:sz="0" w:space="0" w:color="auto"/>
                    <w:right w:val="none" w:sz="0" w:space="0" w:color="auto"/>
                  </w:divBdr>
                </w:div>
                <w:div w:id="169955318">
                  <w:marLeft w:val="60"/>
                  <w:marRight w:val="60"/>
                  <w:marTop w:val="60"/>
                  <w:marBottom w:val="60"/>
                  <w:divBdr>
                    <w:top w:val="none" w:sz="0" w:space="0" w:color="auto"/>
                    <w:left w:val="none" w:sz="0" w:space="0" w:color="auto"/>
                    <w:bottom w:val="none" w:sz="0" w:space="0" w:color="auto"/>
                    <w:right w:val="none" w:sz="0" w:space="0" w:color="auto"/>
                  </w:divBdr>
                </w:div>
                <w:div w:id="781657401">
                  <w:marLeft w:val="60"/>
                  <w:marRight w:val="60"/>
                  <w:marTop w:val="60"/>
                  <w:marBottom w:val="60"/>
                  <w:divBdr>
                    <w:top w:val="none" w:sz="0" w:space="0" w:color="auto"/>
                    <w:left w:val="none" w:sz="0" w:space="0" w:color="auto"/>
                    <w:bottom w:val="none" w:sz="0" w:space="0" w:color="auto"/>
                    <w:right w:val="none" w:sz="0" w:space="0" w:color="auto"/>
                  </w:divBdr>
                </w:div>
              </w:divsChild>
            </w:div>
            <w:div w:id="1021735769">
              <w:marLeft w:val="0"/>
              <w:marRight w:val="0"/>
              <w:marTop w:val="0"/>
              <w:marBottom w:val="180"/>
              <w:divBdr>
                <w:top w:val="none" w:sz="0" w:space="0" w:color="auto"/>
                <w:left w:val="single" w:sz="6" w:space="0" w:color="999999"/>
                <w:bottom w:val="single" w:sz="6" w:space="0" w:color="999999"/>
                <w:right w:val="single" w:sz="6" w:space="0" w:color="999999"/>
              </w:divBdr>
              <w:divsChild>
                <w:div w:id="2141026607">
                  <w:marLeft w:val="0"/>
                  <w:marRight w:val="0"/>
                  <w:marTop w:val="180"/>
                  <w:marBottom w:val="0"/>
                  <w:divBdr>
                    <w:top w:val="none" w:sz="0" w:space="0" w:color="auto"/>
                    <w:left w:val="none" w:sz="0" w:space="0" w:color="auto"/>
                    <w:bottom w:val="none" w:sz="0" w:space="0" w:color="auto"/>
                    <w:right w:val="none" w:sz="0" w:space="0" w:color="auto"/>
                  </w:divBdr>
                </w:div>
                <w:div w:id="1191918648">
                  <w:marLeft w:val="0"/>
                  <w:marRight w:val="0"/>
                  <w:marTop w:val="0"/>
                  <w:marBottom w:val="0"/>
                  <w:divBdr>
                    <w:top w:val="none" w:sz="0" w:space="0" w:color="auto"/>
                    <w:left w:val="none" w:sz="0" w:space="0" w:color="auto"/>
                    <w:bottom w:val="none" w:sz="0" w:space="0" w:color="auto"/>
                    <w:right w:val="none" w:sz="0" w:space="0" w:color="auto"/>
                  </w:divBdr>
                  <w:divsChild>
                    <w:div w:id="470513043">
                      <w:marLeft w:val="0"/>
                      <w:marRight w:val="0"/>
                      <w:marTop w:val="0"/>
                      <w:marBottom w:val="0"/>
                      <w:divBdr>
                        <w:top w:val="none" w:sz="0" w:space="0" w:color="auto"/>
                        <w:left w:val="none" w:sz="0" w:space="0" w:color="auto"/>
                        <w:bottom w:val="none" w:sz="0" w:space="0" w:color="auto"/>
                        <w:right w:val="none" w:sz="0" w:space="0" w:color="auto"/>
                      </w:divBdr>
                    </w:div>
                    <w:div w:id="83323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48305">
              <w:marLeft w:val="0"/>
              <w:marRight w:val="0"/>
              <w:marTop w:val="260"/>
              <w:marBottom w:val="0"/>
              <w:divBdr>
                <w:top w:val="none" w:sz="0" w:space="0" w:color="auto"/>
                <w:left w:val="none" w:sz="0" w:space="0" w:color="auto"/>
                <w:bottom w:val="none" w:sz="0" w:space="0" w:color="auto"/>
                <w:right w:val="none" w:sz="0" w:space="0" w:color="auto"/>
              </w:divBdr>
            </w:div>
            <w:div w:id="335302274">
              <w:marLeft w:val="0"/>
              <w:marRight w:val="0"/>
              <w:marTop w:val="400"/>
              <w:marBottom w:val="0"/>
              <w:divBdr>
                <w:top w:val="none" w:sz="0" w:space="0" w:color="auto"/>
                <w:left w:val="none" w:sz="0" w:space="0" w:color="auto"/>
                <w:bottom w:val="none" w:sz="0" w:space="0" w:color="auto"/>
                <w:right w:val="none" w:sz="0" w:space="0" w:color="auto"/>
              </w:divBdr>
              <w:divsChild>
                <w:div w:id="2120251099">
                  <w:marLeft w:val="0"/>
                  <w:marRight w:val="0"/>
                  <w:marTop w:val="0"/>
                  <w:marBottom w:val="200"/>
                  <w:divBdr>
                    <w:top w:val="none" w:sz="0" w:space="0" w:color="auto"/>
                    <w:left w:val="none" w:sz="0" w:space="0" w:color="auto"/>
                    <w:bottom w:val="none" w:sz="0" w:space="0" w:color="auto"/>
                    <w:right w:val="none" w:sz="0" w:space="0" w:color="auto"/>
                  </w:divBdr>
                  <w:divsChild>
                    <w:div w:id="309482525">
                      <w:marLeft w:val="0"/>
                      <w:marRight w:val="0"/>
                      <w:marTop w:val="0"/>
                      <w:marBottom w:val="0"/>
                      <w:divBdr>
                        <w:top w:val="none" w:sz="0" w:space="0" w:color="auto"/>
                        <w:left w:val="none" w:sz="0" w:space="0" w:color="auto"/>
                        <w:bottom w:val="none" w:sz="0" w:space="0" w:color="auto"/>
                        <w:right w:val="none" w:sz="0" w:space="0" w:color="auto"/>
                      </w:divBdr>
                    </w:div>
                    <w:div w:id="2020696804">
                      <w:marLeft w:val="0"/>
                      <w:marRight w:val="0"/>
                      <w:marTop w:val="0"/>
                      <w:marBottom w:val="0"/>
                      <w:divBdr>
                        <w:top w:val="none" w:sz="0" w:space="0" w:color="auto"/>
                        <w:left w:val="none" w:sz="0" w:space="0" w:color="auto"/>
                        <w:bottom w:val="none" w:sz="0" w:space="0" w:color="auto"/>
                        <w:right w:val="none" w:sz="0" w:space="0" w:color="auto"/>
                      </w:divBdr>
                    </w:div>
                    <w:div w:id="1820880774">
                      <w:marLeft w:val="0"/>
                      <w:marRight w:val="0"/>
                      <w:marTop w:val="0"/>
                      <w:marBottom w:val="0"/>
                      <w:divBdr>
                        <w:top w:val="none" w:sz="0" w:space="0" w:color="auto"/>
                        <w:left w:val="none" w:sz="0" w:space="0" w:color="auto"/>
                        <w:bottom w:val="none" w:sz="0" w:space="0" w:color="auto"/>
                        <w:right w:val="none" w:sz="0" w:space="0" w:color="auto"/>
                      </w:divBdr>
                    </w:div>
                  </w:divsChild>
                </w:div>
                <w:div w:id="1770734173">
                  <w:marLeft w:val="0"/>
                  <w:marRight w:val="0"/>
                  <w:marTop w:val="0"/>
                  <w:marBottom w:val="0"/>
                  <w:divBdr>
                    <w:top w:val="none" w:sz="0" w:space="0" w:color="auto"/>
                    <w:left w:val="none" w:sz="0" w:space="0" w:color="auto"/>
                    <w:bottom w:val="none" w:sz="0" w:space="0" w:color="auto"/>
                    <w:right w:val="none" w:sz="0" w:space="0" w:color="auto"/>
                  </w:divBdr>
                </w:div>
              </w:divsChild>
            </w:div>
            <w:div w:id="1835297077">
              <w:marLeft w:val="0"/>
              <w:marRight w:val="0"/>
              <w:marTop w:val="400"/>
              <w:marBottom w:val="0"/>
              <w:divBdr>
                <w:top w:val="none" w:sz="0" w:space="0" w:color="auto"/>
                <w:left w:val="none" w:sz="0" w:space="0" w:color="auto"/>
                <w:bottom w:val="none" w:sz="0" w:space="0" w:color="auto"/>
                <w:right w:val="none" w:sz="0" w:space="0" w:color="auto"/>
              </w:divBdr>
              <w:divsChild>
                <w:div w:id="1192648097">
                  <w:marLeft w:val="0"/>
                  <w:marRight w:val="0"/>
                  <w:marTop w:val="0"/>
                  <w:marBottom w:val="200"/>
                  <w:divBdr>
                    <w:top w:val="none" w:sz="0" w:space="0" w:color="auto"/>
                    <w:left w:val="none" w:sz="0" w:space="0" w:color="auto"/>
                    <w:bottom w:val="none" w:sz="0" w:space="0" w:color="auto"/>
                    <w:right w:val="none" w:sz="0" w:space="0" w:color="auto"/>
                  </w:divBdr>
                  <w:divsChild>
                    <w:div w:id="1769690326">
                      <w:marLeft w:val="0"/>
                      <w:marRight w:val="0"/>
                      <w:marTop w:val="0"/>
                      <w:marBottom w:val="0"/>
                      <w:divBdr>
                        <w:top w:val="none" w:sz="0" w:space="0" w:color="auto"/>
                        <w:left w:val="none" w:sz="0" w:space="0" w:color="auto"/>
                        <w:bottom w:val="none" w:sz="0" w:space="0" w:color="auto"/>
                        <w:right w:val="none" w:sz="0" w:space="0" w:color="auto"/>
                      </w:divBdr>
                    </w:div>
                    <w:div w:id="1195850117">
                      <w:marLeft w:val="0"/>
                      <w:marRight w:val="0"/>
                      <w:marTop w:val="0"/>
                      <w:marBottom w:val="0"/>
                      <w:divBdr>
                        <w:top w:val="none" w:sz="0" w:space="0" w:color="auto"/>
                        <w:left w:val="none" w:sz="0" w:space="0" w:color="auto"/>
                        <w:bottom w:val="none" w:sz="0" w:space="0" w:color="auto"/>
                        <w:right w:val="none" w:sz="0" w:space="0" w:color="auto"/>
                      </w:divBdr>
                    </w:div>
                    <w:div w:id="1216086945">
                      <w:marLeft w:val="0"/>
                      <w:marRight w:val="0"/>
                      <w:marTop w:val="0"/>
                      <w:marBottom w:val="0"/>
                      <w:divBdr>
                        <w:top w:val="none" w:sz="0" w:space="0" w:color="auto"/>
                        <w:left w:val="none" w:sz="0" w:space="0" w:color="auto"/>
                        <w:bottom w:val="none" w:sz="0" w:space="0" w:color="auto"/>
                        <w:right w:val="none" w:sz="0" w:space="0" w:color="auto"/>
                      </w:divBdr>
                    </w:div>
                  </w:divsChild>
                </w:div>
                <w:div w:id="680812713">
                  <w:marLeft w:val="0"/>
                  <w:marRight w:val="0"/>
                  <w:marTop w:val="0"/>
                  <w:marBottom w:val="0"/>
                  <w:divBdr>
                    <w:top w:val="none" w:sz="0" w:space="0" w:color="auto"/>
                    <w:left w:val="none" w:sz="0" w:space="0" w:color="auto"/>
                    <w:bottom w:val="none" w:sz="0" w:space="0" w:color="auto"/>
                    <w:right w:val="none" w:sz="0" w:space="0" w:color="auto"/>
                  </w:divBdr>
                  <w:divsChild>
                    <w:div w:id="330449629">
                      <w:marLeft w:val="0"/>
                      <w:marRight w:val="0"/>
                      <w:marTop w:val="0"/>
                      <w:marBottom w:val="0"/>
                      <w:divBdr>
                        <w:top w:val="none" w:sz="0" w:space="0" w:color="auto"/>
                        <w:left w:val="none" w:sz="0" w:space="0" w:color="auto"/>
                        <w:bottom w:val="none" w:sz="0" w:space="0" w:color="auto"/>
                        <w:right w:val="none" w:sz="0" w:space="0" w:color="auto"/>
                      </w:divBdr>
                    </w:div>
                  </w:divsChild>
                </w:div>
                <w:div w:id="35351735">
                  <w:marLeft w:val="0"/>
                  <w:marRight w:val="0"/>
                  <w:marTop w:val="0"/>
                  <w:marBottom w:val="0"/>
                  <w:divBdr>
                    <w:top w:val="none" w:sz="0" w:space="0" w:color="auto"/>
                    <w:left w:val="none" w:sz="0" w:space="0" w:color="auto"/>
                    <w:bottom w:val="none" w:sz="0" w:space="0" w:color="auto"/>
                    <w:right w:val="none" w:sz="0" w:space="0" w:color="auto"/>
                  </w:divBdr>
                  <w:divsChild>
                    <w:div w:id="1262103685">
                      <w:marLeft w:val="0"/>
                      <w:marRight w:val="0"/>
                      <w:marTop w:val="0"/>
                      <w:marBottom w:val="0"/>
                      <w:divBdr>
                        <w:top w:val="none" w:sz="0" w:space="0" w:color="auto"/>
                        <w:left w:val="none" w:sz="0" w:space="0" w:color="auto"/>
                        <w:bottom w:val="none" w:sz="0" w:space="0" w:color="auto"/>
                        <w:right w:val="none" w:sz="0" w:space="0" w:color="auto"/>
                      </w:divBdr>
                    </w:div>
                    <w:div w:id="2047870743">
                      <w:marLeft w:val="0"/>
                      <w:marRight w:val="0"/>
                      <w:marTop w:val="0"/>
                      <w:marBottom w:val="0"/>
                      <w:divBdr>
                        <w:top w:val="none" w:sz="0" w:space="0" w:color="auto"/>
                        <w:left w:val="none" w:sz="0" w:space="0" w:color="auto"/>
                        <w:bottom w:val="none" w:sz="0" w:space="0" w:color="auto"/>
                        <w:right w:val="none" w:sz="0" w:space="0" w:color="auto"/>
                      </w:divBdr>
                    </w:div>
                  </w:divsChild>
                </w:div>
                <w:div w:id="558789182">
                  <w:marLeft w:val="0"/>
                  <w:marRight w:val="0"/>
                  <w:marTop w:val="0"/>
                  <w:marBottom w:val="0"/>
                  <w:divBdr>
                    <w:top w:val="none" w:sz="0" w:space="0" w:color="auto"/>
                    <w:left w:val="none" w:sz="0" w:space="0" w:color="auto"/>
                    <w:bottom w:val="none" w:sz="0" w:space="0" w:color="auto"/>
                    <w:right w:val="none" w:sz="0" w:space="0" w:color="auto"/>
                  </w:divBdr>
                  <w:divsChild>
                    <w:div w:id="1478306686">
                      <w:marLeft w:val="0"/>
                      <w:marRight w:val="0"/>
                      <w:marTop w:val="0"/>
                      <w:marBottom w:val="0"/>
                      <w:divBdr>
                        <w:top w:val="none" w:sz="0" w:space="0" w:color="auto"/>
                        <w:left w:val="none" w:sz="0" w:space="0" w:color="auto"/>
                        <w:bottom w:val="none" w:sz="0" w:space="0" w:color="auto"/>
                        <w:right w:val="none" w:sz="0" w:space="0" w:color="auto"/>
                      </w:divBdr>
                    </w:div>
                    <w:div w:id="5042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131546">
      <w:bodyDiv w:val="1"/>
      <w:marLeft w:val="0"/>
      <w:marRight w:val="0"/>
      <w:marTop w:val="0"/>
      <w:marBottom w:val="0"/>
      <w:divBdr>
        <w:top w:val="none" w:sz="0" w:space="0" w:color="auto"/>
        <w:left w:val="none" w:sz="0" w:space="0" w:color="auto"/>
        <w:bottom w:val="none" w:sz="0" w:space="0" w:color="auto"/>
        <w:right w:val="none" w:sz="0" w:space="0" w:color="auto"/>
      </w:divBdr>
      <w:divsChild>
        <w:div w:id="1330325324">
          <w:marLeft w:val="150"/>
          <w:marRight w:val="0"/>
          <w:marTop w:val="0"/>
          <w:marBottom w:val="0"/>
          <w:divBdr>
            <w:top w:val="none" w:sz="0" w:space="0" w:color="auto"/>
            <w:left w:val="none" w:sz="0" w:space="0" w:color="auto"/>
            <w:bottom w:val="none" w:sz="0" w:space="0" w:color="auto"/>
            <w:right w:val="none" w:sz="0" w:space="0" w:color="auto"/>
          </w:divBdr>
          <w:divsChild>
            <w:div w:id="1527795669">
              <w:marLeft w:val="0"/>
              <w:marRight w:val="0"/>
              <w:marTop w:val="0"/>
              <w:marBottom w:val="0"/>
              <w:divBdr>
                <w:top w:val="none" w:sz="0" w:space="0" w:color="auto"/>
                <w:left w:val="none" w:sz="0" w:space="0" w:color="auto"/>
                <w:bottom w:val="none" w:sz="0" w:space="0" w:color="auto"/>
                <w:right w:val="none" w:sz="0" w:space="0" w:color="auto"/>
              </w:divBdr>
              <w:divsChild>
                <w:div w:id="9797323">
                  <w:marLeft w:val="0"/>
                  <w:marRight w:val="0"/>
                  <w:marTop w:val="0"/>
                  <w:marBottom w:val="0"/>
                  <w:divBdr>
                    <w:top w:val="none" w:sz="0" w:space="0" w:color="auto"/>
                    <w:left w:val="none" w:sz="0" w:space="0" w:color="auto"/>
                    <w:bottom w:val="none" w:sz="0" w:space="0" w:color="auto"/>
                    <w:right w:val="none" w:sz="0" w:space="0" w:color="auto"/>
                  </w:divBdr>
                  <w:divsChild>
                    <w:div w:id="1956213127">
                      <w:marLeft w:val="0"/>
                      <w:marRight w:val="0"/>
                      <w:marTop w:val="0"/>
                      <w:marBottom w:val="0"/>
                      <w:divBdr>
                        <w:top w:val="none" w:sz="0" w:space="0" w:color="auto"/>
                        <w:left w:val="none" w:sz="0" w:space="0" w:color="auto"/>
                        <w:bottom w:val="none" w:sz="0" w:space="0" w:color="auto"/>
                        <w:right w:val="none" w:sz="0" w:space="0" w:color="auto"/>
                      </w:divBdr>
                      <w:divsChild>
                        <w:div w:id="1448506743">
                          <w:marLeft w:val="0"/>
                          <w:marRight w:val="0"/>
                          <w:marTop w:val="0"/>
                          <w:marBottom w:val="0"/>
                          <w:divBdr>
                            <w:top w:val="none" w:sz="0" w:space="0" w:color="auto"/>
                            <w:left w:val="none" w:sz="0" w:space="0" w:color="auto"/>
                            <w:bottom w:val="none" w:sz="0" w:space="0" w:color="auto"/>
                            <w:right w:val="none" w:sz="0" w:space="0" w:color="auto"/>
                          </w:divBdr>
                          <w:divsChild>
                            <w:div w:id="533035402">
                              <w:marLeft w:val="0"/>
                              <w:marRight w:val="0"/>
                              <w:marTop w:val="0"/>
                              <w:marBottom w:val="0"/>
                              <w:divBdr>
                                <w:top w:val="none" w:sz="0" w:space="0" w:color="auto"/>
                                <w:left w:val="none" w:sz="0" w:space="0" w:color="auto"/>
                                <w:bottom w:val="none" w:sz="0" w:space="0" w:color="auto"/>
                                <w:right w:val="none" w:sz="0" w:space="0" w:color="auto"/>
                              </w:divBdr>
                              <w:divsChild>
                                <w:div w:id="185143548">
                                  <w:marLeft w:val="0"/>
                                  <w:marRight w:val="0"/>
                                  <w:marTop w:val="0"/>
                                  <w:marBottom w:val="0"/>
                                  <w:divBdr>
                                    <w:top w:val="none" w:sz="0" w:space="0" w:color="auto"/>
                                    <w:left w:val="none" w:sz="0" w:space="0" w:color="auto"/>
                                    <w:bottom w:val="none" w:sz="0" w:space="0" w:color="auto"/>
                                    <w:right w:val="none" w:sz="0" w:space="0" w:color="auto"/>
                                  </w:divBdr>
                                  <w:divsChild>
                                    <w:div w:id="1226332110">
                                      <w:marLeft w:val="0"/>
                                      <w:marRight w:val="0"/>
                                      <w:marTop w:val="0"/>
                                      <w:marBottom w:val="0"/>
                                      <w:divBdr>
                                        <w:top w:val="none" w:sz="0" w:space="0" w:color="auto"/>
                                        <w:left w:val="none" w:sz="0" w:space="0" w:color="auto"/>
                                        <w:bottom w:val="none" w:sz="0" w:space="0" w:color="auto"/>
                                        <w:right w:val="none" w:sz="0" w:space="0" w:color="auto"/>
                                      </w:divBdr>
                                      <w:divsChild>
                                        <w:div w:id="1587106360">
                                          <w:marLeft w:val="0"/>
                                          <w:marRight w:val="0"/>
                                          <w:marTop w:val="0"/>
                                          <w:marBottom w:val="0"/>
                                          <w:divBdr>
                                            <w:top w:val="none" w:sz="0" w:space="0" w:color="auto"/>
                                            <w:left w:val="none" w:sz="0" w:space="0" w:color="auto"/>
                                            <w:bottom w:val="none" w:sz="0" w:space="0" w:color="auto"/>
                                            <w:right w:val="none" w:sz="0" w:space="0" w:color="auto"/>
                                          </w:divBdr>
                                          <w:divsChild>
                                            <w:div w:id="653291110">
                                              <w:marLeft w:val="0"/>
                                              <w:marRight w:val="0"/>
                                              <w:marTop w:val="0"/>
                                              <w:marBottom w:val="0"/>
                                              <w:divBdr>
                                                <w:top w:val="none" w:sz="0" w:space="0" w:color="auto"/>
                                                <w:left w:val="none" w:sz="0" w:space="0" w:color="auto"/>
                                                <w:bottom w:val="none" w:sz="0" w:space="0" w:color="auto"/>
                                                <w:right w:val="none" w:sz="0" w:space="0" w:color="auto"/>
                                              </w:divBdr>
                                              <w:divsChild>
                                                <w:div w:id="623195377">
                                                  <w:marLeft w:val="0"/>
                                                  <w:marRight w:val="0"/>
                                                  <w:marTop w:val="0"/>
                                                  <w:marBottom w:val="0"/>
                                                  <w:divBdr>
                                                    <w:top w:val="none" w:sz="0" w:space="0" w:color="auto"/>
                                                    <w:left w:val="none" w:sz="0" w:space="0" w:color="auto"/>
                                                    <w:bottom w:val="none" w:sz="0" w:space="0" w:color="auto"/>
                                                    <w:right w:val="none" w:sz="0" w:space="0" w:color="auto"/>
                                                  </w:divBdr>
                                                  <w:divsChild>
                                                    <w:div w:id="6157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3548203">
      <w:bodyDiv w:val="1"/>
      <w:marLeft w:val="0"/>
      <w:marRight w:val="0"/>
      <w:marTop w:val="0"/>
      <w:marBottom w:val="0"/>
      <w:divBdr>
        <w:top w:val="none" w:sz="0" w:space="0" w:color="auto"/>
        <w:left w:val="none" w:sz="0" w:space="0" w:color="auto"/>
        <w:bottom w:val="none" w:sz="0" w:space="0" w:color="auto"/>
        <w:right w:val="none" w:sz="0" w:space="0" w:color="auto"/>
      </w:divBdr>
      <w:divsChild>
        <w:div w:id="77335887">
          <w:marLeft w:val="0"/>
          <w:marRight w:val="0"/>
          <w:marTop w:val="0"/>
          <w:marBottom w:val="0"/>
          <w:divBdr>
            <w:top w:val="none" w:sz="0" w:space="0" w:color="auto"/>
            <w:left w:val="none" w:sz="0" w:space="0" w:color="auto"/>
            <w:bottom w:val="none" w:sz="0" w:space="0" w:color="auto"/>
            <w:right w:val="none" w:sz="0" w:space="0" w:color="auto"/>
          </w:divBdr>
        </w:div>
      </w:divsChild>
    </w:div>
    <w:div w:id="509031188">
      <w:bodyDiv w:val="1"/>
      <w:marLeft w:val="0"/>
      <w:marRight w:val="0"/>
      <w:marTop w:val="0"/>
      <w:marBottom w:val="0"/>
      <w:divBdr>
        <w:top w:val="none" w:sz="0" w:space="0" w:color="auto"/>
        <w:left w:val="none" w:sz="0" w:space="0" w:color="auto"/>
        <w:bottom w:val="none" w:sz="0" w:space="0" w:color="auto"/>
        <w:right w:val="none" w:sz="0" w:space="0" w:color="auto"/>
      </w:divBdr>
    </w:div>
    <w:div w:id="550962063">
      <w:bodyDiv w:val="1"/>
      <w:marLeft w:val="0"/>
      <w:marRight w:val="0"/>
      <w:marTop w:val="0"/>
      <w:marBottom w:val="0"/>
      <w:divBdr>
        <w:top w:val="none" w:sz="0" w:space="0" w:color="auto"/>
        <w:left w:val="none" w:sz="0" w:space="0" w:color="auto"/>
        <w:bottom w:val="none" w:sz="0" w:space="0" w:color="auto"/>
        <w:right w:val="none" w:sz="0" w:space="0" w:color="auto"/>
      </w:divBdr>
      <w:divsChild>
        <w:div w:id="2091274593">
          <w:marLeft w:val="150"/>
          <w:marRight w:val="0"/>
          <w:marTop w:val="0"/>
          <w:marBottom w:val="0"/>
          <w:divBdr>
            <w:top w:val="none" w:sz="0" w:space="0" w:color="auto"/>
            <w:left w:val="none" w:sz="0" w:space="0" w:color="auto"/>
            <w:bottom w:val="none" w:sz="0" w:space="0" w:color="auto"/>
            <w:right w:val="none" w:sz="0" w:space="0" w:color="auto"/>
          </w:divBdr>
          <w:divsChild>
            <w:div w:id="748576594">
              <w:marLeft w:val="0"/>
              <w:marRight w:val="0"/>
              <w:marTop w:val="0"/>
              <w:marBottom w:val="0"/>
              <w:divBdr>
                <w:top w:val="none" w:sz="0" w:space="0" w:color="auto"/>
                <w:left w:val="none" w:sz="0" w:space="0" w:color="auto"/>
                <w:bottom w:val="none" w:sz="0" w:space="0" w:color="auto"/>
                <w:right w:val="none" w:sz="0" w:space="0" w:color="auto"/>
              </w:divBdr>
              <w:divsChild>
                <w:div w:id="1935817169">
                  <w:marLeft w:val="0"/>
                  <w:marRight w:val="0"/>
                  <w:marTop w:val="0"/>
                  <w:marBottom w:val="0"/>
                  <w:divBdr>
                    <w:top w:val="none" w:sz="0" w:space="0" w:color="auto"/>
                    <w:left w:val="none" w:sz="0" w:space="0" w:color="auto"/>
                    <w:bottom w:val="none" w:sz="0" w:space="0" w:color="auto"/>
                    <w:right w:val="none" w:sz="0" w:space="0" w:color="auto"/>
                  </w:divBdr>
                  <w:divsChild>
                    <w:div w:id="612858331">
                      <w:marLeft w:val="0"/>
                      <w:marRight w:val="0"/>
                      <w:marTop w:val="0"/>
                      <w:marBottom w:val="0"/>
                      <w:divBdr>
                        <w:top w:val="none" w:sz="0" w:space="0" w:color="auto"/>
                        <w:left w:val="none" w:sz="0" w:space="0" w:color="auto"/>
                        <w:bottom w:val="none" w:sz="0" w:space="0" w:color="auto"/>
                        <w:right w:val="none" w:sz="0" w:space="0" w:color="auto"/>
                      </w:divBdr>
                      <w:divsChild>
                        <w:div w:id="1597058038">
                          <w:marLeft w:val="0"/>
                          <w:marRight w:val="0"/>
                          <w:marTop w:val="0"/>
                          <w:marBottom w:val="0"/>
                          <w:divBdr>
                            <w:top w:val="none" w:sz="0" w:space="0" w:color="auto"/>
                            <w:left w:val="none" w:sz="0" w:space="0" w:color="auto"/>
                            <w:bottom w:val="none" w:sz="0" w:space="0" w:color="auto"/>
                            <w:right w:val="none" w:sz="0" w:space="0" w:color="auto"/>
                          </w:divBdr>
                          <w:divsChild>
                            <w:div w:id="702097286">
                              <w:marLeft w:val="0"/>
                              <w:marRight w:val="0"/>
                              <w:marTop w:val="0"/>
                              <w:marBottom w:val="0"/>
                              <w:divBdr>
                                <w:top w:val="none" w:sz="0" w:space="0" w:color="auto"/>
                                <w:left w:val="none" w:sz="0" w:space="0" w:color="auto"/>
                                <w:bottom w:val="none" w:sz="0" w:space="0" w:color="auto"/>
                                <w:right w:val="none" w:sz="0" w:space="0" w:color="auto"/>
                              </w:divBdr>
                              <w:divsChild>
                                <w:div w:id="179857800">
                                  <w:marLeft w:val="0"/>
                                  <w:marRight w:val="0"/>
                                  <w:marTop w:val="0"/>
                                  <w:marBottom w:val="0"/>
                                  <w:divBdr>
                                    <w:top w:val="none" w:sz="0" w:space="0" w:color="auto"/>
                                    <w:left w:val="none" w:sz="0" w:space="0" w:color="auto"/>
                                    <w:bottom w:val="none" w:sz="0" w:space="0" w:color="auto"/>
                                    <w:right w:val="none" w:sz="0" w:space="0" w:color="auto"/>
                                  </w:divBdr>
                                  <w:divsChild>
                                    <w:div w:id="1357775946">
                                      <w:marLeft w:val="0"/>
                                      <w:marRight w:val="0"/>
                                      <w:marTop w:val="0"/>
                                      <w:marBottom w:val="0"/>
                                      <w:divBdr>
                                        <w:top w:val="none" w:sz="0" w:space="0" w:color="auto"/>
                                        <w:left w:val="none" w:sz="0" w:space="0" w:color="auto"/>
                                        <w:bottom w:val="none" w:sz="0" w:space="0" w:color="auto"/>
                                        <w:right w:val="none" w:sz="0" w:space="0" w:color="auto"/>
                                      </w:divBdr>
                                      <w:divsChild>
                                        <w:div w:id="94441552">
                                          <w:marLeft w:val="0"/>
                                          <w:marRight w:val="0"/>
                                          <w:marTop w:val="0"/>
                                          <w:marBottom w:val="0"/>
                                          <w:divBdr>
                                            <w:top w:val="none" w:sz="0" w:space="0" w:color="auto"/>
                                            <w:left w:val="none" w:sz="0" w:space="0" w:color="auto"/>
                                            <w:bottom w:val="none" w:sz="0" w:space="0" w:color="auto"/>
                                            <w:right w:val="none" w:sz="0" w:space="0" w:color="auto"/>
                                          </w:divBdr>
                                          <w:divsChild>
                                            <w:div w:id="724452834">
                                              <w:marLeft w:val="0"/>
                                              <w:marRight w:val="0"/>
                                              <w:marTop w:val="0"/>
                                              <w:marBottom w:val="0"/>
                                              <w:divBdr>
                                                <w:top w:val="none" w:sz="0" w:space="0" w:color="auto"/>
                                                <w:left w:val="none" w:sz="0" w:space="0" w:color="auto"/>
                                                <w:bottom w:val="none" w:sz="0" w:space="0" w:color="auto"/>
                                                <w:right w:val="none" w:sz="0" w:space="0" w:color="auto"/>
                                              </w:divBdr>
                                              <w:divsChild>
                                                <w:div w:id="2091386771">
                                                  <w:marLeft w:val="0"/>
                                                  <w:marRight w:val="0"/>
                                                  <w:marTop w:val="0"/>
                                                  <w:marBottom w:val="0"/>
                                                  <w:divBdr>
                                                    <w:top w:val="none" w:sz="0" w:space="0" w:color="auto"/>
                                                    <w:left w:val="none" w:sz="0" w:space="0" w:color="auto"/>
                                                    <w:bottom w:val="none" w:sz="0" w:space="0" w:color="auto"/>
                                                    <w:right w:val="none" w:sz="0" w:space="0" w:color="auto"/>
                                                  </w:divBdr>
                                                  <w:divsChild>
                                                    <w:div w:id="19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8274616">
      <w:bodyDiv w:val="1"/>
      <w:marLeft w:val="0"/>
      <w:marRight w:val="0"/>
      <w:marTop w:val="0"/>
      <w:marBottom w:val="0"/>
      <w:divBdr>
        <w:top w:val="none" w:sz="0" w:space="0" w:color="auto"/>
        <w:left w:val="none" w:sz="0" w:space="0" w:color="auto"/>
        <w:bottom w:val="none" w:sz="0" w:space="0" w:color="auto"/>
        <w:right w:val="none" w:sz="0" w:space="0" w:color="auto"/>
      </w:divBdr>
    </w:div>
    <w:div w:id="601185631">
      <w:bodyDiv w:val="1"/>
      <w:marLeft w:val="0"/>
      <w:marRight w:val="0"/>
      <w:marTop w:val="0"/>
      <w:marBottom w:val="0"/>
      <w:divBdr>
        <w:top w:val="none" w:sz="0" w:space="0" w:color="auto"/>
        <w:left w:val="none" w:sz="0" w:space="0" w:color="auto"/>
        <w:bottom w:val="none" w:sz="0" w:space="0" w:color="auto"/>
        <w:right w:val="none" w:sz="0" w:space="0" w:color="auto"/>
      </w:divBdr>
    </w:div>
    <w:div w:id="601188721">
      <w:bodyDiv w:val="1"/>
      <w:marLeft w:val="0"/>
      <w:marRight w:val="0"/>
      <w:marTop w:val="0"/>
      <w:marBottom w:val="0"/>
      <w:divBdr>
        <w:top w:val="none" w:sz="0" w:space="0" w:color="auto"/>
        <w:left w:val="none" w:sz="0" w:space="0" w:color="auto"/>
        <w:bottom w:val="none" w:sz="0" w:space="0" w:color="auto"/>
        <w:right w:val="none" w:sz="0" w:space="0" w:color="auto"/>
      </w:divBdr>
      <w:divsChild>
        <w:div w:id="480662389">
          <w:marLeft w:val="0"/>
          <w:marRight w:val="0"/>
          <w:marTop w:val="135"/>
          <w:marBottom w:val="135"/>
          <w:divBdr>
            <w:top w:val="none" w:sz="0" w:space="0" w:color="auto"/>
            <w:left w:val="none" w:sz="0" w:space="0" w:color="auto"/>
            <w:bottom w:val="none" w:sz="0" w:space="0" w:color="auto"/>
            <w:right w:val="none" w:sz="0" w:space="0" w:color="auto"/>
          </w:divBdr>
        </w:div>
        <w:div w:id="1137991833">
          <w:marLeft w:val="0"/>
          <w:marRight w:val="0"/>
          <w:marTop w:val="135"/>
          <w:marBottom w:val="135"/>
          <w:divBdr>
            <w:top w:val="none" w:sz="0" w:space="0" w:color="auto"/>
            <w:left w:val="none" w:sz="0" w:space="0" w:color="auto"/>
            <w:bottom w:val="none" w:sz="0" w:space="0" w:color="auto"/>
            <w:right w:val="none" w:sz="0" w:space="0" w:color="auto"/>
          </w:divBdr>
        </w:div>
        <w:div w:id="1351762551">
          <w:marLeft w:val="0"/>
          <w:marRight w:val="0"/>
          <w:marTop w:val="135"/>
          <w:marBottom w:val="135"/>
          <w:divBdr>
            <w:top w:val="none" w:sz="0" w:space="0" w:color="auto"/>
            <w:left w:val="none" w:sz="0" w:space="0" w:color="auto"/>
            <w:bottom w:val="none" w:sz="0" w:space="0" w:color="auto"/>
            <w:right w:val="none" w:sz="0" w:space="0" w:color="auto"/>
          </w:divBdr>
        </w:div>
        <w:div w:id="1608998459">
          <w:marLeft w:val="0"/>
          <w:marRight w:val="0"/>
          <w:marTop w:val="135"/>
          <w:marBottom w:val="135"/>
          <w:divBdr>
            <w:top w:val="none" w:sz="0" w:space="0" w:color="auto"/>
            <w:left w:val="none" w:sz="0" w:space="0" w:color="auto"/>
            <w:bottom w:val="none" w:sz="0" w:space="0" w:color="auto"/>
            <w:right w:val="none" w:sz="0" w:space="0" w:color="auto"/>
          </w:divBdr>
        </w:div>
        <w:div w:id="1828782382">
          <w:marLeft w:val="0"/>
          <w:marRight w:val="0"/>
          <w:marTop w:val="135"/>
          <w:marBottom w:val="135"/>
          <w:divBdr>
            <w:top w:val="none" w:sz="0" w:space="0" w:color="auto"/>
            <w:left w:val="none" w:sz="0" w:space="0" w:color="auto"/>
            <w:bottom w:val="none" w:sz="0" w:space="0" w:color="auto"/>
            <w:right w:val="none" w:sz="0" w:space="0" w:color="auto"/>
          </w:divBdr>
        </w:div>
      </w:divsChild>
    </w:div>
    <w:div w:id="604963407">
      <w:bodyDiv w:val="1"/>
      <w:marLeft w:val="0"/>
      <w:marRight w:val="0"/>
      <w:marTop w:val="0"/>
      <w:marBottom w:val="0"/>
      <w:divBdr>
        <w:top w:val="none" w:sz="0" w:space="0" w:color="auto"/>
        <w:left w:val="none" w:sz="0" w:space="0" w:color="auto"/>
        <w:bottom w:val="none" w:sz="0" w:space="0" w:color="auto"/>
        <w:right w:val="none" w:sz="0" w:space="0" w:color="auto"/>
      </w:divBdr>
      <w:divsChild>
        <w:div w:id="2137141416">
          <w:marLeft w:val="0"/>
          <w:marRight w:val="0"/>
          <w:marTop w:val="0"/>
          <w:marBottom w:val="0"/>
          <w:divBdr>
            <w:top w:val="none" w:sz="0" w:space="0" w:color="auto"/>
            <w:left w:val="none" w:sz="0" w:space="0" w:color="auto"/>
            <w:bottom w:val="none" w:sz="0" w:space="0" w:color="auto"/>
            <w:right w:val="none" w:sz="0" w:space="0" w:color="auto"/>
          </w:divBdr>
          <w:divsChild>
            <w:div w:id="611861886">
              <w:marLeft w:val="0"/>
              <w:marRight w:val="0"/>
              <w:marTop w:val="200"/>
              <w:marBottom w:val="0"/>
              <w:divBdr>
                <w:top w:val="none" w:sz="0" w:space="0" w:color="auto"/>
                <w:left w:val="none" w:sz="0" w:space="0" w:color="auto"/>
                <w:bottom w:val="none" w:sz="0" w:space="0" w:color="auto"/>
                <w:right w:val="none" w:sz="0" w:space="0" w:color="auto"/>
              </w:divBdr>
              <w:divsChild>
                <w:div w:id="602610077">
                  <w:marLeft w:val="0"/>
                  <w:marRight w:val="0"/>
                  <w:marTop w:val="200"/>
                  <w:marBottom w:val="0"/>
                  <w:divBdr>
                    <w:top w:val="none" w:sz="0" w:space="0" w:color="auto"/>
                    <w:left w:val="none" w:sz="0" w:space="0" w:color="auto"/>
                    <w:bottom w:val="none" w:sz="0" w:space="0" w:color="auto"/>
                    <w:right w:val="none" w:sz="0" w:space="0" w:color="auto"/>
                  </w:divBdr>
                  <w:divsChild>
                    <w:div w:id="391001916">
                      <w:marLeft w:val="0"/>
                      <w:marRight w:val="0"/>
                      <w:marTop w:val="200"/>
                      <w:marBottom w:val="0"/>
                      <w:divBdr>
                        <w:top w:val="none" w:sz="0" w:space="0" w:color="auto"/>
                        <w:left w:val="none" w:sz="0" w:space="0" w:color="auto"/>
                        <w:bottom w:val="none" w:sz="0" w:space="0" w:color="auto"/>
                        <w:right w:val="none" w:sz="0" w:space="0" w:color="auto"/>
                      </w:divBdr>
                      <w:divsChild>
                        <w:div w:id="295718444">
                          <w:marLeft w:val="0"/>
                          <w:marRight w:val="0"/>
                          <w:marTop w:val="0"/>
                          <w:marBottom w:val="0"/>
                          <w:divBdr>
                            <w:top w:val="none" w:sz="0" w:space="0" w:color="auto"/>
                            <w:left w:val="none" w:sz="0" w:space="0" w:color="auto"/>
                            <w:bottom w:val="none" w:sz="0" w:space="0" w:color="auto"/>
                            <w:right w:val="none" w:sz="0" w:space="0" w:color="auto"/>
                          </w:divBdr>
                          <w:divsChild>
                            <w:div w:id="777526563">
                              <w:marLeft w:val="0"/>
                              <w:marRight w:val="0"/>
                              <w:marTop w:val="135"/>
                              <w:marBottom w:val="135"/>
                              <w:divBdr>
                                <w:top w:val="none" w:sz="0" w:space="0" w:color="auto"/>
                                <w:left w:val="none" w:sz="0" w:space="0" w:color="auto"/>
                                <w:bottom w:val="none" w:sz="0" w:space="0" w:color="auto"/>
                                <w:right w:val="none" w:sz="0" w:space="0" w:color="auto"/>
                              </w:divBdr>
                            </w:div>
                            <w:div w:id="1397241400">
                              <w:marLeft w:val="0"/>
                              <w:marRight w:val="0"/>
                              <w:marTop w:val="135"/>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237019">
      <w:bodyDiv w:val="1"/>
      <w:marLeft w:val="0"/>
      <w:marRight w:val="0"/>
      <w:marTop w:val="0"/>
      <w:marBottom w:val="0"/>
      <w:divBdr>
        <w:top w:val="none" w:sz="0" w:space="0" w:color="auto"/>
        <w:left w:val="none" w:sz="0" w:space="0" w:color="auto"/>
        <w:bottom w:val="none" w:sz="0" w:space="0" w:color="auto"/>
        <w:right w:val="none" w:sz="0" w:space="0" w:color="auto"/>
      </w:divBdr>
    </w:div>
    <w:div w:id="666784522">
      <w:bodyDiv w:val="1"/>
      <w:marLeft w:val="0"/>
      <w:marRight w:val="0"/>
      <w:marTop w:val="0"/>
      <w:marBottom w:val="0"/>
      <w:divBdr>
        <w:top w:val="none" w:sz="0" w:space="0" w:color="auto"/>
        <w:left w:val="none" w:sz="0" w:space="0" w:color="auto"/>
        <w:bottom w:val="none" w:sz="0" w:space="0" w:color="auto"/>
        <w:right w:val="none" w:sz="0" w:space="0" w:color="auto"/>
      </w:divBdr>
    </w:div>
    <w:div w:id="783312173">
      <w:bodyDiv w:val="1"/>
      <w:marLeft w:val="0"/>
      <w:marRight w:val="0"/>
      <w:marTop w:val="0"/>
      <w:marBottom w:val="0"/>
      <w:divBdr>
        <w:top w:val="none" w:sz="0" w:space="0" w:color="auto"/>
        <w:left w:val="none" w:sz="0" w:space="0" w:color="auto"/>
        <w:bottom w:val="none" w:sz="0" w:space="0" w:color="auto"/>
        <w:right w:val="none" w:sz="0" w:space="0" w:color="auto"/>
      </w:divBdr>
    </w:div>
    <w:div w:id="938372129">
      <w:bodyDiv w:val="1"/>
      <w:marLeft w:val="0"/>
      <w:marRight w:val="0"/>
      <w:marTop w:val="0"/>
      <w:marBottom w:val="0"/>
      <w:divBdr>
        <w:top w:val="none" w:sz="0" w:space="0" w:color="auto"/>
        <w:left w:val="none" w:sz="0" w:space="0" w:color="auto"/>
        <w:bottom w:val="none" w:sz="0" w:space="0" w:color="auto"/>
        <w:right w:val="none" w:sz="0" w:space="0" w:color="auto"/>
      </w:divBdr>
    </w:div>
    <w:div w:id="1026366962">
      <w:bodyDiv w:val="1"/>
      <w:marLeft w:val="0"/>
      <w:marRight w:val="0"/>
      <w:marTop w:val="0"/>
      <w:marBottom w:val="0"/>
      <w:divBdr>
        <w:top w:val="none" w:sz="0" w:space="0" w:color="auto"/>
        <w:left w:val="none" w:sz="0" w:space="0" w:color="auto"/>
        <w:bottom w:val="none" w:sz="0" w:space="0" w:color="auto"/>
        <w:right w:val="none" w:sz="0" w:space="0" w:color="auto"/>
      </w:divBdr>
    </w:div>
    <w:div w:id="1043945450">
      <w:bodyDiv w:val="1"/>
      <w:marLeft w:val="0"/>
      <w:marRight w:val="0"/>
      <w:marTop w:val="0"/>
      <w:marBottom w:val="0"/>
      <w:divBdr>
        <w:top w:val="none" w:sz="0" w:space="0" w:color="auto"/>
        <w:left w:val="none" w:sz="0" w:space="0" w:color="auto"/>
        <w:bottom w:val="none" w:sz="0" w:space="0" w:color="auto"/>
        <w:right w:val="none" w:sz="0" w:space="0" w:color="auto"/>
      </w:divBdr>
    </w:div>
    <w:div w:id="1053771902">
      <w:bodyDiv w:val="1"/>
      <w:marLeft w:val="0"/>
      <w:marRight w:val="0"/>
      <w:marTop w:val="0"/>
      <w:marBottom w:val="0"/>
      <w:divBdr>
        <w:top w:val="none" w:sz="0" w:space="0" w:color="auto"/>
        <w:left w:val="none" w:sz="0" w:space="0" w:color="auto"/>
        <w:bottom w:val="none" w:sz="0" w:space="0" w:color="auto"/>
        <w:right w:val="none" w:sz="0" w:space="0" w:color="auto"/>
      </w:divBdr>
      <w:divsChild>
        <w:div w:id="672685498">
          <w:marLeft w:val="0"/>
          <w:marRight w:val="0"/>
          <w:marTop w:val="0"/>
          <w:marBottom w:val="0"/>
          <w:divBdr>
            <w:top w:val="none" w:sz="0" w:space="0" w:color="auto"/>
            <w:left w:val="none" w:sz="0" w:space="0" w:color="auto"/>
            <w:bottom w:val="none" w:sz="0" w:space="0" w:color="auto"/>
            <w:right w:val="none" w:sz="0" w:space="0" w:color="auto"/>
          </w:divBdr>
          <w:divsChild>
            <w:div w:id="37357279">
              <w:marLeft w:val="0"/>
              <w:marRight w:val="0"/>
              <w:marTop w:val="200"/>
              <w:marBottom w:val="0"/>
              <w:divBdr>
                <w:top w:val="none" w:sz="0" w:space="0" w:color="auto"/>
                <w:left w:val="none" w:sz="0" w:space="0" w:color="auto"/>
                <w:bottom w:val="none" w:sz="0" w:space="0" w:color="auto"/>
                <w:right w:val="none" w:sz="0" w:space="0" w:color="auto"/>
              </w:divBdr>
              <w:divsChild>
                <w:div w:id="2125148163">
                  <w:marLeft w:val="0"/>
                  <w:marRight w:val="0"/>
                  <w:marTop w:val="200"/>
                  <w:marBottom w:val="0"/>
                  <w:divBdr>
                    <w:top w:val="none" w:sz="0" w:space="0" w:color="auto"/>
                    <w:left w:val="none" w:sz="0" w:space="0" w:color="auto"/>
                    <w:bottom w:val="none" w:sz="0" w:space="0" w:color="auto"/>
                    <w:right w:val="none" w:sz="0" w:space="0" w:color="auto"/>
                  </w:divBdr>
                  <w:divsChild>
                    <w:div w:id="1579166429">
                      <w:marLeft w:val="0"/>
                      <w:marRight w:val="0"/>
                      <w:marTop w:val="200"/>
                      <w:marBottom w:val="0"/>
                      <w:divBdr>
                        <w:top w:val="none" w:sz="0" w:space="0" w:color="auto"/>
                        <w:left w:val="none" w:sz="0" w:space="0" w:color="auto"/>
                        <w:bottom w:val="none" w:sz="0" w:space="0" w:color="auto"/>
                        <w:right w:val="none" w:sz="0" w:space="0" w:color="auto"/>
                      </w:divBdr>
                      <w:divsChild>
                        <w:div w:id="1569068389">
                          <w:marLeft w:val="0"/>
                          <w:marRight w:val="0"/>
                          <w:marTop w:val="200"/>
                          <w:marBottom w:val="0"/>
                          <w:divBdr>
                            <w:top w:val="none" w:sz="0" w:space="0" w:color="auto"/>
                            <w:left w:val="none" w:sz="0" w:space="0" w:color="auto"/>
                            <w:bottom w:val="none" w:sz="0" w:space="0" w:color="auto"/>
                            <w:right w:val="none" w:sz="0" w:space="0" w:color="auto"/>
                          </w:divBdr>
                          <w:divsChild>
                            <w:div w:id="184175016">
                              <w:marLeft w:val="0"/>
                              <w:marRight w:val="0"/>
                              <w:marTop w:val="0"/>
                              <w:marBottom w:val="0"/>
                              <w:divBdr>
                                <w:top w:val="none" w:sz="0" w:space="0" w:color="auto"/>
                                <w:left w:val="none" w:sz="0" w:space="0" w:color="auto"/>
                                <w:bottom w:val="none" w:sz="0" w:space="0" w:color="auto"/>
                                <w:right w:val="none" w:sz="0" w:space="0" w:color="auto"/>
                              </w:divBdr>
                              <w:divsChild>
                                <w:div w:id="1845896365">
                                  <w:marLeft w:val="0"/>
                                  <w:marRight w:val="0"/>
                                  <w:marTop w:val="135"/>
                                  <w:marBottom w:val="135"/>
                                  <w:divBdr>
                                    <w:top w:val="none" w:sz="0" w:space="0" w:color="auto"/>
                                    <w:left w:val="none" w:sz="0" w:space="0" w:color="auto"/>
                                    <w:bottom w:val="none" w:sz="0" w:space="0" w:color="auto"/>
                                    <w:right w:val="none" w:sz="0" w:space="0" w:color="auto"/>
                                  </w:divBdr>
                                </w:div>
                                <w:div w:id="37053591">
                                  <w:marLeft w:val="0"/>
                                  <w:marRight w:val="0"/>
                                  <w:marTop w:val="135"/>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5248708">
      <w:bodyDiv w:val="1"/>
      <w:marLeft w:val="0"/>
      <w:marRight w:val="0"/>
      <w:marTop w:val="0"/>
      <w:marBottom w:val="0"/>
      <w:divBdr>
        <w:top w:val="none" w:sz="0" w:space="0" w:color="auto"/>
        <w:left w:val="none" w:sz="0" w:space="0" w:color="auto"/>
        <w:bottom w:val="none" w:sz="0" w:space="0" w:color="auto"/>
        <w:right w:val="none" w:sz="0" w:space="0" w:color="auto"/>
      </w:divBdr>
      <w:divsChild>
        <w:div w:id="1579557605">
          <w:marLeft w:val="150"/>
          <w:marRight w:val="0"/>
          <w:marTop w:val="0"/>
          <w:marBottom w:val="0"/>
          <w:divBdr>
            <w:top w:val="none" w:sz="0" w:space="0" w:color="auto"/>
            <w:left w:val="none" w:sz="0" w:space="0" w:color="auto"/>
            <w:bottom w:val="none" w:sz="0" w:space="0" w:color="auto"/>
            <w:right w:val="none" w:sz="0" w:space="0" w:color="auto"/>
          </w:divBdr>
          <w:divsChild>
            <w:div w:id="2082093676">
              <w:marLeft w:val="0"/>
              <w:marRight w:val="0"/>
              <w:marTop w:val="0"/>
              <w:marBottom w:val="0"/>
              <w:divBdr>
                <w:top w:val="none" w:sz="0" w:space="0" w:color="auto"/>
                <w:left w:val="none" w:sz="0" w:space="0" w:color="auto"/>
                <w:bottom w:val="none" w:sz="0" w:space="0" w:color="auto"/>
                <w:right w:val="none" w:sz="0" w:space="0" w:color="auto"/>
              </w:divBdr>
              <w:divsChild>
                <w:div w:id="158154012">
                  <w:marLeft w:val="0"/>
                  <w:marRight w:val="0"/>
                  <w:marTop w:val="0"/>
                  <w:marBottom w:val="0"/>
                  <w:divBdr>
                    <w:top w:val="none" w:sz="0" w:space="0" w:color="auto"/>
                    <w:left w:val="none" w:sz="0" w:space="0" w:color="auto"/>
                    <w:bottom w:val="none" w:sz="0" w:space="0" w:color="auto"/>
                    <w:right w:val="none" w:sz="0" w:space="0" w:color="auto"/>
                  </w:divBdr>
                  <w:divsChild>
                    <w:div w:id="2135127679">
                      <w:marLeft w:val="0"/>
                      <w:marRight w:val="0"/>
                      <w:marTop w:val="0"/>
                      <w:marBottom w:val="0"/>
                      <w:divBdr>
                        <w:top w:val="none" w:sz="0" w:space="0" w:color="auto"/>
                        <w:left w:val="none" w:sz="0" w:space="0" w:color="auto"/>
                        <w:bottom w:val="none" w:sz="0" w:space="0" w:color="auto"/>
                        <w:right w:val="none" w:sz="0" w:space="0" w:color="auto"/>
                      </w:divBdr>
                      <w:divsChild>
                        <w:div w:id="902718164">
                          <w:marLeft w:val="0"/>
                          <w:marRight w:val="0"/>
                          <w:marTop w:val="0"/>
                          <w:marBottom w:val="0"/>
                          <w:divBdr>
                            <w:top w:val="none" w:sz="0" w:space="0" w:color="auto"/>
                            <w:left w:val="none" w:sz="0" w:space="0" w:color="auto"/>
                            <w:bottom w:val="none" w:sz="0" w:space="0" w:color="auto"/>
                            <w:right w:val="none" w:sz="0" w:space="0" w:color="auto"/>
                          </w:divBdr>
                          <w:divsChild>
                            <w:div w:id="957299757">
                              <w:marLeft w:val="0"/>
                              <w:marRight w:val="0"/>
                              <w:marTop w:val="0"/>
                              <w:marBottom w:val="0"/>
                              <w:divBdr>
                                <w:top w:val="none" w:sz="0" w:space="0" w:color="auto"/>
                                <w:left w:val="none" w:sz="0" w:space="0" w:color="auto"/>
                                <w:bottom w:val="none" w:sz="0" w:space="0" w:color="auto"/>
                                <w:right w:val="none" w:sz="0" w:space="0" w:color="auto"/>
                              </w:divBdr>
                              <w:divsChild>
                                <w:div w:id="1218250137">
                                  <w:marLeft w:val="0"/>
                                  <w:marRight w:val="0"/>
                                  <w:marTop w:val="0"/>
                                  <w:marBottom w:val="0"/>
                                  <w:divBdr>
                                    <w:top w:val="none" w:sz="0" w:space="0" w:color="auto"/>
                                    <w:left w:val="none" w:sz="0" w:space="0" w:color="auto"/>
                                    <w:bottom w:val="none" w:sz="0" w:space="0" w:color="auto"/>
                                    <w:right w:val="none" w:sz="0" w:space="0" w:color="auto"/>
                                  </w:divBdr>
                                  <w:divsChild>
                                    <w:div w:id="1385179738">
                                      <w:marLeft w:val="0"/>
                                      <w:marRight w:val="0"/>
                                      <w:marTop w:val="0"/>
                                      <w:marBottom w:val="0"/>
                                      <w:divBdr>
                                        <w:top w:val="none" w:sz="0" w:space="0" w:color="auto"/>
                                        <w:left w:val="none" w:sz="0" w:space="0" w:color="auto"/>
                                        <w:bottom w:val="none" w:sz="0" w:space="0" w:color="auto"/>
                                        <w:right w:val="none" w:sz="0" w:space="0" w:color="auto"/>
                                      </w:divBdr>
                                      <w:divsChild>
                                        <w:div w:id="432017998">
                                          <w:marLeft w:val="0"/>
                                          <w:marRight w:val="0"/>
                                          <w:marTop w:val="0"/>
                                          <w:marBottom w:val="0"/>
                                          <w:divBdr>
                                            <w:top w:val="none" w:sz="0" w:space="0" w:color="auto"/>
                                            <w:left w:val="none" w:sz="0" w:space="0" w:color="auto"/>
                                            <w:bottom w:val="none" w:sz="0" w:space="0" w:color="auto"/>
                                            <w:right w:val="none" w:sz="0" w:space="0" w:color="auto"/>
                                          </w:divBdr>
                                          <w:divsChild>
                                            <w:div w:id="1809398328">
                                              <w:marLeft w:val="0"/>
                                              <w:marRight w:val="0"/>
                                              <w:marTop w:val="0"/>
                                              <w:marBottom w:val="0"/>
                                              <w:divBdr>
                                                <w:top w:val="none" w:sz="0" w:space="0" w:color="auto"/>
                                                <w:left w:val="none" w:sz="0" w:space="0" w:color="auto"/>
                                                <w:bottom w:val="none" w:sz="0" w:space="0" w:color="auto"/>
                                                <w:right w:val="none" w:sz="0" w:space="0" w:color="auto"/>
                                              </w:divBdr>
                                              <w:divsChild>
                                                <w:div w:id="917134635">
                                                  <w:marLeft w:val="0"/>
                                                  <w:marRight w:val="0"/>
                                                  <w:marTop w:val="0"/>
                                                  <w:marBottom w:val="0"/>
                                                  <w:divBdr>
                                                    <w:top w:val="none" w:sz="0" w:space="0" w:color="auto"/>
                                                    <w:left w:val="none" w:sz="0" w:space="0" w:color="auto"/>
                                                    <w:bottom w:val="none" w:sz="0" w:space="0" w:color="auto"/>
                                                    <w:right w:val="none" w:sz="0" w:space="0" w:color="auto"/>
                                                  </w:divBdr>
                                                  <w:divsChild>
                                                    <w:div w:id="94400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1387612">
      <w:bodyDiv w:val="1"/>
      <w:marLeft w:val="0"/>
      <w:marRight w:val="0"/>
      <w:marTop w:val="0"/>
      <w:marBottom w:val="0"/>
      <w:divBdr>
        <w:top w:val="none" w:sz="0" w:space="0" w:color="auto"/>
        <w:left w:val="none" w:sz="0" w:space="0" w:color="auto"/>
        <w:bottom w:val="none" w:sz="0" w:space="0" w:color="auto"/>
        <w:right w:val="none" w:sz="0" w:space="0" w:color="auto"/>
      </w:divBdr>
    </w:div>
    <w:div w:id="1177041412">
      <w:bodyDiv w:val="1"/>
      <w:marLeft w:val="0"/>
      <w:marRight w:val="0"/>
      <w:marTop w:val="0"/>
      <w:marBottom w:val="0"/>
      <w:divBdr>
        <w:top w:val="none" w:sz="0" w:space="0" w:color="auto"/>
        <w:left w:val="none" w:sz="0" w:space="0" w:color="auto"/>
        <w:bottom w:val="none" w:sz="0" w:space="0" w:color="auto"/>
        <w:right w:val="none" w:sz="0" w:space="0" w:color="auto"/>
      </w:divBdr>
      <w:divsChild>
        <w:div w:id="1814832219">
          <w:marLeft w:val="150"/>
          <w:marRight w:val="0"/>
          <w:marTop w:val="0"/>
          <w:marBottom w:val="0"/>
          <w:divBdr>
            <w:top w:val="none" w:sz="0" w:space="0" w:color="auto"/>
            <w:left w:val="none" w:sz="0" w:space="0" w:color="auto"/>
            <w:bottom w:val="none" w:sz="0" w:space="0" w:color="auto"/>
            <w:right w:val="none" w:sz="0" w:space="0" w:color="auto"/>
          </w:divBdr>
          <w:divsChild>
            <w:div w:id="1403987073">
              <w:marLeft w:val="0"/>
              <w:marRight w:val="0"/>
              <w:marTop w:val="0"/>
              <w:marBottom w:val="0"/>
              <w:divBdr>
                <w:top w:val="none" w:sz="0" w:space="0" w:color="auto"/>
                <w:left w:val="none" w:sz="0" w:space="0" w:color="auto"/>
                <w:bottom w:val="none" w:sz="0" w:space="0" w:color="auto"/>
                <w:right w:val="none" w:sz="0" w:space="0" w:color="auto"/>
              </w:divBdr>
              <w:divsChild>
                <w:div w:id="1533807726">
                  <w:marLeft w:val="0"/>
                  <w:marRight w:val="0"/>
                  <w:marTop w:val="0"/>
                  <w:marBottom w:val="0"/>
                  <w:divBdr>
                    <w:top w:val="none" w:sz="0" w:space="0" w:color="auto"/>
                    <w:left w:val="none" w:sz="0" w:space="0" w:color="auto"/>
                    <w:bottom w:val="none" w:sz="0" w:space="0" w:color="auto"/>
                    <w:right w:val="none" w:sz="0" w:space="0" w:color="auto"/>
                  </w:divBdr>
                  <w:divsChild>
                    <w:div w:id="375279871">
                      <w:marLeft w:val="0"/>
                      <w:marRight w:val="0"/>
                      <w:marTop w:val="0"/>
                      <w:marBottom w:val="0"/>
                      <w:divBdr>
                        <w:top w:val="none" w:sz="0" w:space="0" w:color="auto"/>
                        <w:left w:val="none" w:sz="0" w:space="0" w:color="auto"/>
                        <w:bottom w:val="none" w:sz="0" w:space="0" w:color="auto"/>
                        <w:right w:val="none" w:sz="0" w:space="0" w:color="auto"/>
                      </w:divBdr>
                      <w:divsChild>
                        <w:div w:id="1010178097">
                          <w:marLeft w:val="0"/>
                          <w:marRight w:val="0"/>
                          <w:marTop w:val="0"/>
                          <w:marBottom w:val="0"/>
                          <w:divBdr>
                            <w:top w:val="none" w:sz="0" w:space="0" w:color="auto"/>
                            <w:left w:val="none" w:sz="0" w:space="0" w:color="auto"/>
                            <w:bottom w:val="none" w:sz="0" w:space="0" w:color="auto"/>
                            <w:right w:val="none" w:sz="0" w:space="0" w:color="auto"/>
                          </w:divBdr>
                          <w:divsChild>
                            <w:div w:id="1244296312">
                              <w:marLeft w:val="0"/>
                              <w:marRight w:val="0"/>
                              <w:marTop w:val="0"/>
                              <w:marBottom w:val="0"/>
                              <w:divBdr>
                                <w:top w:val="none" w:sz="0" w:space="0" w:color="auto"/>
                                <w:left w:val="none" w:sz="0" w:space="0" w:color="auto"/>
                                <w:bottom w:val="none" w:sz="0" w:space="0" w:color="auto"/>
                                <w:right w:val="none" w:sz="0" w:space="0" w:color="auto"/>
                              </w:divBdr>
                              <w:divsChild>
                                <w:div w:id="1969778087">
                                  <w:marLeft w:val="0"/>
                                  <w:marRight w:val="0"/>
                                  <w:marTop w:val="0"/>
                                  <w:marBottom w:val="0"/>
                                  <w:divBdr>
                                    <w:top w:val="none" w:sz="0" w:space="0" w:color="auto"/>
                                    <w:left w:val="none" w:sz="0" w:space="0" w:color="auto"/>
                                    <w:bottom w:val="none" w:sz="0" w:space="0" w:color="auto"/>
                                    <w:right w:val="none" w:sz="0" w:space="0" w:color="auto"/>
                                  </w:divBdr>
                                  <w:divsChild>
                                    <w:div w:id="2108384399">
                                      <w:marLeft w:val="0"/>
                                      <w:marRight w:val="0"/>
                                      <w:marTop w:val="0"/>
                                      <w:marBottom w:val="0"/>
                                      <w:divBdr>
                                        <w:top w:val="none" w:sz="0" w:space="0" w:color="auto"/>
                                        <w:left w:val="none" w:sz="0" w:space="0" w:color="auto"/>
                                        <w:bottom w:val="none" w:sz="0" w:space="0" w:color="auto"/>
                                        <w:right w:val="none" w:sz="0" w:space="0" w:color="auto"/>
                                      </w:divBdr>
                                      <w:divsChild>
                                        <w:div w:id="540364498">
                                          <w:marLeft w:val="0"/>
                                          <w:marRight w:val="0"/>
                                          <w:marTop w:val="0"/>
                                          <w:marBottom w:val="0"/>
                                          <w:divBdr>
                                            <w:top w:val="none" w:sz="0" w:space="0" w:color="auto"/>
                                            <w:left w:val="none" w:sz="0" w:space="0" w:color="auto"/>
                                            <w:bottom w:val="none" w:sz="0" w:space="0" w:color="auto"/>
                                            <w:right w:val="none" w:sz="0" w:space="0" w:color="auto"/>
                                          </w:divBdr>
                                          <w:divsChild>
                                            <w:div w:id="223879448">
                                              <w:marLeft w:val="0"/>
                                              <w:marRight w:val="0"/>
                                              <w:marTop w:val="0"/>
                                              <w:marBottom w:val="0"/>
                                              <w:divBdr>
                                                <w:top w:val="none" w:sz="0" w:space="0" w:color="auto"/>
                                                <w:left w:val="none" w:sz="0" w:space="0" w:color="auto"/>
                                                <w:bottom w:val="none" w:sz="0" w:space="0" w:color="auto"/>
                                                <w:right w:val="none" w:sz="0" w:space="0" w:color="auto"/>
                                              </w:divBdr>
                                              <w:divsChild>
                                                <w:div w:id="268977611">
                                                  <w:marLeft w:val="0"/>
                                                  <w:marRight w:val="0"/>
                                                  <w:marTop w:val="0"/>
                                                  <w:marBottom w:val="0"/>
                                                  <w:divBdr>
                                                    <w:top w:val="none" w:sz="0" w:space="0" w:color="auto"/>
                                                    <w:left w:val="none" w:sz="0" w:space="0" w:color="auto"/>
                                                    <w:bottom w:val="none" w:sz="0" w:space="0" w:color="auto"/>
                                                    <w:right w:val="none" w:sz="0" w:space="0" w:color="auto"/>
                                                  </w:divBdr>
                                                  <w:divsChild>
                                                    <w:div w:id="658119699">
                                                      <w:marLeft w:val="0"/>
                                                      <w:marRight w:val="0"/>
                                                      <w:marTop w:val="0"/>
                                                      <w:marBottom w:val="0"/>
                                                      <w:divBdr>
                                                        <w:top w:val="none" w:sz="0" w:space="0" w:color="auto"/>
                                                        <w:left w:val="none" w:sz="0" w:space="0" w:color="auto"/>
                                                        <w:bottom w:val="none" w:sz="0" w:space="0" w:color="auto"/>
                                                        <w:right w:val="none" w:sz="0" w:space="0" w:color="auto"/>
                                                      </w:divBdr>
                                                    </w:div>
                                                    <w:div w:id="18503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0582706">
      <w:bodyDiv w:val="1"/>
      <w:marLeft w:val="0"/>
      <w:marRight w:val="0"/>
      <w:marTop w:val="0"/>
      <w:marBottom w:val="0"/>
      <w:divBdr>
        <w:top w:val="none" w:sz="0" w:space="0" w:color="auto"/>
        <w:left w:val="none" w:sz="0" w:space="0" w:color="auto"/>
        <w:bottom w:val="none" w:sz="0" w:space="0" w:color="auto"/>
        <w:right w:val="none" w:sz="0" w:space="0" w:color="auto"/>
      </w:divBdr>
    </w:div>
    <w:div w:id="1224147499">
      <w:bodyDiv w:val="1"/>
      <w:marLeft w:val="0"/>
      <w:marRight w:val="0"/>
      <w:marTop w:val="0"/>
      <w:marBottom w:val="0"/>
      <w:divBdr>
        <w:top w:val="none" w:sz="0" w:space="0" w:color="auto"/>
        <w:left w:val="none" w:sz="0" w:space="0" w:color="auto"/>
        <w:bottom w:val="none" w:sz="0" w:space="0" w:color="auto"/>
        <w:right w:val="none" w:sz="0" w:space="0" w:color="auto"/>
      </w:divBdr>
    </w:div>
    <w:div w:id="1276058167">
      <w:bodyDiv w:val="1"/>
      <w:marLeft w:val="0"/>
      <w:marRight w:val="0"/>
      <w:marTop w:val="0"/>
      <w:marBottom w:val="0"/>
      <w:divBdr>
        <w:top w:val="none" w:sz="0" w:space="0" w:color="auto"/>
        <w:left w:val="none" w:sz="0" w:space="0" w:color="auto"/>
        <w:bottom w:val="none" w:sz="0" w:space="0" w:color="auto"/>
        <w:right w:val="none" w:sz="0" w:space="0" w:color="auto"/>
      </w:divBdr>
      <w:divsChild>
        <w:div w:id="1819879232">
          <w:marLeft w:val="0"/>
          <w:marRight w:val="0"/>
          <w:marTop w:val="0"/>
          <w:marBottom w:val="240"/>
          <w:divBdr>
            <w:top w:val="none" w:sz="0" w:space="0" w:color="auto"/>
            <w:left w:val="none" w:sz="0" w:space="0" w:color="auto"/>
            <w:bottom w:val="none" w:sz="0" w:space="0" w:color="auto"/>
            <w:right w:val="none" w:sz="0" w:space="0" w:color="auto"/>
          </w:divBdr>
          <w:divsChild>
            <w:div w:id="134724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51999">
      <w:bodyDiv w:val="1"/>
      <w:marLeft w:val="0"/>
      <w:marRight w:val="0"/>
      <w:marTop w:val="0"/>
      <w:marBottom w:val="0"/>
      <w:divBdr>
        <w:top w:val="none" w:sz="0" w:space="0" w:color="auto"/>
        <w:left w:val="none" w:sz="0" w:space="0" w:color="auto"/>
        <w:bottom w:val="none" w:sz="0" w:space="0" w:color="auto"/>
        <w:right w:val="none" w:sz="0" w:space="0" w:color="auto"/>
      </w:divBdr>
      <w:divsChild>
        <w:div w:id="1559128157">
          <w:marLeft w:val="0"/>
          <w:marRight w:val="0"/>
          <w:marTop w:val="0"/>
          <w:marBottom w:val="0"/>
          <w:divBdr>
            <w:top w:val="none" w:sz="0" w:space="0" w:color="auto"/>
            <w:left w:val="none" w:sz="0" w:space="0" w:color="auto"/>
            <w:bottom w:val="none" w:sz="0" w:space="0" w:color="auto"/>
            <w:right w:val="none" w:sz="0" w:space="0" w:color="auto"/>
          </w:divBdr>
          <w:divsChild>
            <w:div w:id="7417298">
              <w:marLeft w:val="0"/>
              <w:marRight w:val="0"/>
              <w:marTop w:val="0"/>
              <w:marBottom w:val="0"/>
              <w:divBdr>
                <w:top w:val="none" w:sz="0" w:space="0" w:color="auto"/>
                <w:left w:val="none" w:sz="0" w:space="0" w:color="auto"/>
                <w:bottom w:val="none" w:sz="0" w:space="0" w:color="auto"/>
                <w:right w:val="none" w:sz="0" w:space="0" w:color="auto"/>
              </w:divBdr>
              <w:divsChild>
                <w:div w:id="2022125111">
                  <w:marLeft w:val="0"/>
                  <w:marRight w:val="0"/>
                  <w:marTop w:val="0"/>
                  <w:marBottom w:val="0"/>
                  <w:divBdr>
                    <w:top w:val="none" w:sz="0" w:space="0" w:color="auto"/>
                    <w:left w:val="none" w:sz="0" w:space="0" w:color="auto"/>
                    <w:bottom w:val="none" w:sz="0" w:space="0" w:color="auto"/>
                    <w:right w:val="none" w:sz="0" w:space="0" w:color="auto"/>
                  </w:divBdr>
                  <w:divsChild>
                    <w:div w:id="7685034">
                      <w:marLeft w:val="1"/>
                      <w:marRight w:val="1"/>
                      <w:marTop w:val="0"/>
                      <w:marBottom w:val="0"/>
                      <w:divBdr>
                        <w:top w:val="none" w:sz="0" w:space="0" w:color="auto"/>
                        <w:left w:val="none" w:sz="0" w:space="0" w:color="auto"/>
                        <w:bottom w:val="none" w:sz="0" w:space="0" w:color="auto"/>
                        <w:right w:val="none" w:sz="0" w:space="0" w:color="auto"/>
                      </w:divBdr>
                      <w:divsChild>
                        <w:div w:id="115487357">
                          <w:marLeft w:val="0"/>
                          <w:marRight w:val="0"/>
                          <w:marTop w:val="0"/>
                          <w:marBottom w:val="0"/>
                          <w:divBdr>
                            <w:top w:val="none" w:sz="0" w:space="0" w:color="auto"/>
                            <w:left w:val="none" w:sz="0" w:space="0" w:color="auto"/>
                            <w:bottom w:val="none" w:sz="0" w:space="0" w:color="auto"/>
                            <w:right w:val="none" w:sz="0" w:space="0" w:color="auto"/>
                          </w:divBdr>
                          <w:divsChild>
                            <w:div w:id="27529000">
                              <w:marLeft w:val="0"/>
                              <w:marRight w:val="0"/>
                              <w:marTop w:val="0"/>
                              <w:marBottom w:val="360"/>
                              <w:divBdr>
                                <w:top w:val="none" w:sz="0" w:space="0" w:color="auto"/>
                                <w:left w:val="none" w:sz="0" w:space="0" w:color="auto"/>
                                <w:bottom w:val="none" w:sz="0" w:space="0" w:color="auto"/>
                                <w:right w:val="none" w:sz="0" w:space="0" w:color="auto"/>
                              </w:divBdr>
                              <w:divsChild>
                                <w:div w:id="432897927">
                                  <w:marLeft w:val="0"/>
                                  <w:marRight w:val="0"/>
                                  <w:marTop w:val="0"/>
                                  <w:marBottom w:val="0"/>
                                  <w:divBdr>
                                    <w:top w:val="none" w:sz="0" w:space="0" w:color="auto"/>
                                    <w:left w:val="none" w:sz="0" w:space="0" w:color="auto"/>
                                    <w:bottom w:val="none" w:sz="0" w:space="0" w:color="auto"/>
                                    <w:right w:val="none" w:sz="0" w:space="0" w:color="auto"/>
                                  </w:divBdr>
                                  <w:divsChild>
                                    <w:div w:id="485972418">
                                      <w:marLeft w:val="0"/>
                                      <w:marRight w:val="0"/>
                                      <w:marTop w:val="0"/>
                                      <w:marBottom w:val="0"/>
                                      <w:divBdr>
                                        <w:top w:val="none" w:sz="0" w:space="0" w:color="auto"/>
                                        <w:left w:val="none" w:sz="0" w:space="0" w:color="auto"/>
                                        <w:bottom w:val="none" w:sz="0" w:space="0" w:color="auto"/>
                                        <w:right w:val="none" w:sz="0" w:space="0" w:color="auto"/>
                                      </w:divBdr>
                                      <w:divsChild>
                                        <w:div w:id="1507817818">
                                          <w:marLeft w:val="0"/>
                                          <w:marRight w:val="0"/>
                                          <w:marTop w:val="0"/>
                                          <w:marBottom w:val="0"/>
                                          <w:divBdr>
                                            <w:top w:val="none" w:sz="0" w:space="0" w:color="auto"/>
                                            <w:left w:val="none" w:sz="0" w:space="0" w:color="auto"/>
                                            <w:bottom w:val="none" w:sz="0" w:space="0" w:color="auto"/>
                                            <w:right w:val="none" w:sz="0" w:space="0" w:color="auto"/>
                                          </w:divBdr>
                                          <w:divsChild>
                                            <w:div w:id="630672558">
                                              <w:marLeft w:val="0"/>
                                              <w:marRight w:val="0"/>
                                              <w:marTop w:val="0"/>
                                              <w:marBottom w:val="0"/>
                                              <w:divBdr>
                                                <w:top w:val="none" w:sz="0" w:space="0" w:color="auto"/>
                                                <w:left w:val="none" w:sz="0" w:space="0" w:color="auto"/>
                                                <w:bottom w:val="none" w:sz="0" w:space="0" w:color="auto"/>
                                                <w:right w:val="none" w:sz="0" w:space="0" w:color="auto"/>
                                              </w:divBdr>
                                              <w:divsChild>
                                                <w:div w:id="2098011676">
                                                  <w:marLeft w:val="0"/>
                                                  <w:marRight w:val="0"/>
                                                  <w:marTop w:val="0"/>
                                                  <w:marBottom w:val="0"/>
                                                  <w:divBdr>
                                                    <w:top w:val="none" w:sz="0" w:space="0" w:color="auto"/>
                                                    <w:left w:val="none" w:sz="0" w:space="0" w:color="auto"/>
                                                    <w:bottom w:val="none" w:sz="0" w:space="0" w:color="auto"/>
                                                    <w:right w:val="none" w:sz="0" w:space="0" w:color="auto"/>
                                                  </w:divBdr>
                                                  <w:divsChild>
                                                    <w:div w:id="197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4616314">
      <w:bodyDiv w:val="1"/>
      <w:marLeft w:val="0"/>
      <w:marRight w:val="0"/>
      <w:marTop w:val="0"/>
      <w:marBottom w:val="0"/>
      <w:divBdr>
        <w:top w:val="none" w:sz="0" w:space="0" w:color="auto"/>
        <w:left w:val="none" w:sz="0" w:space="0" w:color="auto"/>
        <w:bottom w:val="none" w:sz="0" w:space="0" w:color="auto"/>
        <w:right w:val="none" w:sz="0" w:space="0" w:color="auto"/>
      </w:divBdr>
    </w:div>
    <w:div w:id="1436441129">
      <w:bodyDiv w:val="1"/>
      <w:marLeft w:val="0"/>
      <w:marRight w:val="0"/>
      <w:marTop w:val="0"/>
      <w:marBottom w:val="0"/>
      <w:divBdr>
        <w:top w:val="none" w:sz="0" w:space="0" w:color="auto"/>
        <w:left w:val="none" w:sz="0" w:space="0" w:color="auto"/>
        <w:bottom w:val="none" w:sz="0" w:space="0" w:color="auto"/>
        <w:right w:val="none" w:sz="0" w:space="0" w:color="auto"/>
      </w:divBdr>
    </w:div>
    <w:div w:id="1497457640">
      <w:bodyDiv w:val="1"/>
      <w:marLeft w:val="0"/>
      <w:marRight w:val="0"/>
      <w:marTop w:val="0"/>
      <w:marBottom w:val="0"/>
      <w:divBdr>
        <w:top w:val="none" w:sz="0" w:space="0" w:color="auto"/>
        <w:left w:val="none" w:sz="0" w:space="0" w:color="auto"/>
        <w:bottom w:val="none" w:sz="0" w:space="0" w:color="auto"/>
        <w:right w:val="none" w:sz="0" w:space="0" w:color="auto"/>
      </w:divBdr>
    </w:div>
    <w:div w:id="1593926987">
      <w:bodyDiv w:val="1"/>
      <w:marLeft w:val="0"/>
      <w:marRight w:val="0"/>
      <w:marTop w:val="0"/>
      <w:marBottom w:val="0"/>
      <w:divBdr>
        <w:top w:val="none" w:sz="0" w:space="0" w:color="auto"/>
        <w:left w:val="none" w:sz="0" w:space="0" w:color="auto"/>
        <w:bottom w:val="none" w:sz="0" w:space="0" w:color="auto"/>
        <w:right w:val="none" w:sz="0" w:space="0" w:color="auto"/>
      </w:divBdr>
    </w:div>
    <w:div w:id="1691376067">
      <w:bodyDiv w:val="1"/>
      <w:marLeft w:val="0"/>
      <w:marRight w:val="0"/>
      <w:marTop w:val="0"/>
      <w:marBottom w:val="0"/>
      <w:divBdr>
        <w:top w:val="none" w:sz="0" w:space="0" w:color="auto"/>
        <w:left w:val="none" w:sz="0" w:space="0" w:color="auto"/>
        <w:bottom w:val="none" w:sz="0" w:space="0" w:color="auto"/>
        <w:right w:val="none" w:sz="0" w:space="0" w:color="auto"/>
      </w:divBdr>
    </w:div>
    <w:div w:id="1744134218">
      <w:bodyDiv w:val="1"/>
      <w:marLeft w:val="0"/>
      <w:marRight w:val="0"/>
      <w:marTop w:val="0"/>
      <w:marBottom w:val="0"/>
      <w:divBdr>
        <w:top w:val="none" w:sz="0" w:space="0" w:color="auto"/>
        <w:left w:val="none" w:sz="0" w:space="0" w:color="auto"/>
        <w:bottom w:val="none" w:sz="0" w:space="0" w:color="auto"/>
        <w:right w:val="none" w:sz="0" w:space="0" w:color="auto"/>
      </w:divBdr>
    </w:div>
    <w:div w:id="1779716472">
      <w:bodyDiv w:val="1"/>
      <w:marLeft w:val="0"/>
      <w:marRight w:val="0"/>
      <w:marTop w:val="0"/>
      <w:marBottom w:val="0"/>
      <w:divBdr>
        <w:top w:val="none" w:sz="0" w:space="0" w:color="auto"/>
        <w:left w:val="none" w:sz="0" w:space="0" w:color="auto"/>
        <w:bottom w:val="none" w:sz="0" w:space="0" w:color="auto"/>
        <w:right w:val="none" w:sz="0" w:space="0" w:color="auto"/>
      </w:divBdr>
    </w:div>
    <w:div w:id="1905406312">
      <w:bodyDiv w:val="1"/>
      <w:marLeft w:val="0"/>
      <w:marRight w:val="0"/>
      <w:marTop w:val="0"/>
      <w:marBottom w:val="0"/>
      <w:divBdr>
        <w:top w:val="none" w:sz="0" w:space="0" w:color="auto"/>
        <w:left w:val="none" w:sz="0" w:space="0" w:color="auto"/>
        <w:bottom w:val="none" w:sz="0" w:space="0" w:color="auto"/>
        <w:right w:val="none" w:sz="0" w:space="0" w:color="auto"/>
      </w:divBdr>
      <w:divsChild>
        <w:div w:id="1475490742">
          <w:marLeft w:val="0"/>
          <w:marRight w:val="0"/>
          <w:marTop w:val="0"/>
          <w:marBottom w:val="0"/>
          <w:divBdr>
            <w:top w:val="none" w:sz="0" w:space="0" w:color="auto"/>
            <w:left w:val="none" w:sz="0" w:space="0" w:color="auto"/>
            <w:bottom w:val="none" w:sz="0" w:space="0" w:color="auto"/>
            <w:right w:val="none" w:sz="0" w:space="0" w:color="auto"/>
          </w:divBdr>
          <w:divsChild>
            <w:div w:id="1124150764">
              <w:marLeft w:val="0"/>
              <w:marRight w:val="0"/>
              <w:marTop w:val="0"/>
              <w:marBottom w:val="0"/>
              <w:divBdr>
                <w:top w:val="none" w:sz="0" w:space="0" w:color="auto"/>
                <w:left w:val="none" w:sz="0" w:space="0" w:color="auto"/>
                <w:bottom w:val="none" w:sz="0" w:space="0" w:color="auto"/>
                <w:right w:val="none" w:sz="0" w:space="0" w:color="auto"/>
              </w:divBdr>
              <w:divsChild>
                <w:div w:id="1067266900">
                  <w:marLeft w:val="0"/>
                  <w:marRight w:val="0"/>
                  <w:marTop w:val="0"/>
                  <w:marBottom w:val="0"/>
                  <w:divBdr>
                    <w:top w:val="none" w:sz="0" w:space="0" w:color="auto"/>
                    <w:left w:val="none" w:sz="0" w:space="0" w:color="auto"/>
                    <w:bottom w:val="none" w:sz="0" w:space="0" w:color="auto"/>
                    <w:right w:val="none" w:sz="0" w:space="0" w:color="auto"/>
                  </w:divBdr>
                  <w:divsChild>
                    <w:div w:id="585504087">
                      <w:marLeft w:val="0"/>
                      <w:marRight w:val="0"/>
                      <w:marTop w:val="0"/>
                      <w:marBottom w:val="0"/>
                      <w:divBdr>
                        <w:top w:val="none" w:sz="0" w:space="0" w:color="auto"/>
                        <w:left w:val="none" w:sz="0" w:space="0" w:color="auto"/>
                        <w:bottom w:val="none" w:sz="0" w:space="0" w:color="auto"/>
                        <w:right w:val="none" w:sz="0" w:space="0" w:color="auto"/>
                      </w:divBdr>
                      <w:divsChild>
                        <w:div w:id="1304576135">
                          <w:marLeft w:val="0"/>
                          <w:marRight w:val="0"/>
                          <w:marTop w:val="0"/>
                          <w:marBottom w:val="0"/>
                          <w:divBdr>
                            <w:top w:val="none" w:sz="0" w:space="0" w:color="auto"/>
                            <w:left w:val="none" w:sz="0" w:space="0" w:color="auto"/>
                            <w:bottom w:val="none" w:sz="0" w:space="0" w:color="auto"/>
                            <w:right w:val="none" w:sz="0" w:space="0" w:color="auto"/>
                          </w:divBdr>
                          <w:divsChild>
                            <w:div w:id="1424569106">
                              <w:marLeft w:val="0"/>
                              <w:marRight w:val="0"/>
                              <w:marTop w:val="0"/>
                              <w:marBottom w:val="0"/>
                              <w:divBdr>
                                <w:top w:val="none" w:sz="0" w:space="0" w:color="auto"/>
                                <w:left w:val="none" w:sz="0" w:space="0" w:color="auto"/>
                                <w:bottom w:val="none" w:sz="0" w:space="0" w:color="auto"/>
                                <w:right w:val="none" w:sz="0" w:space="0" w:color="auto"/>
                              </w:divBdr>
                              <w:divsChild>
                                <w:div w:id="833449373">
                                  <w:marLeft w:val="0"/>
                                  <w:marRight w:val="0"/>
                                  <w:marTop w:val="0"/>
                                  <w:marBottom w:val="0"/>
                                  <w:divBdr>
                                    <w:top w:val="none" w:sz="0" w:space="0" w:color="auto"/>
                                    <w:left w:val="none" w:sz="0" w:space="0" w:color="auto"/>
                                    <w:bottom w:val="none" w:sz="0" w:space="0" w:color="auto"/>
                                    <w:right w:val="none" w:sz="0" w:space="0" w:color="auto"/>
                                  </w:divBdr>
                                  <w:divsChild>
                                    <w:div w:id="167610368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461484">
      <w:bodyDiv w:val="1"/>
      <w:marLeft w:val="0"/>
      <w:marRight w:val="0"/>
      <w:marTop w:val="0"/>
      <w:marBottom w:val="0"/>
      <w:divBdr>
        <w:top w:val="none" w:sz="0" w:space="0" w:color="auto"/>
        <w:left w:val="none" w:sz="0" w:space="0" w:color="auto"/>
        <w:bottom w:val="none" w:sz="0" w:space="0" w:color="auto"/>
        <w:right w:val="none" w:sz="0" w:space="0" w:color="auto"/>
      </w:divBdr>
    </w:div>
    <w:div w:id="211828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30</ap:Pages>
  <ap:Words>13892</ap:Words>
  <ap:Characters>81551</ap:Characters>
  <ap:DocSecurity>0</ap:DocSecurity>
  <ap:Lines>679</ap:Lines>
  <ap:Paragraphs>190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95253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2022-03-11T08:58:00.0000000Z</dcterms:created>
  <dcterms:modified xsi:type="dcterms:W3CDTF">2022-03-11T08:58:00.0000000Z</dcterms:modified>
  <dc:description>------------------------</dc:description>
  <dc:subject/>
  <keywords/>
  <version/>
  <category/>
</coreProperties>
</file>