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03EB" w:rsidR="00F923E5" w:rsidP="00F97FDE" w:rsidRDefault="006509E3" w14:paraId="3D8802E2" w14:textId="3F3657ED">
      <w:pPr>
        <w:spacing w:before="160" w:line="276" w:lineRule="auto"/>
        <w:jc w:val="both"/>
        <w:rPr>
          <w:b/>
          <w:sz w:val="24"/>
          <w:szCs w:val="24"/>
        </w:rPr>
      </w:pPr>
      <w:bookmarkStart w:name="_GoBack" w:id="0"/>
      <w:bookmarkEnd w:id="0"/>
      <w:r w:rsidRPr="00BB2AF7">
        <w:rPr>
          <w:b/>
          <w:sz w:val="24"/>
          <w:szCs w:val="24"/>
        </w:rPr>
        <w:t xml:space="preserve">Verdrag tussen de </w:t>
      </w:r>
      <w:r w:rsidR="00BB2AF7">
        <w:rPr>
          <w:b/>
          <w:sz w:val="24"/>
          <w:szCs w:val="24"/>
        </w:rPr>
        <w:t>R</w:t>
      </w:r>
      <w:r w:rsidRPr="00BB2AF7">
        <w:rPr>
          <w:b/>
          <w:sz w:val="24"/>
          <w:szCs w:val="24"/>
        </w:rPr>
        <w:t xml:space="preserve">egering van </w:t>
      </w:r>
      <w:r w:rsidRPr="00BB2AF7" w:rsidR="0033385D">
        <w:rPr>
          <w:b/>
          <w:sz w:val="24"/>
          <w:szCs w:val="24"/>
        </w:rPr>
        <w:t xml:space="preserve">het Koninkrijk der Nederlanden en de </w:t>
      </w:r>
      <w:r w:rsidR="00BB2AF7">
        <w:rPr>
          <w:b/>
          <w:sz w:val="24"/>
          <w:szCs w:val="24"/>
        </w:rPr>
        <w:t>R</w:t>
      </w:r>
      <w:r w:rsidRPr="00BB2AF7" w:rsidR="0033385D">
        <w:rPr>
          <w:b/>
          <w:sz w:val="24"/>
          <w:szCs w:val="24"/>
        </w:rPr>
        <w:t>egering van de Franse Republiek</w:t>
      </w:r>
      <w:r w:rsidRPr="00BB2AF7" w:rsidDel="0033385D" w:rsidR="0033385D">
        <w:rPr>
          <w:b/>
          <w:sz w:val="24"/>
          <w:szCs w:val="24"/>
        </w:rPr>
        <w:t xml:space="preserve"> </w:t>
      </w:r>
      <w:r w:rsidRPr="00BB2AF7">
        <w:rPr>
          <w:b/>
          <w:sz w:val="24"/>
          <w:szCs w:val="24"/>
        </w:rPr>
        <w:t xml:space="preserve">inzake samenwerking op defensiegebied en de status van hun strijdkrachten op de grondgebieden in de Caraïben en Zuid-Amerika van </w:t>
      </w:r>
      <w:r w:rsidRPr="0051304E" w:rsidR="00F0751F">
        <w:rPr>
          <w:b/>
          <w:sz w:val="24"/>
          <w:szCs w:val="24"/>
        </w:rPr>
        <w:t>de Franse Republiek</w:t>
      </w:r>
      <w:r w:rsidRPr="00C803EB">
        <w:rPr>
          <w:b/>
          <w:sz w:val="24"/>
          <w:szCs w:val="24"/>
        </w:rPr>
        <w:t xml:space="preserve"> </w:t>
      </w:r>
      <w:r w:rsidR="00BB2AF7">
        <w:rPr>
          <w:b/>
          <w:sz w:val="24"/>
          <w:szCs w:val="24"/>
        </w:rPr>
        <w:t>en het Koninkrijk der Nederlanden</w:t>
      </w:r>
      <w:r w:rsidR="00564261">
        <w:rPr>
          <w:b/>
          <w:sz w:val="24"/>
          <w:szCs w:val="24"/>
        </w:rPr>
        <w:t xml:space="preserve">; </w:t>
      </w:r>
      <w:r w:rsidR="00BB2AF7">
        <w:rPr>
          <w:b/>
          <w:sz w:val="24"/>
          <w:szCs w:val="24"/>
        </w:rPr>
        <w:t>’s-Gravenhage, 25 juni 2021</w:t>
      </w:r>
      <w:r w:rsidR="00564261">
        <w:rPr>
          <w:b/>
          <w:sz w:val="24"/>
          <w:szCs w:val="24"/>
        </w:rPr>
        <w:t xml:space="preserve"> (</w:t>
      </w:r>
      <w:r w:rsidRPr="00C803EB" w:rsidR="000F23AD">
        <w:rPr>
          <w:b/>
          <w:i/>
          <w:sz w:val="24"/>
          <w:szCs w:val="24"/>
        </w:rPr>
        <w:t>Trb</w:t>
      </w:r>
      <w:r w:rsidRPr="00C803EB" w:rsidR="00CF5093">
        <w:rPr>
          <w:b/>
          <w:sz w:val="24"/>
          <w:szCs w:val="24"/>
        </w:rPr>
        <w:t xml:space="preserve">. </w:t>
      </w:r>
      <w:r w:rsidR="00BB2AF7">
        <w:rPr>
          <w:b/>
          <w:sz w:val="24"/>
          <w:szCs w:val="24"/>
        </w:rPr>
        <w:t>2021</w:t>
      </w:r>
      <w:r w:rsidRPr="00C803EB" w:rsidR="00CF5093">
        <w:rPr>
          <w:b/>
          <w:sz w:val="24"/>
          <w:szCs w:val="24"/>
        </w:rPr>
        <w:t xml:space="preserve">, </w:t>
      </w:r>
      <w:r w:rsidR="003E5D5B">
        <w:rPr>
          <w:b/>
          <w:sz w:val="24"/>
          <w:szCs w:val="24"/>
        </w:rPr>
        <w:t>105</w:t>
      </w:r>
      <w:r w:rsidRPr="00C803EB" w:rsidR="000F23AD">
        <w:rPr>
          <w:b/>
          <w:sz w:val="24"/>
          <w:szCs w:val="24"/>
        </w:rPr>
        <w:t>)</w:t>
      </w:r>
    </w:p>
    <w:p w:rsidR="003F4673" w:rsidP="00F97FDE" w:rsidRDefault="003F4673" w14:paraId="50DBE6F0" w14:textId="77777777">
      <w:pPr>
        <w:spacing w:before="160" w:line="276" w:lineRule="auto"/>
        <w:jc w:val="both"/>
        <w:rPr>
          <w:b/>
          <w:sz w:val="24"/>
          <w:szCs w:val="24"/>
        </w:rPr>
      </w:pPr>
    </w:p>
    <w:p w:rsidRPr="00F53F8D" w:rsidR="0059293B" w:rsidP="00F97FDE" w:rsidRDefault="007F3816" w14:paraId="25E36C8C" w14:textId="21C2FFCC">
      <w:pPr>
        <w:spacing w:before="160" w:line="276" w:lineRule="auto"/>
        <w:jc w:val="both"/>
        <w:rPr>
          <w:b/>
          <w:sz w:val="24"/>
          <w:szCs w:val="24"/>
        </w:rPr>
      </w:pPr>
      <w:r w:rsidRPr="00F53F8D">
        <w:rPr>
          <w:b/>
          <w:sz w:val="24"/>
          <w:szCs w:val="24"/>
        </w:rPr>
        <w:t>TOELICHTENDE NOTA</w:t>
      </w:r>
    </w:p>
    <w:p w:rsidRPr="00DA4C7F" w:rsidR="00BC5EBD" w:rsidP="00F97FDE" w:rsidRDefault="00A346A4" w14:paraId="20C80589" w14:textId="77777777">
      <w:pPr>
        <w:spacing w:before="160" w:line="276" w:lineRule="auto"/>
        <w:jc w:val="both"/>
        <w:rPr>
          <w:b/>
          <w:sz w:val="24"/>
          <w:szCs w:val="24"/>
        </w:rPr>
      </w:pPr>
      <w:r w:rsidRPr="00DA4C7F">
        <w:rPr>
          <w:b/>
          <w:sz w:val="24"/>
          <w:szCs w:val="24"/>
        </w:rPr>
        <w:t>1</w:t>
      </w:r>
      <w:r w:rsidRPr="00DA4C7F" w:rsidR="0059293B">
        <w:rPr>
          <w:b/>
          <w:sz w:val="24"/>
          <w:szCs w:val="24"/>
        </w:rPr>
        <w:t xml:space="preserve">. </w:t>
      </w:r>
      <w:r w:rsidRPr="00F97FDE" w:rsidR="00E306A2">
        <w:rPr>
          <w:b/>
          <w:sz w:val="24"/>
          <w:szCs w:val="24"/>
        </w:rPr>
        <w:t>lnleiding</w:t>
      </w:r>
    </w:p>
    <w:p w:rsidR="00457F8F" w:rsidP="00F97FDE" w:rsidRDefault="00457F8F" w14:paraId="348927F8" w14:textId="52596CAE">
      <w:pPr>
        <w:spacing w:before="160" w:line="276" w:lineRule="auto"/>
        <w:jc w:val="both"/>
      </w:pPr>
      <w:r>
        <w:t xml:space="preserve">Op </w:t>
      </w:r>
      <w:r w:rsidR="00BB2AF7">
        <w:t xml:space="preserve">25 juni 2021 </w:t>
      </w:r>
      <w:r>
        <w:t xml:space="preserve">is te </w:t>
      </w:r>
      <w:r w:rsidR="00BB2AF7">
        <w:t xml:space="preserve">’s-Gravenhage </w:t>
      </w:r>
      <w:r>
        <w:t xml:space="preserve">tot stand gekomen </w:t>
      </w:r>
      <w:r w:rsidR="001340F4">
        <w:t>het Verdrag</w:t>
      </w:r>
      <w:r>
        <w:t xml:space="preserve"> tussen </w:t>
      </w:r>
      <w:r w:rsidR="00F0751F">
        <w:t xml:space="preserve">de regering van het Koninkrijk der Nederlanden en </w:t>
      </w:r>
      <w:r w:rsidR="001340F4">
        <w:t>de regering van de Franse Republiek inzake</w:t>
      </w:r>
      <w:r>
        <w:t xml:space="preserve"> samenwerking op defensiegebied en de status van hun strijdkrachten op de grondgebieden in de Caraïben en Zuid Amerika van het Koninkrijk der Nederlanden </w:t>
      </w:r>
      <w:r w:rsidR="00F0751F">
        <w:t xml:space="preserve">de Franse Republiek </w:t>
      </w:r>
      <w:r>
        <w:t>(</w:t>
      </w:r>
      <w:r w:rsidRPr="00F97FDE">
        <w:rPr>
          <w:i/>
        </w:rPr>
        <w:t>Trb</w:t>
      </w:r>
      <w:r w:rsidR="001340F4">
        <w:t xml:space="preserve">. </w:t>
      </w:r>
      <w:r w:rsidR="00BB2AF7">
        <w:t>2021</w:t>
      </w:r>
      <w:r w:rsidR="00CF5093">
        <w:t xml:space="preserve">, </w:t>
      </w:r>
      <w:r w:rsidR="00AB4BC1">
        <w:t>105</w:t>
      </w:r>
      <w:r w:rsidR="001340F4">
        <w:t xml:space="preserve">; </w:t>
      </w:r>
      <w:r>
        <w:t xml:space="preserve">hierna: </w:t>
      </w:r>
      <w:r w:rsidR="001340F4">
        <w:t>‘</w:t>
      </w:r>
      <w:r>
        <w:t>het Verdrag</w:t>
      </w:r>
      <w:r w:rsidR="001340F4">
        <w:t>’</w:t>
      </w:r>
      <w:r>
        <w:t xml:space="preserve">). Het Verdrag regelt </w:t>
      </w:r>
      <w:r w:rsidRPr="000F20D7">
        <w:t xml:space="preserve">de samenwerking van verdragspartijen, de rechtspositie van personeel van de Nederlandse </w:t>
      </w:r>
      <w:r w:rsidR="00F0751F">
        <w:t xml:space="preserve">en Franse </w:t>
      </w:r>
      <w:r w:rsidRPr="000F20D7">
        <w:t>strijdkrachten</w:t>
      </w:r>
      <w:r w:rsidR="001340F4">
        <w:t>,</w:t>
      </w:r>
      <w:r w:rsidRPr="000F20D7">
        <w:t xml:space="preserve"> alsmede de rechtspositie van het civiele personeel van het ministerie van Defensie van beide landen, dat tijdelijk aanwezig is op het grondgebied van de andere verdragspartij in het kader van</w:t>
      </w:r>
      <w:r>
        <w:t xml:space="preserve"> samenwerkingsactiviteiten.</w:t>
      </w:r>
    </w:p>
    <w:p w:rsidR="00845D94" w:rsidP="00141268" w:rsidRDefault="00141268" w14:paraId="0CCF2EB6" w14:textId="561EB22C">
      <w:pPr>
        <w:spacing w:before="160" w:line="276" w:lineRule="auto"/>
        <w:jc w:val="both"/>
      </w:pPr>
      <w:r>
        <w:t xml:space="preserve">Het Koninkrijk en Frankrijk werken in Europa en in het Caribisch gebied samen op het gebied van defensie. Voor activiteiten die plaatsvinden in Europa bestaat </w:t>
      </w:r>
      <w:r w:rsidR="004836D9">
        <w:t xml:space="preserve">reeds </w:t>
      </w:r>
      <w:r>
        <w:t>een juridisch kader voor de rechtspositie van het defensiepersoneel van beide landen. Deze regeling is neergelegd in het op 19 juni 1951 te Londen tot stand gekomen Verdrag tussen de Staten die partij zijn bij het Noord-Atlantisch Verdrag, nopens de rechtspositie van hun krijgsmachten (</w:t>
      </w:r>
      <w:r w:rsidRPr="00291CCD">
        <w:rPr>
          <w:i/>
        </w:rPr>
        <w:t>Trb</w:t>
      </w:r>
      <w:r>
        <w:t>. 1951, 114; hierna: ‘de NAVO SOFA’). De</w:t>
      </w:r>
      <w:r w:rsidR="004209D8">
        <w:t>ze</w:t>
      </w:r>
      <w:r>
        <w:t xml:space="preserve"> NAVO SOFA is op grond van het gestelde in het eerste lid van artikel XX van de NAVO SOFA </w:t>
      </w:r>
      <w:r w:rsidR="004209D8">
        <w:t>uitsluitend</w:t>
      </w:r>
      <w:r>
        <w:t xml:space="preserve"> van toepassing op het Europese deel van het Koni</w:t>
      </w:r>
      <w:r w:rsidR="00BF3296">
        <w:t>nkrijk.</w:t>
      </w:r>
    </w:p>
    <w:p w:rsidR="00033130" w:rsidP="00141268" w:rsidRDefault="002C57B3" w14:paraId="033FB8E3" w14:textId="21C7DF36">
      <w:pPr>
        <w:spacing w:before="160" w:line="276" w:lineRule="auto"/>
        <w:jc w:val="both"/>
      </w:pPr>
      <w:r>
        <w:t>Gelet op de samenwerking</w:t>
      </w:r>
      <w:r w:rsidR="00141268">
        <w:t xml:space="preserve"> en</w:t>
      </w:r>
      <w:r>
        <w:t xml:space="preserve"> de </w:t>
      </w:r>
      <w:r w:rsidR="00141268">
        <w:t>geme</w:t>
      </w:r>
      <w:r>
        <w:t>enschappelijke defensiebelangen</w:t>
      </w:r>
      <w:r w:rsidR="00141268">
        <w:t xml:space="preserve"> </w:t>
      </w:r>
      <w:r w:rsidR="007E2B8B">
        <w:t xml:space="preserve">van het Koninkrijk en Frankrijk </w:t>
      </w:r>
      <w:r w:rsidR="00141268">
        <w:t xml:space="preserve">in het Caribisch gebied </w:t>
      </w:r>
      <w:r w:rsidR="00845D94">
        <w:t>bestaat</w:t>
      </w:r>
      <w:r w:rsidR="00141268">
        <w:t xml:space="preserve"> behoefte om ook voor die regio te voorzien in een</w:t>
      </w:r>
      <w:r w:rsidR="00A2746F">
        <w:t xml:space="preserve"> </w:t>
      </w:r>
      <w:r w:rsidR="004209D8">
        <w:t xml:space="preserve">rechtspositionele </w:t>
      </w:r>
      <w:r w:rsidR="00A2746F">
        <w:t>regeling van</w:t>
      </w:r>
      <w:r w:rsidR="00141268">
        <w:t xml:space="preserve"> </w:t>
      </w:r>
      <w:r w:rsidR="00A2746F">
        <w:t>strijdkrachten aanwezig op het grondgebied van de verdragspartijen ten behoeve van</w:t>
      </w:r>
      <w:r w:rsidR="00141268">
        <w:t xml:space="preserve"> activiteiten op het gebied van defensiesamenwerking.</w:t>
      </w:r>
      <w:r w:rsidR="000859CD">
        <w:t xml:space="preserve"> </w:t>
      </w:r>
      <w:r w:rsidR="00141268">
        <w:t>Het Verdrag vu</w:t>
      </w:r>
      <w:r w:rsidR="00BF3296">
        <w:t>lt deze leemte</w:t>
      </w:r>
      <w:r w:rsidR="00AD6C24">
        <w:t xml:space="preserve">. </w:t>
      </w:r>
      <w:r w:rsidRPr="00845537" w:rsidR="00845537">
        <w:t>Wat</w:t>
      </w:r>
      <w:r w:rsidR="00246373">
        <w:t xml:space="preserve"> betreft</w:t>
      </w:r>
      <w:r w:rsidRPr="00845537" w:rsidR="00845537">
        <w:t xml:space="preserve"> </w:t>
      </w:r>
      <w:r w:rsidR="00D87FBA">
        <w:t xml:space="preserve">Frankrijk </w:t>
      </w:r>
      <w:r w:rsidRPr="00845537" w:rsidR="00845537">
        <w:t xml:space="preserve">is het </w:t>
      </w:r>
      <w:r w:rsidR="00807B23">
        <w:t>V</w:t>
      </w:r>
      <w:r w:rsidRPr="00845537" w:rsidR="00845537">
        <w:t xml:space="preserve">erdrag van toepassing op </w:t>
      </w:r>
      <w:r w:rsidR="0032320A">
        <w:t xml:space="preserve">het grondgebied van </w:t>
      </w:r>
      <w:r w:rsidRPr="00845537" w:rsidR="00845537">
        <w:t>de Franse Republiek in de Caraïben</w:t>
      </w:r>
      <w:r w:rsidR="00845537">
        <w:t xml:space="preserve"> (de eilanden</w:t>
      </w:r>
      <w:r w:rsidRPr="00845537" w:rsidR="00845537">
        <w:t xml:space="preserve"> Guadeloupe</w:t>
      </w:r>
      <w:r w:rsidR="00845537">
        <w:t xml:space="preserve">, </w:t>
      </w:r>
      <w:r w:rsidRPr="00845537" w:rsidR="00845537">
        <w:t>Martinique</w:t>
      </w:r>
      <w:r w:rsidR="00845537">
        <w:t xml:space="preserve">, </w:t>
      </w:r>
      <w:r w:rsidRPr="00845537" w:rsidR="00845537">
        <w:t>Saint-Barthélemy</w:t>
      </w:r>
      <w:r w:rsidR="00845537">
        <w:t xml:space="preserve"> en </w:t>
      </w:r>
      <w:r w:rsidR="00845D94">
        <w:t>Saint-Martin</w:t>
      </w:r>
      <w:r w:rsidR="00845537">
        <w:t>)</w:t>
      </w:r>
      <w:r w:rsidR="007C75F7">
        <w:t xml:space="preserve"> alsmede op </w:t>
      </w:r>
      <w:r w:rsidR="0032320A">
        <w:t xml:space="preserve">het grondgebied van </w:t>
      </w:r>
      <w:r w:rsidR="00845537">
        <w:t xml:space="preserve">de Franse Republiek in Zuid Amerika (Frans Guyana). </w:t>
      </w:r>
      <w:r w:rsidRPr="00246373" w:rsidR="00246373">
        <w:t xml:space="preserve">Wat </w:t>
      </w:r>
      <w:r w:rsidR="00246373">
        <w:t xml:space="preserve">betreft </w:t>
      </w:r>
      <w:r w:rsidRPr="00246373" w:rsidR="00246373">
        <w:t xml:space="preserve">het Koninkrijk, </w:t>
      </w:r>
      <w:r w:rsidR="00246373">
        <w:t>is</w:t>
      </w:r>
      <w:r w:rsidRPr="00246373" w:rsidR="00246373">
        <w:t xml:space="preserve"> dit </w:t>
      </w:r>
      <w:r w:rsidR="00CA4219">
        <w:t>V</w:t>
      </w:r>
      <w:r w:rsidRPr="00246373" w:rsidR="00246373">
        <w:t>erdrag van toepassing op het gehele Car</w:t>
      </w:r>
      <w:r w:rsidR="00246373">
        <w:t>ibische deel van het Koninkrijk</w:t>
      </w:r>
      <w:r w:rsidR="00033130">
        <w:t xml:space="preserve"> (zie ook de toelichting onder artikel 22 en onder </w:t>
      </w:r>
      <w:r w:rsidR="00C15482">
        <w:t xml:space="preserve">paragraaf 4. </w:t>
      </w:r>
      <w:r w:rsidR="00033130">
        <w:t>Koninkrijkspositie hieronder)</w:t>
      </w:r>
      <w:r w:rsidRPr="00246373" w:rsidR="00246373">
        <w:t>.</w:t>
      </w:r>
    </w:p>
    <w:p w:rsidR="00D67330" w:rsidP="00141268" w:rsidRDefault="00141268" w14:paraId="3EA49BDB" w14:textId="6CE6EAFD">
      <w:pPr>
        <w:spacing w:before="160" w:line="276" w:lineRule="auto"/>
        <w:jc w:val="both"/>
      </w:pPr>
      <w:r>
        <w:t>Het Verdrag is in de eerste</w:t>
      </w:r>
      <w:r w:rsidR="00CF4CFA">
        <w:t xml:space="preserve"> plaats een ‘klassieke’ </w:t>
      </w:r>
      <w:r w:rsidRPr="00D87FBA" w:rsidR="00D87FBA">
        <w:rPr>
          <w:i/>
        </w:rPr>
        <w:t>Status of Forces Agreement</w:t>
      </w:r>
      <w:r w:rsidRPr="00D87FBA" w:rsidR="00D87FBA">
        <w:t xml:space="preserve"> </w:t>
      </w:r>
      <w:r w:rsidR="00D87FBA">
        <w:t>(</w:t>
      </w:r>
      <w:r w:rsidR="00CF4CFA">
        <w:t>SOFA</w:t>
      </w:r>
      <w:r w:rsidR="00D87FBA">
        <w:t>)</w:t>
      </w:r>
      <w:r w:rsidR="004209D8">
        <w:t xml:space="preserve">. Het </w:t>
      </w:r>
      <w:r w:rsidR="00EE723B">
        <w:t>stipuleert</w:t>
      </w:r>
      <w:r w:rsidR="00CF4CFA">
        <w:t xml:space="preserve"> de</w:t>
      </w:r>
      <w:r>
        <w:t xml:space="preserve"> </w:t>
      </w:r>
      <w:r w:rsidR="00A2746F">
        <w:t>rechtspositie van de strijdkrachten van verdragspartijen aanwezig op elkaars grondgebied in het kader van</w:t>
      </w:r>
      <w:r>
        <w:t xml:space="preserve"> gebruikelijke activiteiten op het gebied van defensiesamenwerking, zoals scheepsbezoeken, oef</w:t>
      </w:r>
      <w:r w:rsidR="00BD5F2F">
        <w:t>eningen, training en opleiding.</w:t>
      </w:r>
    </w:p>
    <w:p w:rsidR="00BF7550" w:rsidP="00141268" w:rsidRDefault="00141268" w14:paraId="4BFBEDA9" w14:textId="4C06E156">
      <w:pPr>
        <w:spacing w:before="160" w:line="276" w:lineRule="auto"/>
        <w:jc w:val="both"/>
      </w:pPr>
      <w:r>
        <w:t xml:space="preserve">In de afgelopen jaren </w:t>
      </w:r>
      <w:r w:rsidR="004F0BA3">
        <w:t xml:space="preserve">is in de praktijk </w:t>
      </w:r>
      <w:r w:rsidR="00D67330">
        <w:t xml:space="preserve">echter </w:t>
      </w:r>
      <w:r w:rsidR="004F0BA3">
        <w:t xml:space="preserve">gebleken dat </w:t>
      </w:r>
      <w:r w:rsidR="00A2746F">
        <w:t xml:space="preserve">het </w:t>
      </w:r>
      <w:r w:rsidR="004F0BA3">
        <w:t xml:space="preserve">wenselijk is het mogelijke </w:t>
      </w:r>
      <w:r w:rsidR="00A2746F">
        <w:t xml:space="preserve">toepassingsbereik uit te breiden </w:t>
      </w:r>
      <w:r>
        <w:t xml:space="preserve">ten behoeve van andere activiteiten op het gebied van defensiesamenwerking tussen beide landen in het Caribisch gebied, in het bijzonder </w:t>
      </w:r>
      <w:r w:rsidR="00D67330">
        <w:t xml:space="preserve">ten behoeve van </w:t>
      </w:r>
      <w:r w:rsidR="00CA4219">
        <w:t xml:space="preserve">activiteiten </w:t>
      </w:r>
      <w:r>
        <w:t>op het gebied van humanitaire bijstand bij natu</w:t>
      </w:r>
      <w:r w:rsidR="00BD5F2F">
        <w:t>urrampen, zoals orkanen</w:t>
      </w:r>
      <w:r w:rsidR="00342A60">
        <w:t xml:space="preserve">, maar ook </w:t>
      </w:r>
      <w:r w:rsidR="002605EE">
        <w:t>actueel</w:t>
      </w:r>
      <w:r w:rsidR="00342A60">
        <w:t xml:space="preserve"> </w:t>
      </w:r>
      <w:r w:rsidR="002605EE">
        <w:t>wordt</w:t>
      </w:r>
      <w:r w:rsidR="00342A60">
        <w:t xml:space="preserve"> die behoefte</w:t>
      </w:r>
      <w:r w:rsidR="002605EE">
        <w:t xml:space="preserve"> gevoeld</w:t>
      </w:r>
      <w:r w:rsidR="00342A60">
        <w:t xml:space="preserve"> tijdens de </w:t>
      </w:r>
      <w:r w:rsidR="00D67330">
        <w:t xml:space="preserve">huidige </w:t>
      </w:r>
      <w:r w:rsidR="00342A60">
        <w:t>crises vanwege Covid-19</w:t>
      </w:r>
      <w:r w:rsidR="00BD5F2F">
        <w:t>.</w:t>
      </w:r>
    </w:p>
    <w:p w:rsidR="003A5093" w:rsidP="00141268" w:rsidRDefault="00141268" w14:paraId="1AD959B8" w14:textId="411F7063">
      <w:pPr>
        <w:spacing w:before="160" w:line="276" w:lineRule="auto"/>
        <w:jc w:val="both"/>
      </w:pPr>
      <w:r>
        <w:lastRenderedPageBreak/>
        <w:t xml:space="preserve">Bij gebrek aan een algemeen juridisch kader </w:t>
      </w:r>
      <w:r w:rsidR="00845D94">
        <w:t>i</w:t>
      </w:r>
      <w:r>
        <w:t xml:space="preserve">n dergelijke situaties moet samenwerking </w:t>
      </w:r>
      <w:r w:rsidR="00A2746F">
        <w:t xml:space="preserve">en status van personeel </w:t>
      </w:r>
      <w:r w:rsidR="00915CAD">
        <w:t xml:space="preserve">nu nog </w:t>
      </w:r>
      <w:r>
        <w:t xml:space="preserve">ad hoc worden geregeld. Zo werd op 30 januari 2018 een Notawisseling gesloten houdende een </w:t>
      </w:r>
      <w:r w:rsidR="00033130">
        <w:t>éé</w:t>
      </w:r>
      <w:r>
        <w:t xml:space="preserve">njarig verdrag tussen de regering van het Koninkrijk der Nederlanden, ten behoeve van Sint Maarten, en de regering van de Franse Republiek inzake de rechtspositie van Franse militairen en andere onderdelen van de Franse overheid </w:t>
      </w:r>
      <w:r w:rsidR="00915CAD">
        <w:t xml:space="preserve">in het kader van </w:t>
      </w:r>
      <w:r>
        <w:t>de nasleep van orkaan Irma (</w:t>
      </w:r>
      <w:r w:rsidRPr="00291CCD">
        <w:rPr>
          <w:i/>
        </w:rPr>
        <w:t>Trb</w:t>
      </w:r>
      <w:r>
        <w:t>. 2018, 20). Met het sluiten van d</w:t>
      </w:r>
      <w:r w:rsidR="00D67330">
        <w:t>a</w:t>
      </w:r>
      <w:r>
        <w:t xml:space="preserve">t </w:t>
      </w:r>
      <w:r w:rsidR="00033130">
        <w:t>éé</w:t>
      </w:r>
      <w:r>
        <w:t xml:space="preserve">njarige verdrag werd de aanwezigheid geformaliseerd van de Franse militairen en overige onderdelen van de Franse overheid die zich in het kader van de hulpoperaties, </w:t>
      </w:r>
      <w:r w:rsidR="0068168C">
        <w:t xml:space="preserve">die op gang </w:t>
      </w:r>
      <w:r w:rsidR="00845D94">
        <w:t>kwamen</w:t>
      </w:r>
      <w:r w:rsidR="0068168C">
        <w:t xml:space="preserve"> </w:t>
      </w:r>
      <w:r>
        <w:t>na orkaan Irma, op het grondgebied van Sint Maarten bev</w:t>
      </w:r>
      <w:r w:rsidR="00845D94">
        <w:t>o</w:t>
      </w:r>
      <w:r>
        <w:t>nden</w:t>
      </w:r>
      <w:r w:rsidR="003D262A">
        <w:t>. Het sluiten van d</w:t>
      </w:r>
      <w:r w:rsidR="00D67330">
        <w:t>a</w:t>
      </w:r>
      <w:r w:rsidR="003D262A">
        <w:t xml:space="preserve">t </w:t>
      </w:r>
      <w:r>
        <w:t>verdr</w:t>
      </w:r>
      <w:r w:rsidR="003D262A">
        <w:t xml:space="preserve">ag getuigt van de Nederlandse </w:t>
      </w:r>
      <w:r>
        <w:t xml:space="preserve">bereidheid om met Frankrijk in de regio samen te werken. Het verdrag is inmiddels buiten werking getreden. </w:t>
      </w:r>
      <w:r w:rsidR="00266748">
        <w:t xml:space="preserve">Op 6 augustus 2020 heeft het navolging gekregen in een nieuw éénjarig verdrag </w:t>
      </w:r>
      <w:r w:rsidR="00D67330">
        <w:t>tussen het Koninkrijk der Nederlanden, ten behoeve van Sint Maar</w:t>
      </w:r>
      <w:r w:rsidR="00A60122">
        <w:t>ten, en de Franse Republiek</w:t>
      </w:r>
      <w:r w:rsidR="00266748">
        <w:t xml:space="preserve"> </w:t>
      </w:r>
      <w:r w:rsidR="003A5093">
        <w:t>inzake de rechtspositie en ander overheidspersoneel, aanwezig op elkaars grondgebied, in het kader van de Covid-19-crisis en humanitaire noodhulp bij orkanen (</w:t>
      </w:r>
      <w:r w:rsidRPr="00291CCD" w:rsidR="003A5093">
        <w:rPr>
          <w:i/>
        </w:rPr>
        <w:t>Trb</w:t>
      </w:r>
      <w:r w:rsidR="003A5093">
        <w:t>. 2020, 76).</w:t>
      </w:r>
      <w:r w:rsidR="00033130">
        <w:t xml:space="preserve"> </w:t>
      </w:r>
    </w:p>
    <w:p w:rsidR="003A5093" w:rsidP="00141268" w:rsidRDefault="00141268" w14:paraId="1F539BD9" w14:textId="04F07657">
      <w:pPr>
        <w:spacing w:before="160" w:line="276" w:lineRule="auto"/>
        <w:jc w:val="both"/>
      </w:pPr>
      <w:r>
        <w:t>In tijden van crisis, waarin snel gehandeld m</w:t>
      </w:r>
      <w:r w:rsidR="00320800">
        <w:t xml:space="preserve">oet worden, </w:t>
      </w:r>
      <w:r w:rsidR="00EE723B">
        <w:t>vertraagt</w:t>
      </w:r>
      <w:r w:rsidR="00320800">
        <w:t xml:space="preserve"> </w:t>
      </w:r>
      <w:r w:rsidR="00B23AB8">
        <w:t xml:space="preserve">evenwel </w:t>
      </w:r>
      <w:r w:rsidR="00320800">
        <w:t xml:space="preserve">het sluiten van </w:t>
      </w:r>
      <w:r w:rsidR="00342A60">
        <w:t>zo’</w:t>
      </w:r>
      <w:r w:rsidR="00320800">
        <w:t>n ad hoc verdrag</w:t>
      </w:r>
      <w:r w:rsidR="00B23AB8">
        <w:t xml:space="preserve">, wat </w:t>
      </w:r>
      <w:r>
        <w:t xml:space="preserve">de uitvoering van </w:t>
      </w:r>
      <w:r w:rsidR="00320800">
        <w:t xml:space="preserve">de </w:t>
      </w:r>
      <w:r w:rsidR="00610ECF">
        <w:t xml:space="preserve">hulpverlening </w:t>
      </w:r>
      <w:r w:rsidR="00342A60">
        <w:t xml:space="preserve">bij crises </w:t>
      </w:r>
      <w:r w:rsidR="00610ECF">
        <w:t>niet ten goede</w:t>
      </w:r>
      <w:r w:rsidR="00B23AB8">
        <w:t xml:space="preserve"> komt</w:t>
      </w:r>
      <w:r>
        <w:t>.</w:t>
      </w:r>
      <w:r w:rsidR="006644E0">
        <w:t xml:space="preserve"> </w:t>
      </w:r>
      <w:r>
        <w:t xml:space="preserve">Beide partijen hebben onderkend dat het meerwaarde heeft om de rechtspositie van defensiepersoneel </w:t>
      </w:r>
      <w:r w:rsidR="00342A60">
        <w:t>voor</w:t>
      </w:r>
      <w:r>
        <w:t xml:space="preserve"> samenwerking op het gebied van humanitaire bijstand bij natuurrampen </w:t>
      </w:r>
      <w:r w:rsidR="002605EE">
        <w:t xml:space="preserve">of andere crises </w:t>
      </w:r>
      <w:r>
        <w:t>vooraf en structureel te regelen. Om die reden is naast bovengenoemde gebieden van defensiesamenwerking ook humanitaire bijstand bij natuurrampen of in elke andere noodsituatie expliciet benoemd als mogelijke vorm van samenwerking waarop</w:t>
      </w:r>
      <w:r w:rsidR="006644E0">
        <w:t xml:space="preserve"> het </w:t>
      </w:r>
      <w:r w:rsidR="00807B23">
        <w:t>V</w:t>
      </w:r>
      <w:r w:rsidR="006644E0">
        <w:t xml:space="preserve">erdrag van toepassing is. </w:t>
      </w:r>
      <w:r>
        <w:t xml:space="preserve">Hiermee wordt </w:t>
      </w:r>
      <w:r w:rsidR="00EE723B">
        <w:t>defensie</w:t>
      </w:r>
      <w:r>
        <w:t>samenwerking vergemakkelijkt</w:t>
      </w:r>
      <w:r w:rsidRPr="0090018F" w:rsidR="0090018F">
        <w:t xml:space="preserve"> en daarmee ook de bereidwilligheid om deze samenwerking op te zoeken</w:t>
      </w:r>
      <w:r>
        <w:t xml:space="preserve">, waardoor deze in tijden van crisis effectief en efficiënt </w:t>
      </w:r>
      <w:r w:rsidR="00ED4585">
        <w:t>in gang kan worden gezet.</w:t>
      </w:r>
    </w:p>
    <w:p w:rsidR="00141268" w:rsidP="00141268" w:rsidRDefault="004337DD" w14:paraId="658E898E" w14:textId="1B270BA7">
      <w:pPr>
        <w:spacing w:before="160" w:line="276" w:lineRule="auto"/>
        <w:jc w:val="both"/>
      </w:pPr>
      <w:r w:rsidRPr="00955CD4">
        <w:t>De in artikel 3 van het verdrag opgenomen en ook hierboven reeds genoemde vormen van samenwerking verplichten partijen echter op generlei wijze om deze samenwerking ook daadwerkelijk aan te gaan en uit te voeren. De vermelde opsomming geeft slechts mogelijke vormen van samenwerking weer, die partijen kunnen aangaan indien zij hiertoe nader besluiten. Partijen kunnen in onderling overleg overeenkomen om ook andere activiteiten, dan die genoemd, uit te voeren in het nastreven van hun gemeenschappelijke belangen.</w:t>
      </w:r>
    </w:p>
    <w:p w:rsidR="00033130" w:rsidP="00F97FDE" w:rsidRDefault="00AE66AB" w14:paraId="37D3859F" w14:textId="4E467EB3">
      <w:pPr>
        <w:spacing w:before="160" w:line="276" w:lineRule="auto"/>
        <w:jc w:val="both"/>
      </w:pPr>
      <w:r w:rsidRPr="0090018F">
        <w:t xml:space="preserve">Het tot stand komen van het Verdrag betekent </w:t>
      </w:r>
      <w:r w:rsidR="003A5093">
        <w:t xml:space="preserve">dus </w:t>
      </w:r>
      <w:r w:rsidRPr="0090018F">
        <w:t>niet dat Franse strijdkrachten en civiel personeel zondermeer en zonder enig overleg het grondgebied van het Caribische deel van het Koninkrijk kunnen betreden</w:t>
      </w:r>
      <w:r w:rsidR="0090018F">
        <w:t xml:space="preserve">. </w:t>
      </w:r>
      <w:r w:rsidRPr="0090018F">
        <w:t>Voor ieder bezoek zal toestemming moeten worden verleend door de betreffende lokale autoriteiten. De betreffende autoriteiten van het Caribische deel van het Koninkrijk blijven dus zeggenschap houden over wanneer het personeel van de andere verdragspartij hun grondgebied kan betreden en kunnen hier zo nodig voorwaarden aan stellen.</w:t>
      </w:r>
    </w:p>
    <w:p w:rsidRPr="00F97FDE" w:rsidR="00606643" w:rsidP="00F97FDE" w:rsidRDefault="00DA4C7F" w14:paraId="225ACC44" w14:textId="77777777">
      <w:pPr>
        <w:spacing w:before="160" w:line="276" w:lineRule="auto"/>
        <w:jc w:val="both"/>
        <w:rPr>
          <w:sz w:val="24"/>
          <w:szCs w:val="24"/>
        </w:rPr>
      </w:pPr>
      <w:r>
        <w:rPr>
          <w:b/>
          <w:sz w:val="24"/>
          <w:szCs w:val="24"/>
        </w:rPr>
        <w:t>2</w:t>
      </w:r>
      <w:r w:rsidRPr="00F97FDE" w:rsidR="003809F5">
        <w:rPr>
          <w:sz w:val="24"/>
          <w:szCs w:val="24"/>
        </w:rPr>
        <w:t>.</w:t>
      </w:r>
      <w:r w:rsidRPr="00F97FDE">
        <w:rPr>
          <w:sz w:val="24"/>
          <w:szCs w:val="24"/>
        </w:rPr>
        <w:t xml:space="preserve"> </w:t>
      </w:r>
      <w:r w:rsidRPr="00F97FDE" w:rsidR="004D33FD">
        <w:rPr>
          <w:b/>
          <w:sz w:val="24"/>
          <w:szCs w:val="24"/>
        </w:rPr>
        <w:t>Artikelsgewijze</w:t>
      </w:r>
      <w:r w:rsidRPr="00F97FDE" w:rsidR="003809F5">
        <w:rPr>
          <w:b/>
          <w:sz w:val="24"/>
          <w:szCs w:val="24"/>
        </w:rPr>
        <w:t xml:space="preserve"> </w:t>
      </w:r>
      <w:r w:rsidRPr="00F97FDE">
        <w:rPr>
          <w:b/>
          <w:sz w:val="24"/>
          <w:szCs w:val="24"/>
        </w:rPr>
        <w:t>toelichting</w:t>
      </w:r>
    </w:p>
    <w:p w:rsidRPr="00F97FDE" w:rsidR="001A5AD3" w:rsidP="00F97FDE" w:rsidRDefault="00AB118D" w14:paraId="105B1456" w14:textId="77777777">
      <w:pPr>
        <w:spacing w:before="160" w:line="276" w:lineRule="auto"/>
        <w:jc w:val="both"/>
        <w:rPr>
          <w:b/>
        </w:rPr>
      </w:pPr>
      <w:r w:rsidRPr="00F97FDE">
        <w:rPr>
          <w:b/>
        </w:rPr>
        <w:t>TITEL I</w:t>
      </w:r>
    </w:p>
    <w:p w:rsidRPr="00F97FDE" w:rsidR="004D33FD" w:rsidP="00F97FDE" w:rsidRDefault="0042352C" w14:paraId="1127F399" w14:textId="77777777">
      <w:pPr>
        <w:spacing w:before="160" w:line="276" w:lineRule="auto"/>
        <w:jc w:val="both"/>
        <w:rPr>
          <w:i/>
        </w:rPr>
      </w:pPr>
      <w:r w:rsidRPr="00F97FDE">
        <w:rPr>
          <w:i/>
        </w:rPr>
        <w:t>Artikel 2</w:t>
      </w:r>
      <w:r w:rsidRPr="00F97FDE" w:rsidR="00211BFE">
        <w:rPr>
          <w:i/>
        </w:rPr>
        <w:t xml:space="preserve"> </w:t>
      </w:r>
    </w:p>
    <w:p w:rsidRPr="00F53F8D" w:rsidR="007A5D98" w:rsidP="00F97FDE" w:rsidRDefault="0054502C" w14:paraId="44B8EB94" w14:textId="77777777">
      <w:pPr>
        <w:spacing w:before="160" w:line="276" w:lineRule="auto"/>
        <w:jc w:val="both"/>
      </w:pPr>
      <w:r>
        <w:t xml:space="preserve">Het </w:t>
      </w:r>
      <w:r w:rsidRPr="00F53F8D" w:rsidR="00812370">
        <w:t xml:space="preserve">eerste lid </w:t>
      </w:r>
      <w:r>
        <w:t xml:space="preserve">van dit artikel </w:t>
      </w:r>
      <w:r w:rsidRPr="00F53F8D" w:rsidR="0042352C">
        <w:t>o</w:t>
      </w:r>
      <w:r w:rsidRPr="00F53F8D" w:rsidR="001A5AD3">
        <w:t>mschrijft in algemene zin</w:t>
      </w:r>
      <w:r w:rsidRPr="00F53F8D" w:rsidR="0042352C">
        <w:t xml:space="preserve"> </w:t>
      </w:r>
      <w:r w:rsidRPr="00F53F8D" w:rsidR="001A5AD3">
        <w:t xml:space="preserve">de inhoud van het </w:t>
      </w:r>
      <w:r w:rsidR="002E25BE">
        <w:t>V</w:t>
      </w:r>
      <w:r w:rsidRPr="00F53F8D" w:rsidR="001A5AD3">
        <w:t xml:space="preserve">erdrag. </w:t>
      </w:r>
      <w:r w:rsidRPr="00F53F8D" w:rsidR="00BE3A99">
        <w:t>Deze is tweeledig en omvat</w:t>
      </w:r>
      <w:r w:rsidRPr="00F53F8D" w:rsidR="007A5D98">
        <w:t>:</w:t>
      </w:r>
      <w:r w:rsidRPr="00F53F8D" w:rsidR="00BE3A99">
        <w:t xml:space="preserve"> </w:t>
      </w:r>
    </w:p>
    <w:p w:rsidRPr="00F53F8D" w:rsidR="007A5D98" w:rsidP="00F97FDE" w:rsidRDefault="007A5D98" w14:paraId="0532730C" w14:textId="195F741F">
      <w:pPr>
        <w:spacing w:before="160" w:line="276" w:lineRule="auto"/>
        <w:ind w:left="360"/>
        <w:jc w:val="both"/>
      </w:pPr>
      <w:r w:rsidRPr="00F53F8D">
        <w:t>-</w:t>
      </w:r>
      <w:r w:rsidRPr="00F53F8D">
        <w:tab/>
      </w:r>
      <w:r w:rsidRPr="00F53F8D" w:rsidR="00BE3A99">
        <w:t xml:space="preserve">de samenwerking tussen </w:t>
      </w:r>
      <w:r w:rsidR="00F33969">
        <w:t>p</w:t>
      </w:r>
      <w:r w:rsidRPr="00F53F8D" w:rsidR="00BE3A99">
        <w:t>artijen op defensie- en veiligheidsgebied</w:t>
      </w:r>
      <w:r w:rsidRPr="00F53F8D">
        <w:t>,</w:t>
      </w:r>
      <w:r w:rsidRPr="00F53F8D" w:rsidR="00211BFE">
        <w:t xml:space="preserve"> alsmede</w:t>
      </w:r>
      <w:r w:rsidR="00CD2E74">
        <w:t>;</w:t>
      </w:r>
    </w:p>
    <w:p w:rsidRPr="00F53F8D" w:rsidR="0042352C" w:rsidP="00F97FDE" w:rsidRDefault="00D308FF" w14:paraId="7B744482" w14:textId="77777777">
      <w:pPr>
        <w:pStyle w:val="Lijstalinea"/>
        <w:numPr>
          <w:ilvl w:val="0"/>
          <w:numId w:val="3"/>
        </w:numPr>
        <w:spacing w:before="160" w:line="276" w:lineRule="auto"/>
        <w:jc w:val="both"/>
      </w:pPr>
      <w:r w:rsidRPr="00F53F8D">
        <w:lastRenderedPageBreak/>
        <w:t xml:space="preserve">de status van de strijdkrachten </w:t>
      </w:r>
      <w:r w:rsidRPr="00F53F8D" w:rsidR="003B269A">
        <w:t xml:space="preserve">en leden van het </w:t>
      </w:r>
      <w:r w:rsidR="008E7CEF">
        <w:t xml:space="preserve">civiele </w:t>
      </w:r>
      <w:r w:rsidRPr="00F53F8D" w:rsidR="003B269A">
        <w:t xml:space="preserve">personeel van de zendende partij op het grondgebied van de ontvangende partij. </w:t>
      </w:r>
      <w:r w:rsidRPr="00F53F8D" w:rsidR="002014F0">
        <w:t>Bepalingen inzake de status van het personeel zijn</w:t>
      </w:r>
      <w:r w:rsidRPr="00F53F8D" w:rsidR="00812370">
        <w:t xml:space="preserve"> opgenomen in Titel II van het </w:t>
      </w:r>
      <w:r w:rsidR="005F7055">
        <w:t>V</w:t>
      </w:r>
      <w:r w:rsidRPr="00F53F8D" w:rsidR="00812370">
        <w:t>erdrag</w:t>
      </w:r>
      <w:r w:rsidRPr="00F53F8D" w:rsidR="00217D31">
        <w:t>,</w:t>
      </w:r>
      <w:r w:rsidRPr="00F53F8D" w:rsidR="00812370">
        <w:t xml:space="preserve"> </w:t>
      </w:r>
      <w:r w:rsidRPr="00F53F8D" w:rsidR="00840697">
        <w:t xml:space="preserve">waarop in </w:t>
      </w:r>
      <w:r w:rsidR="00E57CE5">
        <w:t>de artikelen 7</w:t>
      </w:r>
      <w:r w:rsidR="005F7055">
        <w:t>–</w:t>
      </w:r>
      <w:r w:rsidRPr="00F53F8D" w:rsidR="00840697">
        <w:t>20 nader zal worden ingegaan.</w:t>
      </w:r>
      <w:r w:rsidRPr="00F53F8D" w:rsidR="00D96063">
        <w:t xml:space="preserve"> </w:t>
      </w:r>
    </w:p>
    <w:p w:rsidRPr="00F53F8D" w:rsidR="00D037C5" w:rsidP="00F97FDE" w:rsidRDefault="001B4188" w14:paraId="3675356D" w14:textId="467B2F7A">
      <w:pPr>
        <w:spacing w:before="160" w:line="276" w:lineRule="auto"/>
        <w:jc w:val="both"/>
      </w:pPr>
      <w:r w:rsidRPr="00F53F8D">
        <w:t>O</w:t>
      </w:r>
      <w:r w:rsidRPr="00F53F8D" w:rsidR="00867829">
        <w:t xml:space="preserve">p grond van het tweede </w:t>
      </w:r>
      <w:r w:rsidRPr="00F53F8D">
        <w:t xml:space="preserve">lid van dit artikel </w:t>
      </w:r>
      <w:r w:rsidRPr="00F53F8D" w:rsidR="000B56E1">
        <w:t xml:space="preserve">is de nadere tenuitvoerlegging van de samenwerking voorbehouden </w:t>
      </w:r>
      <w:r w:rsidRPr="00F53F8D" w:rsidR="00801135">
        <w:t xml:space="preserve">aan de ministeries belast met defensie </w:t>
      </w:r>
      <w:r w:rsidRPr="00F97FDE" w:rsidR="00801135">
        <w:rPr>
          <w:i/>
        </w:rPr>
        <w:t>en veiligheid</w:t>
      </w:r>
      <w:r w:rsidRPr="00F53F8D" w:rsidR="00801135">
        <w:t xml:space="preserve"> van beide partijen. </w:t>
      </w:r>
      <w:r w:rsidR="002E25BE">
        <w:t xml:space="preserve">De </w:t>
      </w:r>
      <w:r w:rsidR="00D04922">
        <w:t>woorden</w:t>
      </w:r>
      <w:r w:rsidRPr="00F53F8D" w:rsidR="00801135">
        <w:t xml:space="preserve"> “met veiligheid” </w:t>
      </w:r>
      <w:r w:rsidR="00D04922">
        <w:t>zijn</w:t>
      </w:r>
      <w:r w:rsidRPr="00F53F8D" w:rsidR="00801135">
        <w:t xml:space="preserve"> op verzoek van Frankrijk toegevoegd, omdat de “Gendarmerie national</w:t>
      </w:r>
      <w:r w:rsidR="00A4774A">
        <w:t xml:space="preserve">e” als </w:t>
      </w:r>
      <w:r w:rsidRPr="00A4774A" w:rsidR="00A4774A">
        <w:t xml:space="preserve">tak van de Franse strijdkrachten </w:t>
      </w:r>
      <w:r w:rsidR="00A4774A">
        <w:t xml:space="preserve">is </w:t>
      </w:r>
      <w:r w:rsidRPr="00A4774A" w:rsidR="00A4774A">
        <w:t>ge</w:t>
      </w:r>
      <w:r w:rsidR="00A4774A">
        <w:t>plaatst onder</w:t>
      </w:r>
      <w:r w:rsidRPr="00A4774A" w:rsidR="00A4774A">
        <w:t xml:space="preserve"> het mini</w:t>
      </w:r>
      <w:r w:rsidR="00A4774A">
        <w:t xml:space="preserve">sterie van Binnenlandse Zaken, </w:t>
      </w:r>
      <w:r w:rsidRPr="00A4774A" w:rsidR="00A4774A">
        <w:t>met extra taken voor het ministerie van Defensie.</w:t>
      </w:r>
      <w:r w:rsidR="00A4774A">
        <w:t xml:space="preserve"> </w:t>
      </w:r>
      <w:r w:rsidR="00B07B0D">
        <w:t xml:space="preserve">Laatstgenoemde </w:t>
      </w:r>
      <w:r w:rsidR="00A4774A">
        <w:t xml:space="preserve">taken vallen binnen de reikwijdte van </w:t>
      </w:r>
      <w:r w:rsidR="00901A02">
        <w:t>het</w:t>
      </w:r>
      <w:r w:rsidR="00A4774A">
        <w:t xml:space="preserve"> </w:t>
      </w:r>
      <w:r w:rsidR="002E25BE">
        <w:t>V</w:t>
      </w:r>
      <w:r w:rsidR="00A4774A">
        <w:t xml:space="preserve">erdrag. </w:t>
      </w:r>
      <w:r w:rsidRPr="00F53F8D" w:rsidR="00D549DC">
        <w:t xml:space="preserve">Op grond van het gestelde in het derde lid van dit artikel </w:t>
      </w:r>
      <w:r w:rsidRPr="00F53F8D" w:rsidR="00F52652">
        <w:t xml:space="preserve">kan de nadere uitvoering van het </w:t>
      </w:r>
      <w:r w:rsidR="002E25BE">
        <w:t>V</w:t>
      </w:r>
      <w:r w:rsidRPr="00F53F8D" w:rsidR="00B2571E">
        <w:t xml:space="preserve">erdrag worden overeengekomen door middel van elk passend instrument </w:t>
      </w:r>
      <w:r w:rsidRPr="00F53F8D" w:rsidR="00317B03">
        <w:t xml:space="preserve">dat tussen bevoegde autoriteiten van partijen wordt overeengekomen. In de praktijk komt dit </w:t>
      </w:r>
      <w:r w:rsidR="00C363BA">
        <w:t xml:space="preserve">veelal </w:t>
      </w:r>
      <w:r w:rsidRPr="00F53F8D" w:rsidR="00317B03">
        <w:t xml:space="preserve">neer op </w:t>
      </w:r>
      <w:r w:rsidRPr="00F53F8D" w:rsidR="004D3E54">
        <w:t xml:space="preserve">niet-juridisch verbindende </w:t>
      </w:r>
      <w:r w:rsidRPr="00F53F8D" w:rsidR="00103445">
        <w:t>interna</w:t>
      </w:r>
      <w:r w:rsidRPr="00F53F8D" w:rsidR="004D3E54">
        <w:t>t</w:t>
      </w:r>
      <w:r w:rsidR="000826D2">
        <w:t xml:space="preserve">ionale beleidsafspraken </w:t>
      </w:r>
      <w:r w:rsidR="00BF7550">
        <w:t>(</w:t>
      </w:r>
      <w:r w:rsidRPr="007B4E5C" w:rsidR="007B4E5C">
        <w:t>Memoranda of Understanding</w:t>
      </w:r>
      <w:r w:rsidR="00D77D4F">
        <w:t>, MoU’s</w:t>
      </w:r>
      <w:r w:rsidR="00BF7550">
        <w:t>)</w:t>
      </w:r>
      <w:r w:rsidR="00622B51">
        <w:t xml:space="preserve">, </w:t>
      </w:r>
      <w:r w:rsidR="007B4E5C">
        <w:t xml:space="preserve">waarin nadere afspraken van technische en uitvoerende aard tussen de competente defensieautoriteiten van beide </w:t>
      </w:r>
      <w:r w:rsidR="00A60E39">
        <w:t xml:space="preserve">partijen </w:t>
      </w:r>
      <w:r w:rsidR="007B4E5C">
        <w:t>kunnen worden gemaakt ten behoeve van een concrete samenwerkingsactiviteit</w:t>
      </w:r>
      <w:r w:rsidRPr="00F53F8D" w:rsidR="008A1A5E">
        <w:t>.</w:t>
      </w:r>
      <w:r w:rsidR="00D30C21">
        <w:t xml:space="preserve"> </w:t>
      </w:r>
    </w:p>
    <w:p w:rsidRPr="00F97FDE" w:rsidR="00D037C5" w:rsidP="00F97FDE" w:rsidRDefault="00D037C5" w14:paraId="498F565D" w14:textId="42C5D15B">
      <w:pPr>
        <w:spacing w:before="160" w:line="276" w:lineRule="auto"/>
        <w:jc w:val="both"/>
        <w:rPr>
          <w:i/>
        </w:rPr>
      </w:pPr>
      <w:r w:rsidRPr="00F97FDE">
        <w:rPr>
          <w:i/>
        </w:rPr>
        <w:t>Artikel 3</w:t>
      </w:r>
    </w:p>
    <w:p w:rsidRPr="00F53F8D" w:rsidR="00C82F25" w:rsidP="00F97FDE" w:rsidRDefault="00A672A0" w14:paraId="1AF0F75E" w14:textId="7DF68188">
      <w:pPr>
        <w:spacing w:before="160" w:line="276" w:lineRule="auto"/>
        <w:jc w:val="both"/>
      </w:pPr>
      <w:r w:rsidRPr="00C82F25">
        <w:t xml:space="preserve">In dit artikel wordt een opsomming gegeven van mogelijke vormen van samenwerking die </w:t>
      </w:r>
      <w:r w:rsidR="00F33969">
        <w:t>p</w:t>
      </w:r>
      <w:r w:rsidRPr="00C82F25">
        <w:t xml:space="preserve">artijen kunnen aangaan. </w:t>
      </w:r>
      <w:r w:rsidRPr="00C82F25" w:rsidR="00222C46">
        <w:t>Hierbij valt niet alleen te denken aan gebruikelijke activiteiten zoals scheepsbezoeken, oefeningen, training en opleiding, maar meer in het bijzonder ook aan activiteiten op het gebied van humanitaire bijstand bij natuurrampen, zoals orkanen</w:t>
      </w:r>
      <w:r w:rsidR="00A60E39">
        <w:t>,</w:t>
      </w:r>
      <w:r w:rsidR="00C82F25">
        <w:t xml:space="preserve"> maar het kan ook uitkomst bieden bij het bezweren van </w:t>
      </w:r>
      <w:r w:rsidR="00A60E39">
        <w:t xml:space="preserve">andere crises zoals </w:t>
      </w:r>
      <w:r w:rsidR="00C82F25">
        <w:t>Covid-19</w:t>
      </w:r>
      <w:r w:rsidR="00A60E39">
        <w:t>.</w:t>
      </w:r>
      <w:r w:rsidRPr="00C82F25" w:rsidR="005E4D0F">
        <w:t xml:space="preserve"> </w:t>
      </w:r>
      <w:r w:rsidRPr="00C82F25" w:rsidR="008E4B55">
        <w:t>O</w:t>
      </w:r>
      <w:r w:rsidRPr="00C82F25" w:rsidR="00540AEA">
        <w:t xml:space="preserve">m een </w:t>
      </w:r>
      <w:r w:rsidRPr="00C82F25" w:rsidR="008E4B55">
        <w:t>vorm van samenwerking te kunnen aangaan</w:t>
      </w:r>
      <w:r w:rsidRPr="00C82F25" w:rsidR="00554C6A">
        <w:t>, die</w:t>
      </w:r>
      <w:r w:rsidRPr="00C82F25" w:rsidR="008E4B55">
        <w:t>nen</w:t>
      </w:r>
      <w:r w:rsidRPr="00C82F25" w:rsidR="00554C6A">
        <w:t xml:space="preserve"> par</w:t>
      </w:r>
      <w:r w:rsidRPr="00C82F25" w:rsidR="008E4B55">
        <w:t xml:space="preserve">tijen </w:t>
      </w:r>
      <w:r w:rsidRPr="00C82F25" w:rsidR="00554C6A">
        <w:t xml:space="preserve">hiertoe </w:t>
      </w:r>
      <w:r w:rsidRPr="00C82F25" w:rsidR="0033558B">
        <w:t xml:space="preserve">altijd een </w:t>
      </w:r>
      <w:r w:rsidRPr="00C82F25" w:rsidR="00554C6A">
        <w:t>nader</w:t>
      </w:r>
      <w:r w:rsidRPr="00C82F25" w:rsidR="0033558B">
        <w:t xml:space="preserve"> besluit te nemen</w:t>
      </w:r>
      <w:r w:rsidRPr="00C82F25" w:rsidR="00554C6A">
        <w:t xml:space="preserve">. </w:t>
      </w:r>
      <w:r w:rsidRPr="00C82F25" w:rsidR="00D55589">
        <w:t>Partijen kunnen in onderling overleg</w:t>
      </w:r>
      <w:r w:rsidRPr="00C82F25" w:rsidR="0090018F">
        <w:t xml:space="preserve"> </w:t>
      </w:r>
      <w:r w:rsidRPr="00C82F25" w:rsidR="00D55589">
        <w:t>overeenkomen om ook andere activiteiten, dan die genoemd, uit te voeren in het nastreven van h</w:t>
      </w:r>
      <w:r w:rsidRPr="00C82F25" w:rsidR="004A194F">
        <w:t>un gemeenschappelijke belangen (onderdeel g).</w:t>
      </w:r>
      <w:r w:rsidR="004A194F">
        <w:t xml:space="preserve"> </w:t>
      </w:r>
      <w:r w:rsidR="00C82F25">
        <w:t>Alle</w:t>
      </w:r>
      <w:r w:rsidRPr="00C82F25" w:rsidR="00C82F25">
        <w:t xml:space="preserve"> genoemde onderwerpen verplichten partijen op generlei wijze om deze samenwerking ook daadwerkelijk aan te gaan en uit te voeren.</w:t>
      </w:r>
    </w:p>
    <w:p w:rsidRPr="00F97FDE" w:rsidR="00442B2A" w:rsidP="00F97FDE" w:rsidRDefault="00442B2A" w14:paraId="294E92DD" w14:textId="77777777">
      <w:pPr>
        <w:spacing w:before="160" w:line="276" w:lineRule="auto"/>
        <w:jc w:val="both"/>
        <w:rPr>
          <w:i/>
        </w:rPr>
      </w:pPr>
      <w:r w:rsidRPr="00F97FDE">
        <w:rPr>
          <w:i/>
        </w:rPr>
        <w:t>Artikel 4</w:t>
      </w:r>
      <w:r w:rsidRPr="00F97FDE" w:rsidR="001801FE">
        <w:rPr>
          <w:i/>
        </w:rPr>
        <w:t xml:space="preserve"> en 5</w:t>
      </w:r>
    </w:p>
    <w:p w:rsidRPr="00F53F8D" w:rsidR="002A142E" w:rsidP="00F97FDE" w:rsidRDefault="002A142E" w14:paraId="4664E73A" w14:textId="74D4280D">
      <w:pPr>
        <w:spacing w:before="160" w:line="276" w:lineRule="auto"/>
        <w:jc w:val="both"/>
      </w:pPr>
      <w:r w:rsidRPr="00F53F8D">
        <w:t xml:space="preserve">Op grond van het gestelde in het tweede lid van </w:t>
      </w:r>
      <w:r w:rsidR="00D04922">
        <w:t>a</w:t>
      </w:r>
      <w:r w:rsidRPr="00F53F8D">
        <w:t>rtikel 4 draa</w:t>
      </w:r>
      <w:r w:rsidRPr="00F53F8D" w:rsidR="00672647">
        <w:t xml:space="preserve">gt elke partij </w:t>
      </w:r>
      <w:r w:rsidRPr="00F53F8D" w:rsidR="003A01FB">
        <w:t xml:space="preserve">in beginsel </w:t>
      </w:r>
      <w:r w:rsidRPr="00F53F8D" w:rsidR="00672647">
        <w:t xml:space="preserve">de kosten van zijn </w:t>
      </w:r>
      <w:r w:rsidRPr="00F53F8D">
        <w:t xml:space="preserve">personeel </w:t>
      </w:r>
      <w:r w:rsidRPr="00F53F8D" w:rsidR="00132FF3">
        <w:t xml:space="preserve">in het kader van de uitvoering van activiteiten, genoemd in </w:t>
      </w:r>
      <w:r w:rsidR="00D04922">
        <w:t>a</w:t>
      </w:r>
      <w:r w:rsidRPr="00F53F8D" w:rsidR="00132FF3">
        <w:t xml:space="preserve">rtikel 3. Bevoegde autoriteiten van </w:t>
      </w:r>
      <w:r w:rsidR="00F33969">
        <w:t>p</w:t>
      </w:r>
      <w:r w:rsidRPr="00F53F8D" w:rsidR="00132FF3">
        <w:t>artijen kunnen van deze regel afwijken</w:t>
      </w:r>
      <w:r w:rsidRPr="00F53F8D" w:rsidR="00672647">
        <w:t xml:space="preserve"> in de </w:t>
      </w:r>
      <w:r w:rsidR="004D393C">
        <w:t>nadere afspraken</w:t>
      </w:r>
      <w:r w:rsidRPr="00F53F8D" w:rsidR="003A01FB">
        <w:t xml:space="preserve">, bedoeld in het derde lid van </w:t>
      </w:r>
      <w:r w:rsidR="00D04922">
        <w:t>a</w:t>
      </w:r>
      <w:r w:rsidRPr="00F53F8D" w:rsidR="003A01FB">
        <w:t xml:space="preserve">rtikel 2. </w:t>
      </w:r>
    </w:p>
    <w:p w:rsidRPr="00F53F8D" w:rsidR="00D174D1" w:rsidP="00F97FDE" w:rsidRDefault="009055E3" w14:paraId="280765BA" w14:textId="77777777">
      <w:pPr>
        <w:spacing w:before="160" w:line="276" w:lineRule="auto"/>
        <w:jc w:val="both"/>
      </w:pPr>
      <w:r w:rsidRPr="00F53F8D">
        <w:t xml:space="preserve">De </w:t>
      </w:r>
      <w:r w:rsidRPr="00F53F8D" w:rsidR="001801FE">
        <w:t xml:space="preserve">artikelen </w:t>
      </w:r>
      <w:r w:rsidRPr="00F53F8D">
        <w:t>4 en 5 gaan verder</w:t>
      </w:r>
      <w:r w:rsidRPr="00F53F8D" w:rsidR="002E5CBA">
        <w:t xml:space="preserve"> in op de logistieke ondersteuning die personeel van de ene partij ontvangt</w:t>
      </w:r>
      <w:r w:rsidRPr="00F53F8D">
        <w:t>,</w:t>
      </w:r>
      <w:r w:rsidRPr="00F53F8D" w:rsidR="002E5CBA">
        <w:t xml:space="preserve"> wann</w:t>
      </w:r>
      <w:r w:rsidRPr="00F53F8D" w:rsidR="00197E3C">
        <w:t>e</w:t>
      </w:r>
      <w:r w:rsidRPr="00F53F8D" w:rsidR="002E5CBA">
        <w:t xml:space="preserve">er het zich in het kader van activiteiten, genoemd in </w:t>
      </w:r>
      <w:r w:rsidR="00D04922">
        <w:t>a</w:t>
      </w:r>
      <w:r w:rsidRPr="00F53F8D" w:rsidR="002E5CBA">
        <w:t xml:space="preserve">rtikel 3, op het grondgebied bevindt van de andere partij. </w:t>
      </w:r>
      <w:r w:rsidRPr="00F53F8D" w:rsidR="00EB3D78">
        <w:t>Deze logistieke onder</w:t>
      </w:r>
      <w:r w:rsidRPr="00F53F8D" w:rsidR="003142C4">
        <w:t>steuning wordt</w:t>
      </w:r>
      <w:r w:rsidR="004313E0">
        <w:t xml:space="preserve"> op grond van het </w:t>
      </w:r>
      <w:r w:rsidR="00F07340">
        <w:t xml:space="preserve">gestelde in het eerste lid van </w:t>
      </w:r>
      <w:r w:rsidR="00D04922">
        <w:t>a</w:t>
      </w:r>
      <w:r w:rsidR="004313E0">
        <w:t xml:space="preserve">rtikel 4 </w:t>
      </w:r>
      <w:r w:rsidR="00FC50CB">
        <w:t>alsmede op gro</w:t>
      </w:r>
      <w:r w:rsidR="00B33A8B">
        <w:t xml:space="preserve">nd van het eerste lid </w:t>
      </w:r>
      <w:r w:rsidR="00FC50CB">
        <w:t xml:space="preserve">van </w:t>
      </w:r>
      <w:r w:rsidR="00D04922">
        <w:t>a</w:t>
      </w:r>
      <w:r w:rsidR="00FC50CB">
        <w:t xml:space="preserve">rtikel 5 </w:t>
      </w:r>
      <w:r w:rsidR="00F85B21">
        <w:t>door de</w:t>
      </w:r>
      <w:r w:rsidRPr="00F53F8D" w:rsidR="003142C4">
        <w:t xml:space="preserve"> ontvangende partij</w:t>
      </w:r>
      <w:r w:rsidRPr="00F53F8D" w:rsidR="00EB3D78">
        <w:t xml:space="preserve"> verleend, voor zover het de mogelijkheden daartoe heeft en omvat onder meer het beschikbaar stellen van onderdak en installaties, </w:t>
      </w:r>
      <w:r w:rsidRPr="00F53F8D" w:rsidR="00FB2A50">
        <w:t xml:space="preserve">van </w:t>
      </w:r>
      <w:r w:rsidRPr="00F53F8D" w:rsidR="00EB3D78">
        <w:t>voedsel en goederen</w:t>
      </w:r>
      <w:r w:rsidR="00D04922">
        <w:t>,</w:t>
      </w:r>
      <w:r w:rsidRPr="00F53F8D" w:rsidR="00EB3D78">
        <w:t xml:space="preserve"> alsmede </w:t>
      </w:r>
      <w:r w:rsidR="00D04922">
        <w:t>dat</w:t>
      </w:r>
      <w:r w:rsidRPr="00F53F8D" w:rsidR="00EB3D78">
        <w:t xml:space="preserve"> van vervoer en andere diensten.</w:t>
      </w:r>
      <w:r w:rsidRPr="00F53F8D" w:rsidR="00FB2A50">
        <w:t xml:space="preserve"> Het beschikbaa</w:t>
      </w:r>
      <w:r w:rsidR="00D04922">
        <w:t>r</w:t>
      </w:r>
      <w:r w:rsidRPr="00F53F8D" w:rsidR="00FB2A50">
        <w:t xml:space="preserve"> stellen van deze logistieke</w:t>
      </w:r>
      <w:r w:rsidRPr="00F53F8D" w:rsidR="004E6612">
        <w:t xml:space="preserve"> ondersteuning geschiedt </w:t>
      </w:r>
      <w:r w:rsidR="00FC50CB">
        <w:t xml:space="preserve">op grond van het gestelde in het </w:t>
      </w:r>
      <w:r w:rsidR="00B33A8B">
        <w:t xml:space="preserve">tweede en </w:t>
      </w:r>
      <w:r w:rsidR="00FC50CB">
        <w:t xml:space="preserve">derde lid van </w:t>
      </w:r>
      <w:r w:rsidR="00D04922">
        <w:t>a</w:t>
      </w:r>
      <w:r w:rsidR="00FC50CB">
        <w:t xml:space="preserve">rtikel 5 </w:t>
      </w:r>
      <w:r w:rsidRPr="00F53F8D" w:rsidR="00FB2A50">
        <w:t>kosteloos of tegen vergo</w:t>
      </w:r>
      <w:r w:rsidR="003C612C">
        <w:t>eding en onder nadere</w:t>
      </w:r>
      <w:r w:rsidR="008F0DF2">
        <w:t xml:space="preserve"> voorwaarden,</w:t>
      </w:r>
      <w:r w:rsidR="003C612C">
        <w:t xml:space="preserve"> zoals </w:t>
      </w:r>
      <w:r w:rsidRPr="003F1899" w:rsidR="00FB2A50">
        <w:t>overeengekomen in de</w:t>
      </w:r>
      <w:r w:rsidRPr="003F1899" w:rsidR="00FF1B31">
        <w:t xml:space="preserve"> nadere afspraken</w:t>
      </w:r>
      <w:r w:rsidRPr="003F1899" w:rsidR="00FB2A50">
        <w:t xml:space="preserve">, bedoeld </w:t>
      </w:r>
      <w:r w:rsidRPr="00F53F8D" w:rsidR="00FB2A50">
        <w:t xml:space="preserve">in het derde lid van </w:t>
      </w:r>
      <w:r w:rsidR="00D04922">
        <w:t>a</w:t>
      </w:r>
      <w:r w:rsidRPr="00F53F8D" w:rsidR="00FB2A50">
        <w:t>rtikel 2.</w:t>
      </w:r>
    </w:p>
    <w:p w:rsidR="003F4673" w:rsidRDefault="003F4673" w14:paraId="48912D2A" w14:textId="77777777">
      <w:pPr>
        <w:rPr>
          <w:b/>
        </w:rPr>
      </w:pPr>
      <w:r>
        <w:rPr>
          <w:b/>
        </w:rPr>
        <w:br w:type="page"/>
      </w:r>
    </w:p>
    <w:p w:rsidRPr="00F97FDE" w:rsidR="00EF3A15" w:rsidP="00F97FDE" w:rsidRDefault="00EF3A15" w14:paraId="3ED65940" w14:textId="4FFA18AB">
      <w:pPr>
        <w:spacing w:before="160" w:line="276" w:lineRule="auto"/>
        <w:jc w:val="both"/>
        <w:rPr>
          <w:b/>
        </w:rPr>
      </w:pPr>
      <w:r w:rsidRPr="00F97FDE">
        <w:rPr>
          <w:b/>
        </w:rPr>
        <w:t>TITEL II</w:t>
      </w:r>
    </w:p>
    <w:p w:rsidRPr="00F97FDE" w:rsidR="001801FE" w:rsidP="00F97FDE" w:rsidRDefault="00D174D1" w14:paraId="402ACD6F" w14:textId="1A94A009">
      <w:pPr>
        <w:spacing w:before="160" w:line="276" w:lineRule="auto"/>
        <w:jc w:val="both"/>
        <w:rPr>
          <w:i/>
        </w:rPr>
      </w:pPr>
      <w:r w:rsidRPr="00F97FDE">
        <w:rPr>
          <w:i/>
        </w:rPr>
        <w:t>Artikel</w:t>
      </w:r>
      <w:r w:rsidRPr="00F97FDE" w:rsidR="00FB2A50">
        <w:rPr>
          <w:i/>
        </w:rPr>
        <w:t xml:space="preserve"> </w:t>
      </w:r>
      <w:r w:rsidRPr="00F97FDE" w:rsidR="00EF3A15">
        <w:rPr>
          <w:i/>
        </w:rPr>
        <w:t>6</w:t>
      </w:r>
    </w:p>
    <w:p w:rsidRPr="00F53F8D" w:rsidR="00EF3A15" w:rsidP="00F97FDE" w:rsidRDefault="00745121" w14:paraId="4517E55A" w14:textId="78E05ED2">
      <w:pPr>
        <w:spacing w:before="160" w:line="276" w:lineRule="auto"/>
        <w:jc w:val="both"/>
      </w:pPr>
      <w:r>
        <w:t>De in di</w:t>
      </w:r>
      <w:r w:rsidR="004C0CFD">
        <w:t xml:space="preserve">t artikel genoemde </w:t>
      </w:r>
      <w:r w:rsidR="00D04922">
        <w:t>O</w:t>
      </w:r>
      <w:r w:rsidRPr="00F53F8D" w:rsidR="009F6921">
        <w:t>vereenkomst inzake de uitwisseling van beschermde en gerubriceerde gegevens (</w:t>
      </w:r>
      <w:r w:rsidRPr="00F97FDE" w:rsidR="009F6921">
        <w:rPr>
          <w:i/>
        </w:rPr>
        <w:t>Trb</w:t>
      </w:r>
      <w:r w:rsidR="00331F6E">
        <w:t>.</w:t>
      </w:r>
      <w:r w:rsidRPr="00F53F8D" w:rsidR="009F6921">
        <w:t xml:space="preserve"> 1992,</w:t>
      </w:r>
      <w:r w:rsidR="0087689B">
        <w:t xml:space="preserve"> </w:t>
      </w:r>
      <w:r w:rsidR="00092885">
        <w:t>139</w:t>
      </w:r>
      <w:r w:rsidRPr="00F53F8D" w:rsidR="009F6921">
        <w:t>)</w:t>
      </w:r>
      <w:r w:rsidR="004C0CFD">
        <w:t xml:space="preserve"> </w:t>
      </w:r>
      <w:r w:rsidRPr="00F53F8D" w:rsidR="00187547">
        <w:t>is alleen van toepassing op het Europese deel van het Koninkrijk. Op grond</w:t>
      </w:r>
      <w:r w:rsidRPr="00F53F8D" w:rsidR="00196027">
        <w:t xml:space="preserve"> van het gestelde in artikel 14 </w:t>
      </w:r>
      <w:r w:rsidRPr="00F53F8D" w:rsidR="008035BA">
        <w:t>van d</w:t>
      </w:r>
      <w:r w:rsidR="00A11B19">
        <w:t>i</w:t>
      </w:r>
      <w:r w:rsidRPr="00F53F8D" w:rsidR="008035BA">
        <w:t xml:space="preserve">e </w:t>
      </w:r>
      <w:r w:rsidR="004C0CFD">
        <w:t>O</w:t>
      </w:r>
      <w:r w:rsidRPr="00F53F8D" w:rsidR="004C0CFD">
        <w:t xml:space="preserve">vereenkomst </w:t>
      </w:r>
      <w:r w:rsidRPr="00F53F8D" w:rsidR="00196027">
        <w:t>zal</w:t>
      </w:r>
      <w:r w:rsidRPr="00F53F8D" w:rsidR="00FE4FE1">
        <w:t xml:space="preserve"> wat betreft de modaliteiten van de toepassing van de </w:t>
      </w:r>
      <w:r w:rsidR="004C0CFD">
        <w:t>O</w:t>
      </w:r>
      <w:r w:rsidRPr="00F53F8D" w:rsidR="00EA0DAC">
        <w:t xml:space="preserve">vereenkomst ten aanzien van het Caribisch deel van het Koninkrijk </w:t>
      </w:r>
      <w:r w:rsidRPr="00F53F8D" w:rsidR="00FE4FE1">
        <w:t xml:space="preserve">nog een nadere </w:t>
      </w:r>
      <w:r w:rsidRPr="008E23D4" w:rsidR="00FE4FE1">
        <w:t>overeenkomst worden gesloten.</w:t>
      </w:r>
      <w:r w:rsidRPr="008E23D4" w:rsidR="00112F28">
        <w:t xml:space="preserve"> </w:t>
      </w:r>
      <w:r w:rsidRPr="00994952" w:rsidR="00112F28">
        <w:t>Partijen komen</w:t>
      </w:r>
      <w:r w:rsidRPr="008E23D4" w:rsidR="00112F28">
        <w:t xml:space="preserve"> </w:t>
      </w:r>
      <w:r w:rsidRPr="008E23D4" w:rsidR="002E28E9">
        <w:t xml:space="preserve">in </w:t>
      </w:r>
      <w:r w:rsidRPr="00994952" w:rsidR="0060501A">
        <w:t>artikel 6 van het onderhavige</w:t>
      </w:r>
      <w:r w:rsidRPr="008E23D4" w:rsidR="0060501A">
        <w:t xml:space="preserve"> </w:t>
      </w:r>
      <w:r w:rsidRPr="008E23D4" w:rsidR="0094178A">
        <w:t>V</w:t>
      </w:r>
      <w:r w:rsidRPr="008E23D4" w:rsidR="0060501A">
        <w:t xml:space="preserve">erdrag </w:t>
      </w:r>
      <w:r w:rsidRPr="00994952" w:rsidR="00112F28">
        <w:t>overeen</w:t>
      </w:r>
      <w:r w:rsidRPr="008E23D4" w:rsidR="00112F28">
        <w:t xml:space="preserve"> </w:t>
      </w:r>
      <w:r w:rsidRPr="008E23D4" w:rsidR="00035449">
        <w:t>om</w:t>
      </w:r>
      <w:r w:rsidRPr="00F53F8D" w:rsidR="00035449">
        <w:t xml:space="preserve"> </w:t>
      </w:r>
      <w:r w:rsidRPr="00F53F8D" w:rsidR="00342EA6">
        <w:t>deze nadere overeenkomst</w:t>
      </w:r>
      <w:r w:rsidR="0057329C">
        <w:t xml:space="preserve"> ten aanzien van het</w:t>
      </w:r>
      <w:r w:rsidRPr="00F53F8D" w:rsidR="00342EA6">
        <w:t xml:space="preserve"> </w:t>
      </w:r>
      <w:r w:rsidR="0057329C">
        <w:t xml:space="preserve">Caribische deel </w:t>
      </w:r>
      <w:r w:rsidRPr="00F53F8D" w:rsidR="00342EA6">
        <w:t>te sluiten</w:t>
      </w:r>
      <w:r w:rsidRPr="007C374C" w:rsidR="00342EA6">
        <w:t>.</w:t>
      </w:r>
      <w:r w:rsidRPr="007C374C" w:rsidR="0063509B">
        <w:t xml:space="preserve"> </w:t>
      </w:r>
      <w:r w:rsidR="00DD12F4">
        <w:t xml:space="preserve">De overeenkomst zal door de </w:t>
      </w:r>
      <w:r w:rsidR="00871156">
        <w:t>verantwoordelijke departementen</w:t>
      </w:r>
      <w:r w:rsidR="00DD12F4">
        <w:t xml:space="preserve"> worden onderhandeld. </w:t>
      </w:r>
      <w:r w:rsidRPr="007C374C" w:rsidR="0063509B">
        <w:t xml:space="preserve">Het ontbreken van de </w:t>
      </w:r>
      <w:r w:rsidR="00DD12F4">
        <w:t>overeenkomst</w:t>
      </w:r>
      <w:r w:rsidRPr="007C374C" w:rsidR="00DD12F4">
        <w:t xml:space="preserve"> </w:t>
      </w:r>
      <w:r w:rsidRPr="007C374C" w:rsidR="0063509B">
        <w:t xml:space="preserve">vormt geen belemmering voor de samenwerking, maar het maken van </w:t>
      </w:r>
      <w:r w:rsidR="006B46D5">
        <w:t>goede</w:t>
      </w:r>
      <w:r w:rsidRPr="007C374C" w:rsidR="006B46D5">
        <w:t xml:space="preserve"> </w:t>
      </w:r>
      <w:r w:rsidRPr="007C374C" w:rsidR="0063509B">
        <w:t>afspra</w:t>
      </w:r>
      <w:r w:rsidR="006B46D5">
        <w:t>ken over uitwisseling van beschermde en gerubriceerde gegevens</w:t>
      </w:r>
      <w:r w:rsidRPr="007C374C" w:rsidR="0063509B">
        <w:t xml:space="preserve"> wordt </w:t>
      </w:r>
      <w:r w:rsidRPr="007C374C" w:rsidR="0099552B">
        <w:t xml:space="preserve">wel </w:t>
      </w:r>
      <w:r w:rsidRPr="007C374C" w:rsidR="0063509B">
        <w:t>wenselijk geacht</w:t>
      </w:r>
      <w:r w:rsidR="00F6458C">
        <w:t xml:space="preserve">. </w:t>
      </w:r>
      <w:r w:rsidR="00DD12F4">
        <w:t xml:space="preserve">Afhankelijk van de inhoud van de gedeelde gegevens, zullen tot de inwerkingtreding van de nieuwe overeenkomst eventueel nadere </w:t>
      </w:r>
      <w:r w:rsidR="00D77D4F">
        <w:t>MoU’s</w:t>
      </w:r>
      <w:r w:rsidR="00DD12F4">
        <w:t xml:space="preserve"> worden overeengekomen. </w:t>
      </w:r>
    </w:p>
    <w:p w:rsidRPr="00F97FDE" w:rsidR="00D9134B" w:rsidP="00F97FDE" w:rsidRDefault="005D09AD" w14:paraId="40C69938" w14:textId="77777777">
      <w:pPr>
        <w:tabs>
          <w:tab w:val="left" w:pos="1498"/>
        </w:tabs>
        <w:spacing w:before="160" w:line="276" w:lineRule="auto"/>
        <w:jc w:val="both"/>
        <w:rPr>
          <w:i/>
        </w:rPr>
      </w:pPr>
      <w:r w:rsidRPr="00F97FDE">
        <w:rPr>
          <w:i/>
        </w:rPr>
        <w:t>Artikel 7</w:t>
      </w:r>
    </w:p>
    <w:p w:rsidRPr="00F53F8D" w:rsidR="00250B58" w:rsidP="00F97FDE" w:rsidRDefault="00F67BD8" w14:paraId="1DF0C5EC" w14:textId="77777777">
      <w:pPr>
        <w:spacing w:before="160" w:line="276" w:lineRule="auto"/>
        <w:jc w:val="both"/>
      </w:pPr>
      <w:r w:rsidRPr="00F53F8D">
        <w:t xml:space="preserve">In het eerste lid van dit artikel </w:t>
      </w:r>
      <w:r w:rsidRPr="00F53F8D" w:rsidR="00B45157">
        <w:t>is een bepaling opgenomen dat het personeel van de zendend</w:t>
      </w:r>
      <w:r w:rsidRPr="00F53F8D" w:rsidR="00C17DC5">
        <w:t xml:space="preserve">e partij </w:t>
      </w:r>
      <w:r w:rsidRPr="00F53F8D" w:rsidR="00B45157">
        <w:t xml:space="preserve">de </w:t>
      </w:r>
      <w:r w:rsidRPr="00F53F8D" w:rsidR="00C17DC5">
        <w:t xml:space="preserve">op het grondgebied van de </w:t>
      </w:r>
      <w:r w:rsidRPr="00F53F8D" w:rsidR="00B45157">
        <w:t xml:space="preserve">ontvangende partij </w:t>
      </w:r>
      <w:r w:rsidRPr="00F53F8D" w:rsidR="00C17DC5">
        <w:t>geldende wetgeving dient te respecteren</w:t>
      </w:r>
      <w:r w:rsidR="00166025">
        <w:t>.</w:t>
      </w:r>
      <w:r w:rsidR="005D418F">
        <w:t xml:space="preserve"> </w:t>
      </w:r>
      <w:r w:rsidRPr="00F53F8D" w:rsidR="00EB0ECC">
        <w:t>Op grond van het gestelde in het</w:t>
      </w:r>
      <w:r w:rsidRPr="00F53F8D" w:rsidR="00250B58">
        <w:t xml:space="preserve"> tweede lid van dit artikel</w:t>
      </w:r>
      <w:r w:rsidRPr="00F53F8D" w:rsidR="00EB0ECC">
        <w:t xml:space="preserve"> </w:t>
      </w:r>
      <w:r w:rsidR="00412CE6">
        <w:t xml:space="preserve">dient het personeel </w:t>
      </w:r>
      <w:r w:rsidR="00BB0D99">
        <w:t xml:space="preserve">zich te onthouden </w:t>
      </w:r>
      <w:r w:rsidRPr="00BB0D99" w:rsidR="00BB0D99">
        <w:t>van elke politieke act</w:t>
      </w:r>
      <w:r w:rsidR="00AF1EDA">
        <w:t xml:space="preserve">iviteit </w:t>
      </w:r>
      <w:r w:rsidR="00A134F5">
        <w:t xml:space="preserve">op het grondgebied van de ontvangende partij. </w:t>
      </w:r>
      <w:r w:rsidR="00836B45">
        <w:t xml:space="preserve">Dit zijn standaardbepalingen voor </w:t>
      </w:r>
      <w:r w:rsidR="00A11B19">
        <w:t>SOFA’s</w:t>
      </w:r>
      <w:r w:rsidR="00836B45">
        <w:t xml:space="preserve">. </w:t>
      </w:r>
      <w:r w:rsidR="00AF1EDA">
        <w:t>Vergelijkbare bepaling</w:t>
      </w:r>
      <w:r w:rsidR="00C96429">
        <w:t>en zijn</w:t>
      </w:r>
      <w:r w:rsidR="00166025">
        <w:t xml:space="preserve"> opgenomen in artikel II van de NAVO SOFA.</w:t>
      </w:r>
      <w:r w:rsidRPr="00412CE6" w:rsidR="00412CE6">
        <w:t xml:space="preserve"> </w:t>
      </w:r>
    </w:p>
    <w:p w:rsidRPr="00F97FDE" w:rsidR="00E734A0" w:rsidP="00F97FDE" w:rsidRDefault="00E734A0" w14:paraId="38E5BAA3" w14:textId="77777777">
      <w:pPr>
        <w:tabs>
          <w:tab w:val="left" w:pos="1889"/>
        </w:tabs>
        <w:spacing w:before="160" w:line="276" w:lineRule="auto"/>
        <w:jc w:val="both"/>
        <w:rPr>
          <w:i/>
        </w:rPr>
      </w:pPr>
      <w:r w:rsidRPr="00F97FDE">
        <w:rPr>
          <w:i/>
        </w:rPr>
        <w:t>Artikel 8</w:t>
      </w:r>
      <w:r w:rsidRPr="00F97FDE" w:rsidR="00634664">
        <w:rPr>
          <w:i/>
        </w:rPr>
        <w:t xml:space="preserve"> en 9</w:t>
      </w:r>
    </w:p>
    <w:p w:rsidRPr="00F53F8D" w:rsidR="008B0B7F" w:rsidP="00F97FDE" w:rsidRDefault="00A73D3E" w14:paraId="6035D921" w14:textId="77777777">
      <w:pPr>
        <w:tabs>
          <w:tab w:val="left" w:pos="1889"/>
        </w:tabs>
        <w:spacing w:before="160" w:line="276" w:lineRule="auto"/>
        <w:jc w:val="both"/>
      </w:pPr>
      <w:r w:rsidRPr="00F53F8D">
        <w:t xml:space="preserve">Artikel 8 en 9 behandelen de binnenkomst </w:t>
      </w:r>
      <w:r w:rsidRPr="00F53F8D" w:rsidR="00882037">
        <w:t xml:space="preserve">op </w:t>
      </w:r>
      <w:r w:rsidRPr="00F53F8D">
        <w:t xml:space="preserve">en het vertrek van </w:t>
      </w:r>
      <w:r w:rsidRPr="00F53F8D" w:rsidR="00882037">
        <w:t xml:space="preserve">het grondgebied van de ontvangende partij van </w:t>
      </w:r>
      <w:r w:rsidRPr="00F53F8D">
        <w:t xml:space="preserve">respectievelijk personeel en </w:t>
      </w:r>
      <w:r w:rsidR="00C64887">
        <w:t>materieel</w:t>
      </w:r>
      <w:r w:rsidR="00A11B19">
        <w:t>.</w:t>
      </w:r>
      <w:r w:rsidRPr="00F53F8D" w:rsidR="006C3FE3">
        <w:t xml:space="preserve"> </w:t>
      </w:r>
      <w:r w:rsidR="00745121">
        <w:t xml:space="preserve">Ten aanzien van het Koninkrijk geldt </w:t>
      </w:r>
      <w:r w:rsidR="00E82839">
        <w:t xml:space="preserve">te allen tijde </w:t>
      </w:r>
      <w:r w:rsidR="00745121">
        <w:t>dat</w:t>
      </w:r>
      <w:r w:rsidRPr="00F53F8D" w:rsidR="00DB0022">
        <w:t xml:space="preserve"> de </w:t>
      </w:r>
      <w:r w:rsidR="00745121">
        <w:t>(</w:t>
      </w:r>
      <w:r w:rsidRPr="00F53F8D" w:rsidR="00DB0022">
        <w:t>lokaal</w:t>
      </w:r>
      <w:r w:rsidR="00745121">
        <w:t>)</w:t>
      </w:r>
      <w:r w:rsidRPr="00F53F8D" w:rsidR="00DB0022">
        <w:t xml:space="preserve"> bevoegde autoriteiten eerst dienen in te stemmen met een bepaalde activiteit alvorens </w:t>
      </w:r>
      <w:r w:rsidR="00A11B19">
        <w:t>een activiteit</w:t>
      </w:r>
      <w:r w:rsidRPr="00F53F8D" w:rsidR="00A11B19">
        <w:t xml:space="preserve"> </w:t>
      </w:r>
      <w:r w:rsidRPr="00F53F8D" w:rsidR="00DB0022">
        <w:t>op het grondgebied van het betreffende land binnen het Koninkrijk kan plaatsvinden.</w:t>
      </w:r>
    </w:p>
    <w:p w:rsidRPr="00F53F8D" w:rsidR="00A73D3E" w:rsidP="00C64887" w:rsidRDefault="00BA3346" w14:paraId="0CD79FA2" w14:textId="77777777">
      <w:pPr>
        <w:tabs>
          <w:tab w:val="left" w:pos="1889"/>
        </w:tabs>
        <w:spacing w:before="160" w:line="276" w:lineRule="auto"/>
        <w:jc w:val="both"/>
      </w:pPr>
      <w:r w:rsidRPr="00F53F8D">
        <w:t xml:space="preserve">Wat betreft de binnenkomst van personeel </w:t>
      </w:r>
      <w:r w:rsidRPr="00F53F8D" w:rsidR="00A73D3E">
        <w:t>worden de bevoegd</w:t>
      </w:r>
      <w:r w:rsidRPr="00F53F8D" w:rsidR="006C3FE3">
        <w:t>e autoriteiten van de ontvangende partij</w:t>
      </w:r>
      <w:r w:rsidRPr="00F53F8D">
        <w:t xml:space="preserve">, op grond van het gestelde in het eerste lid van artikel 8, </w:t>
      </w:r>
      <w:r w:rsidRPr="00F53F8D" w:rsidR="006C3FE3">
        <w:t>door de bevoegde autoriteiten van de zendende partij op de hoogte gesteld van de identiteit van het personeel dat het gron</w:t>
      </w:r>
      <w:r w:rsidRPr="00F53F8D" w:rsidR="0057035B">
        <w:t>dgebied van de ontvangende partij</w:t>
      </w:r>
      <w:r w:rsidRPr="00F53F8D" w:rsidR="006C3FE3">
        <w:t xml:space="preserve"> </w:t>
      </w:r>
      <w:r w:rsidR="0043350C">
        <w:t>zal</w:t>
      </w:r>
      <w:r w:rsidRPr="00F53F8D" w:rsidR="0043350C">
        <w:t xml:space="preserve"> </w:t>
      </w:r>
      <w:r w:rsidRPr="00F53F8D" w:rsidR="006C3FE3">
        <w:t xml:space="preserve">betreden. </w:t>
      </w:r>
      <w:r w:rsidRPr="00F53F8D" w:rsidR="00A971EE">
        <w:t>Binnenkomst geschiedt op basis van een geldig paspoort of een geldige identiteitskaart</w:t>
      </w:r>
      <w:r w:rsidR="002E06E9">
        <w:t>en</w:t>
      </w:r>
      <w:r w:rsidRPr="00F53F8D" w:rsidR="00A971EE">
        <w:t xml:space="preserve"> een individuele of c</w:t>
      </w:r>
      <w:r w:rsidRPr="00F53F8D" w:rsidR="004C6C72">
        <w:t xml:space="preserve">ollectieve </w:t>
      </w:r>
      <w:r w:rsidRPr="00F53F8D" w:rsidR="00443DD4">
        <w:t>dienstopdracht</w:t>
      </w:r>
      <w:r w:rsidRPr="00F53F8D" w:rsidR="004C6C72">
        <w:t xml:space="preserve"> afgegeven door de autoriteiten van de zendende partij</w:t>
      </w:r>
      <w:r w:rsidRPr="00F53F8D" w:rsidR="00443DD4">
        <w:t xml:space="preserve"> (tweede lid).</w:t>
      </w:r>
      <w:r w:rsidRPr="00F53F8D" w:rsidR="00556141">
        <w:t xml:space="preserve"> In de dienstopdracht wordt aangegeven dat de persoon of groep behoort tot de strijdkrachten </w:t>
      </w:r>
      <w:r w:rsidR="009D5F0B">
        <w:t xml:space="preserve">(de Franse Gendarmerie behoort hier ook toe) </w:t>
      </w:r>
      <w:r w:rsidRPr="00F53F8D" w:rsidR="00556141">
        <w:t>of het ministerie van Defensie van de zendende partij alsmede welke reis</w:t>
      </w:r>
      <w:r w:rsidR="002C338C">
        <w:t>/missie</w:t>
      </w:r>
      <w:r w:rsidRPr="00F53F8D" w:rsidR="00556141">
        <w:t xml:space="preserve"> aan hen is opgedragen. </w:t>
      </w:r>
      <w:r w:rsidRPr="00F53F8D" w:rsidR="004F40E3">
        <w:t xml:space="preserve">De bevoegde autoriteiten </w:t>
      </w:r>
      <w:r w:rsidRPr="00F53F8D" w:rsidR="00466897">
        <w:t xml:space="preserve">van de ontvangende partij </w:t>
      </w:r>
      <w:r w:rsidRPr="00F53F8D" w:rsidR="004F40E3">
        <w:t xml:space="preserve">worden </w:t>
      </w:r>
      <w:r w:rsidRPr="00F53F8D" w:rsidR="00466897">
        <w:t xml:space="preserve">door de bevoegde autoriteiten van de zendende partij </w:t>
      </w:r>
      <w:r w:rsidRPr="00F53F8D" w:rsidR="004F40E3">
        <w:t xml:space="preserve">tevens op de hoogte gesteld van het vertrek </w:t>
      </w:r>
      <w:r w:rsidRPr="00F53F8D" w:rsidR="004C6C72">
        <w:t>van het</w:t>
      </w:r>
      <w:r w:rsidRPr="00F53F8D" w:rsidR="00466897">
        <w:t xml:space="preserve"> personeel.</w:t>
      </w:r>
      <w:r w:rsidRPr="00F53F8D" w:rsidR="006C3FE3">
        <w:t xml:space="preserve"> </w:t>
      </w:r>
      <w:r w:rsidRPr="00F53F8D" w:rsidR="008B0B7F">
        <w:t xml:space="preserve">Het personeel verblijft tijdelijk op het grondgebied van de </w:t>
      </w:r>
      <w:r w:rsidRPr="00F53F8D" w:rsidR="0049278B">
        <w:t xml:space="preserve">ontvangende partij en verwerft </w:t>
      </w:r>
      <w:r w:rsidRPr="00F53F8D" w:rsidR="004C6C72">
        <w:t xml:space="preserve">derhalve </w:t>
      </w:r>
      <w:r w:rsidRPr="00F53F8D" w:rsidR="0049278B">
        <w:t>geen recht op permanent verblijf (derde lid)</w:t>
      </w:r>
      <w:r w:rsidRPr="00F53F8D" w:rsidR="004C6C72">
        <w:t>.</w:t>
      </w:r>
    </w:p>
    <w:p w:rsidRPr="00F53F8D" w:rsidR="000A533F" w:rsidP="00EF7622" w:rsidRDefault="00637D8C" w14:paraId="4713B8C2" w14:textId="1D26B228">
      <w:pPr>
        <w:tabs>
          <w:tab w:val="left" w:pos="1889"/>
        </w:tabs>
        <w:spacing w:before="160" w:line="276" w:lineRule="auto"/>
        <w:jc w:val="both"/>
      </w:pPr>
      <w:r w:rsidRPr="00F53F8D">
        <w:t xml:space="preserve">Wat betreft de binnenkomst van goederen </w:t>
      </w:r>
      <w:r w:rsidRPr="00F53F8D" w:rsidR="00FC5914">
        <w:t>wordt o</w:t>
      </w:r>
      <w:r w:rsidRPr="00F53F8D" w:rsidR="000A533F">
        <w:t xml:space="preserve">p grond van het gestelde in het eerste lid van </w:t>
      </w:r>
      <w:r w:rsidR="0043350C">
        <w:t>a</w:t>
      </w:r>
      <w:r w:rsidRPr="00F53F8D" w:rsidR="000A533F">
        <w:t>rtikel</w:t>
      </w:r>
      <w:r w:rsidR="003F4673">
        <w:t> 9</w:t>
      </w:r>
      <w:r w:rsidRPr="00F53F8D" w:rsidR="000A533F">
        <w:t xml:space="preserve"> </w:t>
      </w:r>
      <w:r w:rsidRPr="00F53F8D" w:rsidR="00FC5914">
        <w:t>een</w:t>
      </w:r>
      <w:r w:rsidRPr="00F53F8D" w:rsidR="00031555">
        <w:t xml:space="preserve"> lijst met goederen, die nodig zijn voor de uitvoering van voorziene activiteiten, vooraf doorg</w:t>
      </w:r>
      <w:r w:rsidRPr="00F53F8D" w:rsidR="00BD4C7B">
        <w:t>egeven aan de ontvangende partij</w:t>
      </w:r>
      <w:r w:rsidRPr="00F53F8D" w:rsidR="00031555">
        <w:t xml:space="preserve">. </w:t>
      </w:r>
      <w:r w:rsidRPr="00F53F8D" w:rsidR="00BD4C7B">
        <w:t>Teneinde zich van de conformiteit hiervan te vergewissen</w:t>
      </w:r>
      <w:r w:rsidR="0043350C">
        <w:t>,</w:t>
      </w:r>
      <w:r w:rsidRPr="00F53F8D" w:rsidR="00BD4C7B">
        <w:t xml:space="preserve"> behoudt de ontvangende partij het recht om controles uit te oefenen</w:t>
      </w:r>
      <w:r w:rsidRPr="00F53F8D" w:rsidR="00FC5914">
        <w:t>.</w:t>
      </w:r>
      <w:r w:rsidRPr="00F53F8D" w:rsidR="00BD4C7B">
        <w:t xml:space="preserve"> </w:t>
      </w:r>
      <w:r w:rsidRPr="00F53F8D" w:rsidR="004D0784">
        <w:t>Gerubriceerd materieel is van dergelijke controles uitgesloten.</w:t>
      </w:r>
      <w:r w:rsidRPr="00F53F8D" w:rsidR="00236210">
        <w:t xml:space="preserve"> </w:t>
      </w:r>
      <w:r w:rsidRPr="00F53F8D" w:rsidR="00204F09">
        <w:t xml:space="preserve">Ook de officiële documenten van de strijdkrachten van de zendende partij in een verzegelde omslag zijn </w:t>
      </w:r>
      <w:r w:rsidRPr="00F53F8D" w:rsidR="005D5E57">
        <w:t xml:space="preserve">op grond van het gestelde in het vijfde lid </w:t>
      </w:r>
      <w:r w:rsidRPr="00F53F8D" w:rsidR="00204F09">
        <w:t xml:space="preserve">niet onderworpen </w:t>
      </w:r>
      <w:r w:rsidR="00C74E91">
        <w:t xml:space="preserve">aan </w:t>
      </w:r>
      <w:r w:rsidRPr="00F53F8D" w:rsidR="00204F09">
        <w:t xml:space="preserve">controles. </w:t>
      </w:r>
      <w:r w:rsidRPr="00F53F8D" w:rsidR="00236210">
        <w:t xml:space="preserve">Op grond van het gestelde in het tweede lid </w:t>
      </w:r>
      <w:r w:rsidRPr="00F53F8D" w:rsidR="000A533F">
        <w:t xml:space="preserve">wordt </w:t>
      </w:r>
      <w:r w:rsidRPr="00F53F8D" w:rsidR="00236210">
        <w:t xml:space="preserve">onder de regeling van tijdelijke invoer </w:t>
      </w:r>
      <w:r w:rsidRPr="00F53F8D" w:rsidR="00A23B11">
        <w:t xml:space="preserve">en onder de voorwaarden voorzien in de wetgeving van de ontvangende partij </w:t>
      </w:r>
      <w:r w:rsidR="00EA7EBA">
        <w:t xml:space="preserve">vrijstelling verleend van alle rechten en </w:t>
      </w:r>
      <w:r w:rsidRPr="00F53F8D" w:rsidR="00545E04">
        <w:t>heffingen</w:t>
      </w:r>
      <w:r w:rsidR="007E2702">
        <w:t>,</w:t>
      </w:r>
      <w:r w:rsidRPr="00F53F8D" w:rsidR="00545E04">
        <w:t xml:space="preserve"> die gewoonlijk door</w:t>
      </w:r>
      <w:r w:rsidRPr="00F53F8D" w:rsidR="000A533F">
        <w:t xml:space="preserve"> de</w:t>
      </w:r>
      <w:r w:rsidRPr="00F53F8D" w:rsidR="00545E04">
        <w:t xml:space="preserve"> ontvangende partij </w:t>
      </w:r>
      <w:r w:rsidRPr="00F53F8D" w:rsidR="000A533F">
        <w:t>worden geheven op goede</w:t>
      </w:r>
      <w:r w:rsidRPr="00F53F8D" w:rsidR="00C749EA">
        <w:t xml:space="preserve">ren </w:t>
      </w:r>
      <w:r w:rsidRPr="00F53F8D" w:rsidR="000A533F">
        <w:t>die door</w:t>
      </w:r>
      <w:r w:rsidRPr="00F53F8D" w:rsidR="00EB7892">
        <w:t xml:space="preserve"> </w:t>
      </w:r>
      <w:r w:rsidRPr="00F53F8D" w:rsidR="00423CC0">
        <w:t xml:space="preserve">de </w:t>
      </w:r>
      <w:r w:rsidRPr="00F53F8D" w:rsidR="003A0DB3">
        <w:t xml:space="preserve">strijdkrachten van de </w:t>
      </w:r>
      <w:r w:rsidRPr="00F53F8D" w:rsidR="00423CC0">
        <w:t>zendende partij</w:t>
      </w:r>
      <w:r w:rsidRPr="00F53F8D" w:rsidR="003A0DB3">
        <w:t xml:space="preserve"> </w:t>
      </w:r>
      <w:r w:rsidRPr="00F53F8D" w:rsidR="000A533F">
        <w:t xml:space="preserve">in het kader van de uitvoering van de </w:t>
      </w:r>
      <w:r w:rsidRPr="00F53F8D" w:rsidR="00ED1DA7">
        <w:t>officiële</w:t>
      </w:r>
      <w:r w:rsidRPr="00F53F8D" w:rsidR="003A0DB3">
        <w:t xml:space="preserve"> taken wo</w:t>
      </w:r>
      <w:r w:rsidRPr="00F53F8D" w:rsidR="000A533F">
        <w:t>rden ingevoerd en wederom worden uitgevoerd.</w:t>
      </w:r>
      <w:r w:rsidRPr="00F53F8D" w:rsidR="00C749EA">
        <w:t xml:space="preserve"> Op grond van het gestelde in het vierde lid gelden voor het wederuitvoeren van de goederen dezelfde vrijstellingen</w:t>
      </w:r>
      <w:r w:rsidRPr="00F53F8D" w:rsidR="00433C72">
        <w:t xml:space="preserve"> en voorwaarden</w:t>
      </w:r>
      <w:r w:rsidRPr="00F53F8D" w:rsidR="00C749EA">
        <w:t>.</w:t>
      </w:r>
      <w:r w:rsidRPr="00F53F8D" w:rsidR="005A28C2">
        <w:t xml:space="preserve"> </w:t>
      </w:r>
      <w:r w:rsidRPr="00F53F8D" w:rsidR="000A533F">
        <w:t>Op gron</w:t>
      </w:r>
      <w:r w:rsidRPr="00F53F8D" w:rsidR="001E7C9C">
        <w:t>d van het gestelde in het derde</w:t>
      </w:r>
      <w:r w:rsidRPr="00F53F8D" w:rsidR="000A533F">
        <w:t xml:space="preserve"> lid kunnen de ingevoerde goederen niet zonder</w:t>
      </w:r>
      <w:r w:rsidRPr="00F53F8D" w:rsidR="00196CCD">
        <w:t xml:space="preserve"> </w:t>
      </w:r>
      <w:r w:rsidRPr="00F53F8D" w:rsidR="000A533F">
        <w:t>toes</w:t>
      </w:r>
      <w:r w:rsidR="00882FFD">
        <w:t>temming van de ontvangende partij</w:t>
      </w:r>
      <w:r w:rsidRPr="00F53F8D" w:rsidR="000A533F">
        <w:t xml:space="preserve"> </w:t>
      </w:r>
      <w:r w:rsidR="00AC1FD2">
        <w:t>op het grondgebied van de ontvangende partij</w:t>
      </w:r>
      <w:r w:rsidRPr="00F53F8D" w:rsidR="00AC1FD2">
        <w:t xml:space="preserve"> </w:t>
      </w:r>
      <w:r w:rsidRPr="00F53F8D" w:rsidR="001E7C9C">
        <w:t xml:space="preserve">aan derden worden verkocht, </w:t>
      </w:r>
      <w:r w:rsidR="00821BBE">
        <w:t xml:space="preserve">uitgeleend, </w:t>
      </w:r>
      <w:r w:rsidRPr="00F53F8D" w:rsidR="000F61CB">
        <w:t>geschonken of</w:t>
      </w:r>
      <w:r w:rsidRPr="00F53F8D" w:rsidR="001E7C9C">
        <w:t xml:space="preserve"> worden vernietigd.</w:t>
      </w:r>
    </w:p>
    <w:p w:rsidRPr="00F97FDE" w:rsidR="00951EFC" w:rsidP="00F97FDE" w:rsidRDefault="002D17D6" w14:paraId="5AA3B913" w14:textId="77777777">
      <w:pPr>
        <w:tabs>
          <w:tab w:val="left" w:pos="1889"/>
        </w:tabs>
        <w:spacing w:before="160" w:line="276" w:lineRule="auto"/>
        <w:jc w:val="both"/>
        <w:rPr>
          <w:i/>
        </w:rPr>
      </w:pPr>
      <w:r w:rsidRPr="00F97FDE">
        <w:rPr>
          <w:i/>
        </w:rPr>
        <w:t>Artikel 10 en 11</w:t>
      </w:r>
    </w:p>
    <w:p w:rsidRPr="00F53F8D" w:rsidR="00471615" w:rsidP="00F97FDE" w:rsidRDefault="00017866" w14:paraId="55FFFC7F" w14:textId="77777777">
      <w:pPr>
        <w:spacing w:before="160" w:line="276" w:lineRule="auto"/>
        <w:jc w:val="both"/>
      </w:pPr>
      <w:r w:rsidRPr="00F53F8D">
        <w:t>Artikel 10 en 11</w:t>
      </w:r>
      <w:r w:rsidR="00FE18CC">
        <w:t xml:space="preserve"> bevatten de gebruikelijke bepalingen in SOFA</w:t>
      </w:r>
      <w:r w:rsidR="00A11B19">
        <w:t>’</w:t>
      </w:r>
      <w:r w:rsidR="00FE18CC">
        <w:t>s ten aanzien van</w:t>
      </w:r>
      <w:r w:rsidRPr="00F53F8D">
        <w:t xml:space="preserve"> het dragen van het uniform en militaire onderscheidingstekens en het dragen van wapens door het mili</w:t>
      </w:r>
      <w:r w:rsidRPr="00F53F8D" w:rsidR="0057035B">
        <w:t>taire personeel van de zendende partij</w:t>
      </w:r>
      <w:r w:rsidRPr="00F53F8D">
        <w:t xml:space="preserve">. </w:t>
      </w:r>
      <w:r w:rsidRPr="00F53F8D" w:rsidR="00424BA6">
        <w:t xml:space="preserve">Op grond van het gestelde in artikel 11 </w:t>
      </w:r>
      <w:r w:rsidRPr="00F53F8D" w:rsidR="00E34522">
        <w:t xml:space="preserve">zijn de voorwaarden voor het dragen en gebruiken </w:t>
      </w:r>
      <w:r w:rsidRPr="00F53F8D" w:rsidR="0014538A">
        <w:t xml:space="preserve">van wapens </w:t>
      </w:r>
      <w:r w:rsidRPr="00F53F8D" w:rsidR="00732FBE">
        <w:t>op het grond</w:t>
      </w:r>
      <w:r w:rsidRPr="00F53F8D" w:rsidR="007B58FC">
        <w:t xml:space="preserve">gebied van de ontvangende partij </w:t>
      </w:r>
      <w:r w:rsidRPr="00F53F8D" w:rsidR="0037647A">
        <w:t xml:space="preserve">ten behoeve van </w:t>
      </w:r>
      <w:r w:rsidR="003320A0">
        <w:t xml:space="preserve">voorziene </w:t>
      </w:r>
      <w:r w:rsidRPr="00F53F8D" w:rsidR="0037647A">
        <w:t>acti</w:t>
      </w:r>
      <w:r w:rsidR="003320A0">
        <w:t>viteiten</w:t>
      </w:r>
      <w:r w:rsidR="001670A5">
        <w:t>, genoemd in artikel 3</w:t>
      </w:r>
      <w:r w:rsidR="00223412">
        <w:t>,</w:t>
      </w:r>
      <w:r w:rsidR="001670A5">
        <w:t xml:space="preserve"> </w:t>
      </w:r>
      <w:r w:rsidRPr="00F53F8D" w:rsidR="00B67DFE">
        <w:t>in overeenstemming met de geldende wetgev</w:t>
      </w:r>
      <w:r w:rsidRPr="00F53F8D" w:rsidR="00E34522">
        <w:t xml:space="preserve">ing van de </w:t>
      </w:r>
      <w:r w:rsidRPr="00F53F8D" w:rsidR="00183C77">
        <w:t xml:space="preserve">ontvangende partij. </w:t>
      </w:r>
      <w:r w:rsidR="00E50946">
        <w:t xml:space="preserve">Uitgangspunt is dat </w:t>
      </w:r>
      <w:r w:rsidRPr="00F53F8D" w:rsidR="00183C77">
        <w:t>het gebied waarbinnen de wapens mogen worden gedragen en gebruikt</w:t>
      </w:r>
      <w:r w:rsidRPr="00F53F8D" w:rsidR="008A3E26">
        <w:t>,</w:t>
      </w:r>
      <w:r w:rsidR="00485554">
        <w:t xml:space="preserve"> </w:t>
      </w:r>
      <w:r w:rsidRPr="00F53F8D" w:rsidR="00183C77">
        <w:t xml:space="preserve">beperkt </w:t>
      </w:r>
      <w:r w:rsidR="00E50946">
        <w:t xml:space="preserve">is </w:t>
      </w:r>
      <w:r w:rsidRPr="00F53F8D" w:rsidR="00183C77">
        <w:t>tot militaire faciliteiten</w:t>
      </w:r>
      <w:r w:rsidRPr="00F53F8D" w:rsidR="008A3E26">
        <w:t>.</w:t>
      </w:r>
      <w:r w:rsidRPr="00265F55" w:rsidR="00265F55">
        <w:t xml:space="preserve"> Daarnaast geldt ook hier het vereiste van artikel 7 dat de </w:t>
      </w:r>
      <w:r w:rsidR="008F0587">
        <w:t>zendende</w:t>
      </w:r>
      <w:r w:rsidRPr="00265F55" w:rsidR="00265F55">
        <w:t xml:space="preserve"> partij </w:t>
      </w:r>
      <w:r w:rsidR="00265F55">
        <w:t xml:space="preserve">de </w:t>
      </w:r>
      <w:r w:rsidRPr="00265F55" w:rsidR="00265F55">
        <w:t>geldende wetgeving dient te respecteren, ook ten aanzien van het bezit en gebruik van wapens</w:t>
      </w:r>
      <w:r w:rsidR="00A11B19">
        <w:t>.</w:t>
      </w:r>
    </w:p>
    <w:p w:rsidRPr="00F97FDE" w:rsidR="000729DF" w:rsidP="00F97FDE" w:rsidRDefault="000729DF" w14:paraId="588671DF" w14:textId="77777777">
      <w:pPr>
        <w:spacing w:before="160" w:line="276" w:lineRule="auto"/>
        <w:jc w:val="both"/>
        <w:rPr>
          <w:i/>
        </w:rPr>
      </w:pPr>
      <w:r w:rsidRPr="00F97FDE">
        <w:rPr>
          <w:i/>
        </w:rPr>
        <w:t>Artikel 12</w:t>
      </w:r>
    </w:p>
    <w:p w:rsidRPr="00F53F8D" w:rsidR="000729DF" w:rsidP="00F97FDE" w:rsidRDefault="000729DF" w14:paraId="38CB5AC5" w14:textId="77777777">
      <w:pPr>
        <w:spacing w:before="160" w:line="276" w:lineRule="auto"/>
        <w:jc w:val="both"/>
      </w:pPr>
      <w:r w:rsidRPr="00F53F8D">
        <w:t xml:space="preserve">Op grond van het gestelde in het eerste lid, komen de bevoegdheden op krijgstuchtelijk gebied toe aan </w:t>
      </w:r>
      <w:r w:rsidRPr="00F53F8D" w:rsidR="0057035B">
        <w:t>de autoriteiten van de zendende partij</w:t>
      </w:r>
      <w:r w:rsidRPr="00F53F8D">
        <w:t>. De autor</w:t>
      </w:r>
      <w:r w:rsidRPr="00F53F8D" w:rsidR="0057035B">
        <w:t>iteiten van de ontvangende partij</w:t>
      </w:r>
      <w:r w:rsidRPr="00F53F8D">
        <w:t xml:space="preserve"> hebben op dit gebied geen </w:t>
      </w:r>
      <w:r w:rsidRPr="00F53F8D" w:rsidR="0065198F">
        <w:t xml:space="preserve">krijgstuchtelijke </w:t>
      </w:r>
      <w:r w:rsidRPr="00F53F8D" w:rsidR="000E3287">
        <w:t>bevoegdheden</w:t>
      </w:r>
      <w:r w:rsidRPr="00F53F8D" w:rsidR="00336F8B">
        <w:t>,</w:t>
      </w:r>
      <w:r w:rsidRPr="00F53F8D" w:rsidR="000E3287">
        <w:t xml:space="preserve"> maar </w:t>
      </w:r>
      <w:r w:rsidRPr="00F53F8D">
        <w:t>kunnen op grond van het gestelde in het tweede lid</w:t>
      </w:r>
      <w:r w:rsidRPr="00F53F8D" w:rsidR="00AB5145">
        <w:t xml:space="preserve"> wel eisen dat personeel van de zendende partij wordt teruggestuurd na een gedraging die indruist tegen het geldende tuchtrecht van hun strijdkrachten. </w:t>
      </w:r>
      <w:r w:rsidRPr="00F53F8D" w:rsidR="00336F8B">
        <w:t>De regeling inzake het uitoefenen van rechtsbevoegdheid bij strafbare feiten begaan door het personeel van de zendende partij op het grondgebie</w:t>
      </w:r>
      <w:r w:rsidRPr="00F53F8D" w:rsidR="00A746C6">
        <w:t>d van de ontvangende partij is</w:t>
      </w:r>
      <w:r w:rsidRPr="00F53F8D" w:rsidR="00336F8B">
        <w:t xml:space="preserve"> vastgelegd in artikel 17. </w:t>
      </w:r>
    </w:p>
    <w:p w:rsidRPr="00F97FDE" w:rsidR="000729DF" w:rsidP="00F97FDE" w:rsidRDefault="00805F4A" w14:paraId="6C65FA7A" w14:textId="77777777">
      <w:pPr>
        <w:spacing w:before="160" w:line="276" w:lineRule="auto"/>
        <w:jc w:val="both"/>
        <w:rPr>
          <w:i/>
        </w:rPr>
      </w:pPr>
      <w:r w:rsidRPr="00F97FDE">
        <w:rPr>
          <w:i/>
        </w:rPr>
        <w:t>Artikel 13</w:t>
      </w:r>
    </w:p>
    <w:p w:rsidRPr="00F53F8D" w:rsidR="006820E6" w:rsidP="00F97FDE" w:rsidRDefault="00B977D1" w14:paraId="1F46FC07" w14:textId="77777777">
      <w:pPr>
        <w:spacing w:before="160" w:line="276" w:lineRule="auto"/>
        <w:jc w:val="both"/>
      </w:pPr>
      <w:r w:rsidRPr="00F53F8D">
        <w:t>Op grond van het gestelde in dit artikel mag het p</w:t>
      </w:r>
      <w:r w:rsidRPr="00F53F8D" w:rsidR="00D65ACA">
        <w:t>ersoneel van de zendende partij, in overeenstemming met de wetgeving van de ontvangende partij, op het grondgebied van de ontvangende partij voertuigen besturen mits</w:t>
      </w:r>
      <w:r w:rsidR="00213E40">
        <w:t>:</w:t>
      </w:r>
    </w:p>
    <w:p w:rsidRPr="00F53F8D" w:rsidR="00D65ACA" w:rsidP="00F97FDE" w:rsidRDefault="002611BB" w14:paraId="013F6CFE" w14:textId="77777777">
      <w:pPr>
        <w:pStyle w:val="Lijstalinea"/>
        <w:numPr>
          <w:ilvl w:val="0"/>
          <w:numId w:val="3"/>
        </w:numPr>
        <w:spacing w:before="160" w:line="276" w:lineRule="auto"/>
        <w:jc w:val="both"/>
      </w:pPr>
      <w:r>
        <w:t>z</w:t>
      </w:r>
      <w:r w:rsidRPr="00F53F8D" w:rsidR="00D65ACA">
        <w:t xml:space="preserve">ij in het bezit zijn van een </w:t>
      </w:r>
      <w:r w:rsidRPr="00F53F8D" w:rsidR="0092705A">
        <w:t xml:space="preserve">(geldig) </w:t>
      </w:r>
      <w:r w:rsidRPr="00F53F8D" w:rsidR="00D65ACA">
        <w:t>burgerlijk of militair rijbewijs afgegeven door de bevoegde autoriteiten van de zendende partij</w:t>
      </w:r>
      <w:r w:rsidR="00FE2BFC">
        <w:t>;</w:t>
      </w:r>
      <w:r w:rsidR="00CE111B">
        <w:t xml:space="preserve"> en</w:t>
      </w:r>
      <w:r w:rsidRPr="00F53F8D" w:rsidR="00D65ACA">
        <w:t xml:space="preserve"> </w:t>
      </w:r>
    </w:p>
    <w:p w:rsidRPr="00F53F8D" w:rsidR="00D65ACA" w:rsidP="00F97FDE" w:rsidRDefault="002611BB" w14:paraId="7944F495" w14:textId="77777777">
      <w:pPr>
        <w:pStyle w:val="Lijstalinea"/>
        <w:numPr>
          <w:ilvl w:val="0"/>
          <w:numId w:val="3"/>
        </w:numPr>
        <w:spacing w:before="160" w:line="276" w:lineRule="auto"/>
        <w:jc w:val="both"/>
      </w:pPr>
      <w:r>
        <w:t>h</w:t>
      </w:r>
      <w:r w:rsidRPr="00F53F8D" w:rsidR="001464ED">
        <w:t xml:space="preserve">et een categorie voertuig betreft </w:t>
      </w:r>
      <w:r w:rsidR="00213E40">
        <w:t>dat</w:t>
      </w:r>
      <w:r w:rsidRPr="00F53F8D" w:rsidR="00213E40">
        <w:t xml:space="preserve"> </w:t>
      </w:r>
      <w:r w:rsidRPr="00F53F8D" w:rsidR="001464ED">
        <w:t>door</w:t>
      </w:r>
      <w:r w:rsidRPr="00F53F8D" w:rsidR="006411B2">
        <w:t xml:space="preserve"> dit rijbewijs wordt toegestaan. </w:t>
      </w:r>
    </w:p>
    <w:p w:rsidRPr="00F97FDE" w:rsidR="00E90100" w:rsidP="00F97FDE" w:rsidRDefault="00E90100" w14:paraId="6567EDB1" w14:textId="77777777">
      <w:pPr>
        <w:spacing w:before="160" w:line="276" w:lineRule="auto"/>
        <w:jc w:val="both"/>
        <w:rPr>
          <w:i/>
        </w:rPr>
      </w:pPr>
      <w:r w:rsidRPr="00F97FDE">
        <w:rPr>
          <w:i/>
        </w:rPr>
        <w:t>Artikel 14</w:t>
      </w:r>
    </w:p>
    <w:p w:rsidRPr="00F53F8D" w:rsidR="009778D1" w:rsidP="00F97FDE" w:rsidRDefault="00D000F9" w14:paraId="5F168487" w14:textId="4D7F58CC">
      <w:pPr>
        <w:spacing w:before="160" w:line="276" w:lineRule="auto"/>
        <w:jc w:val="both"/>
      </w:pPr>
      <w:r w:rsidRPr="00F53F8D">
        <w:t xml:space="preserve">In het kader van de in artikel 3 </w:t>
      </w:r>
      <w:r w:rsidRPr="00F53F8D" w:rsidR="00EF4C53">
        <w:t xml:space="preserve">voorziene samenwerking </w:t>
      </w:r>
      <w:r w:rsidRPr="00F53F8D" w:rsidR="009778D1">
        <w:t>zijn de voertuigen</w:t>
      </w:r>
      <w:r w:rsidRPr="00F53F8D" w:rsidR="00EF4C53">
        <w:t>, staatsschepen en staats</w:t>
      </w:r>
      <w:r w:rsidRPr="00F53F8D" w:rsidR="00A962F5">
        <w:t xml:space="preserve">luchtvaartuigen van de zendende partij </w:t>
      </w:r>
      <w:r w:rsidR="000C4C6D">
        <w:t xml:space="preserve">op grond van het gestelde in het eerste lid </w:t>
      </w:r>
      <w:r w:rsidRPr="00F53F8D" w:rsidR="009778D1">
        <w:t xml:space="preserve">vrijgesteld van </w:t>
      </w:r>
      <w:r w:rsidRPr="00F53F8D" w:rsidR="00EF4C53">
        <w:t xml:space="preserve">rechten, belastingen en </w:t>
      </w:r>
      <w:r w:rsidRPr="00F53F8D" w:rsidR="009778D1">
        <w:t xml:space="preserve">tolgelden </w:t>
      </w:r>
      <w:r w:rsidRPr="00F53F8D" w:rsidR="00EF4C53">
        <w:t xml:space="preserve">onder dezelfde voorwaarden die gelden voor </w:t>
      </w:r>
      <w:r w:rsidRPr="00F53F8D" w:rsidR="00A962F5">
        <w:t>overeenkomstige transportmiddelen van de ontvangende partij.</w:t>
      </w:r>
      <w:r w:rsidRPr="00F53F8D" w:rsidR="005C019A">
        <w:t xml:space="preserve"> </w:t>
      </w:r>
      <w:r w:rsidRPr="002C59FF" w:rsidR="00F33969">
        <w:t>Havengelden en parkeergelden dienen wel betaald te worden.</w:t>
      </w:r>
      <w:r w:rsidR="00F33969">
        <w:t xml:space="preserve"> </w:t>
      </w:r>
      <w:r w:rsidR="007044E6">
        <w:t xml:space="preserve">Op grond van het gestelde in het tweede lid </w:t>
      </w:r>
      <w:r w:rsidRPr="00F53F8D" w:rsidR="005C019A">
        <w:t>verleent de ontvangende partij</w:t>
      </w:r>
      <w:r w:rsidR="002E3920">
        <w:t xml:space="preserve"> </w:t>
      </w:r>
      <w:r w:rsidRPr="00F53F8D" w:rsidR="00AF2517">
        <w:t>langs diplomatieke</w:t>
      </w:r>
      <w:r w:rsidRPr="00F53F8D" w:rsidR="006D17CA">
        <w:t xml:space="preserve"> weg</w:t>
      </w:r>
      <w:r w:rsidR="00EC3C9D">
        <w:t>,</w:t>
      </w:r>
      <w:r w:rsidRPr="00F53F8D" w:rsidR="006D17CA">
        <w:t xml:space="preserve"> </w:t>
      </w:r>
      <w:r w:rsidR="005E56E5">
        <w:t>wanneer zij dit geschikt acht</w:t>
      </w:r>
      <w:r w:rsidR="00EC3C9D">
        <w:t>,</w:t>
      </w:r>
      <w:r w:rsidRPr="00F53F8D" w:rsidR="006D17CA">
        <w:t xml:space="preserve"> </w:t>
      </w:r>
      <w:r w:rsidRPr="00F53F8D" w:rsidR="00092FA9">
        <w:t xml:space="preserve">de vereiste vergunningen voor het gebruik </w:t>
      </w:r>
      <w:r w:rsidR="00EC3C9D">
        <w:t xml:space="preserve">door de zendende partij </w:t>
      </w:r>
      <w:r w:rsidRPr="00F53F8D" w:rsidR="00092FA9">
        <w:t>van het land, het luchtruim of de zee</w:t>
      </w:r>
      <w:r w:rsidR="00EC3C9D">
        <w:t xml:space="preserve"> in overeenstemming met haar wetgeving</w:t>
      </w:r>
      <w:r w:rsidR="000C4C6D">
        <w:t>.</w:t>
      </w:r>
    </w:p>
    <w:p w:rsidRPr="00F97FDE" w:rsidR="00A962F5" w:rsidP="00F97FDE" w:rsidRDefault="00A962F5" w14:paraId="7DE71817" w14:textId="77777777">
      <w:pPr>
        <w:spacing w:before="160" w:line="276" w:lineRule="auto"/>
        <w:jc w:val="both"/>
        <w:rPr>
          <w:i/>
        </w:rPr>
      </w:pPr>
      <w:r w:rsidRPr="00F97FDE">
        <w:rPr>
          <w:i/>
        </w:rPr>
        <w:t>Artikel 15</w:t>
      </w:r>
    </w:p>
    <w:p w:rsidRPr="00F53F8D" w:rsidR="00791164" w:rsidP="00F97FDE" w:rsidRDefault="006E28D9" w14:paraId="25941D86" w14:textId="77777777">
      <w:pPr>
        <w:spacing w:before="160" w:line="276" w:lineRule="auto"/>
        <w:jc w:val="both"/>
      </w:pPr>
      <w:r w:rsidRPr="00F53F8D">
        <w:t xml:space="preserve">Dit artikel regelt de veiligheid binnen en buiten de installaties </w:t>
      </w:r>
      <w:r w:rsidRPr="00F53F8D" w:rsidR="00551930">
        <w:t>die ter</w:t>
      </w:r>
      <w:r w:rsidRPr="00F53F8D" w:rsidR="00AB0659">
        <w:t xml:space="preserve"> beschikking zijn gesteld van de leden van het personeel van de zendende partij. </w:t>
      </w:r>
      <w:r w:rsidRPr="00F53F8D" w:rsidR="002C3F36">
        <w:t xml:space="preserve">Een soortgelijke regeling inzake veiligheid is opgenomen in artikel VII lid </w:t>
      </w:r>
      <w:r w:rsidRPr="00F53F8D" w:rsidR="00DC01C0">
        <w:t>10</w:t>
      </w:r>
      <w:r w:rsidRPr="00F53F8D" w:rsidR="002C3F36">
        <w:t xml:space="preserve"> </w:t>
      </w:r>
      <w:r w:rsidR="00C145CE">
        <w:t xml:space="preserve">van de </w:t>
      </w:r>
      <w:r w:rsidRPr="00F53F8D" w:rsidR="002C3F36">
        <w:t xml:space="preserve">NAVO SOFA. </w:t>
      </w:r>
    </w:p>
    <w:p w:rsidRPr="00F53F8D" w:rsidR="00791164" w:rsidP="00E77201" w:rsidRDefault="00FD0191" w14:paraId="3E3D5833" w14:textId="77777777">
      <w:pPr>
        <w:spacing w:before="160" w:line="276" w:lineRule="auto"/>
        <w:jc w:val="both"/>
      </w:pPr>
      <w:r w:rsidRPr="00F53F8D">
        <w:t xml:space="preserve">Op grond van het gestelde in het </w:t>
      </w:r>
      <w:r w:rsidR="00707019">
        <w:t xml:space="preserve">eerste en </w:t>
      </w:r>
      <w:r w:rsidRPr="00F53F8D">
        <w:t>tweede lid kunnen de bevoegde autoriteiten van de zendende partij binnen de installaties de nodige maatregelen nemen om de veiligheid te waarborgen</w:t>
      </w:r>
      <w:r w:rsidR="008A20E7">
        <w:t>.</w:t>
      </w:r>
      <w:r w:rsidRPr="00F53F8D" w:rsidR="00527493">
        <w:t xml:space="preserve"> Zij d</w:t>
      </w:r>
      <w:r w:rsidR="000B3C16">
        <w:t>ienen dit wel in samenspraak</w:t>
      </w:r>
      <w:r w:rsidR="00707019">
        <w:t xml:space="preserve"> </w:t>
      </w:r>
      <w:r w:rsidRPr="00F53F8D" w:rsidR="00527493">
        <w:t xml:space="preserve">te doen met de bevoegde </w:t>
      </w:r>
      <w:r w:rsidR="008A20E7">
        <w:t>lokale</w:t>
      </w:r>
      <w:r w:rsidR="00BF124A">
        <w:t xml:space="preserve"> </w:t>
      </w:r>
      <w:r w:rsidRPr="00F53F8D" w:rsidR="00527493">
        <w:t xml:space="preserve">autoriteiten van de ontvangende partij en met inachtneming van de wetgeving van de ontvangende partij. </w:t>
      </w:r>
      <w:r w:rsidRPr="00F53F8D" w:rsidR="008912C2">
        <w:t xml:space="preserve">Zo hebben de strijdkrachten van de zendende partij </w:t>
      </w:r>
      <w:r w:rsidRPr="00F53F8D" w:rsidR="009C482A">
        <w:t xml:space="preserve">op grond van het gestelde in het vierde lid </w:t>
      </w:r>
      <w:r w:rsidRPr="00F53F8D" w:rsidR="008912C2">
        <w:t>binnen de installaties ook het recht om, met</w:t>
      </w:r>
      <w:r w:rsidR="000B3C16">
        <w:t xml:space="preserve"> instemming en in samenspraak me</w:t>
      </w:r>
      <w:r w:rsidRPr="00F53F8D" w:rsidR="008912C2">
        <w:t>t de autoriteiten van de ontvangende partij</w:t>
      </w:r>
      <w:r w:rsidR="00CA63F4">
        <w:t>,</w:t>
      </w:r>
      <w:r w:rsidRPr="00F53F8D" w:rsidR="008912C2">
        <w:t xml:space="preserve"> politietoezicht uit te oefenen ter handhaving van </w:t>
      </w:r>
      <w:r w:rsidR="00C97AE7">
        <w:t xml:space="preserve">de </w:t>
      </w:r>
      <w:r w:rsidRPr="00F53F8D" w:rsidR="008912C2">
        <w:t xml:space="preserve">discipline en waarborging van </w:t>
      </w:r>
      <w:r w:rsidR="00C97AE7">
        <w:t xml:space="preserve">de </w:t>
      </w:r>
      <w:r w:rsidRPr="00F53F8D" w:rsidR="008912C2">
        <w:t>veiligheid</w:t>
      </w:r>
      <w:r w:rsidR="00BF124A">
        <w:t xml:space="preserve"> van de uitgezonden strijdkrachten. </w:t>
      </w:r>
    </w:p>
    <w:p w:rsidRPr="00F53F8D" w:rsidR="002C3F36" w:rsidP="00AB6E32" w:rsidRDefault="002B0FB5" w14:paraId="526D710C" w14:textId="77777777">
      <w:pPr>
        <w:spacing w:before="160" w:line="276" w:lineRule="auto"/>
        <w:jc w:val="both"/>
      </w:pPr>
      <w:r w:rsidRPr="00F53F8D">
        <w:t xml:space="preserve">Wat betreft de veiligheid aan de buitenzijde van de installaties </w:t>
      </w:r>
      <w:r w:rsidRPr="00F53F8D" w:rsidR="00BA6A93">
        <w:t>blijve</w:t>
      </w:r>
      <w:r w:rsidRPr="00F53F8D" w:rsidR="00B10FEE">
        <w:t xml:space="preserve">n, op grond van het gestelde in het derde lid, </w:t>
      </w:r>
      <w:r w:rsidRPr="00F53F8D" w:rsidR="00BA6A93">
        <w:t xml:space="preserve">de bevoegde autoriteiten van de ontvangende partij verantwoordelijk. </w:t>
      </w:r>
      <w:r w:rsidRPr="00F53F8D" w:rsidR="00CD3C15">
        <w:t xml:space="preserve">Indien het </w:t>
      </w:r>
      <w:r w:rsidRPr="00F53F8D" w:rsidR="00887E06">
        <w:t xml:space="preserve">echter </w:t>
      </w:r>
      <w:r w:rsidRPr="00F53F8D" w:rsidR="00CD3C15">
        <w:t>noodzakelijk is om de veiligheid</w:t>
      </w:r>
      <w:r w:rsidRPr="00F53F8D" w:rsidR="00B10FEE">
        <w:t xml:space="preserve"> </w:t>
      </w:r>
      <w:r w:rsidR="00AB6E32">
        <w:t>van</w:t>
      </w:r>
      <w:r w:rsidRPr="00F53F8D" w:rsidR="00B10FEE">
        <w:t xml:space="preserve"> de installaties</w:t>
      </w:r>
      <w:r w:rsidRPr="00F53F8D" w:rsidR="00CD3C15">
        <w:t xml:space="preserve"> te waarborgen</w:t>
      </w:r>
      <w:r w:rsidRPr="00F53F8D" w:rsidR="00B10FEE">
        <w:t>, kunnen de strijdkrachten van de zendende partij</w:t>
      </w:r>
      <w:r w:rsidRPr="00F53F8D" w:rsidR="00887E06">
        <w:t xml:space="preserve"> met instemming van en in samenspraak met de autoriteiten van de ontvangende partij worden opgeroepen om in te grijpen aan de </w:t>
      </w:r>
      <w:r w:rsidR="002D4B90">
        <w:t xml:space="preserve">buitenzijde van de installaties, voor zover dit </w:t>
      </w:r>
      <w:r w:rsidRPr="00F53F8D" w:rsidR="00887E06">
        <w:t xml:space="preserve">in overeenstemming </w:t>
      </w:r>
      <w:r w:rsidR="002D4B90">
        <w:t xml:space="preserve">is </w:t>
      </w:r>
      <w:r w:rsidRPr="00F53F8D" w:rsidR="00887E06">
        <w:t>met de wetgeving van de ontvangende partij.</w:t>
      </w:r>
      <w:r w:rsidRPr="00F53F8D" w:rsidR="00F703AB">
        <w:t xml:space="preserve"> </w:t>
      </w:r>
    </w:p>
    <w:p w:rsidRPr="00F97FDE" w:rsidR="004F10EB" w:rsidP="00F97FDE" w:rsidRDefault="00295D6F" w14:paraId="4B96AF01" w14:textId="77777777">
      <w:pPr>
        <w:spacing w:before="160" w:line="276" w:lineRule="auto"/>
        <w:jc w:val="both"/>
        <w:rPr>
          <w:i/>
        </w:rPr>
      </w:pPr>
      <w:r w:rsidRPr="00F97FDE">
        <w:rPr>
          <w:i/>
        </w:rPr>
        <w:t>Artikel 16</w:t>
      </w:r>
    </w:p>
    <w:p w:rsidRPr="00F53F8D" w:rsidR="0011273B" w:rsidP="00F97FDE" w:rsidRDefault="004F10EB" w14:paraId="6EC48470" w14:textId="77777777">
      <w:pPr>
        <w:spacing w:before="160" w:line="276" w:lineRule="auto"/>
        <w:jc w:val="both"/>
      </w:pPr>
      <w:r>
        <w:t xml:space="preserve">Voorafgaand aan een bezoek </w:t>
      </w:r>
      <w:r w:rsidR="009C6192">
        <w:t xml:space="preserve">zal een installatie </w:t>
      </w:r>
      <w:r w:rsidR="00017E1D">
        <w:t xml:space="preserve">van communicatiesystemen </w:t>
      </w:r>
      <w:r w:rsidR="0095419A">
        <w:t>van de zendende partij moeten worden goedgek</w:t>
      </w:r>
      <w:r w:rsidR="00774798">
        <w:t xml:space="preserve">eurd door de ontvangende partij (eerste lid). Op grond van het gestelde in het </w:t>
      </w:r>
      <w:r w:rsidR="00532D7C">
        <w:t>tweede lid maakt de zendende partij uitsluitend gebruik van aan haar</w:t>
      </w:r>
      <w:r>
        <w:t xml:space="preserve"> </w:t>
      </w:r>
      <w:r w:rsidR="00CE5EE1">
        <w:t xml:space="preserve">toegewezen frequenties. </w:t>
      </w:r>
      <w:r w:rsidR="001B029F">
        <w:t>Het gebruik hiervan is kosteloos.</w:t>
      </w:r>
      <w:r w:rsidR="00201C06">
        <w:t xml:space="preserve"> </w:t>
      </w:r>
      <w:r w:rsidR="007650A1">
        <w:t>De ontvangende partij geeft zonder toestemming va</w:t>
      </w:r>
      <w:r w:rsidR="00201C06">
        <w:t>n</w:t>
      </w:r>
      <w:r w:rsidR="007650A1">
        <w:t xml:space="preserve"> de zendende partij geen inlichtingen over</w:t>
      </w:r>
      <w:r w:rsidR="000B55D8">
        <w:t xml:space="preserve"> deze</w:t>
      </w:r>
      <w:r w:rsidR="007650A1">
        <w:t xml:space="preserve"> frequenties aan derden. </w:t>
      </w:r>
      <w:r w:rsidR="000B55D8">
        <w:t xml:space="preserve">Op grond van het gestelde in het vierde lid worden door de ontvangende partij ook post- en telegraafverrichtingen </w:t>
      </w:r>
      <w:r w:rsidR="00571AB7">
        <w:t>tegen</w:t>
      </w:r>
      <w:r w:rsidR="00B131BF">
        <w:t xml:space="preserve"> nadere voorwaarden </w:t>
      </w:r>
      <w:r w:rsidR="000B55D8">
        <w:t>ter beschikking gesteld.</w:t>
      </w:r>
    </w:p>
    <w:p w:rsidRPr="00F97FDE" w:rsidR="006E28D9" w:rsidP="00F97FDE" w:rsidRDefault="0011273B" w14:paraId="0419BD0B" w14:textId="77777777">
      <w:pPr>
        <w:spacing w:before="160" w:line="276" w:lineRule="auto"/>
        <w:jc w:val="both"/>
        <w:rPr>
          <w:i/>
        </w:rPr>
      </w:pPr>
      <w:r w:rsidRPr="00F97FDE">
        <w:rPr>
          <w:i/>
        </w:rPr>
        <w:t>Artikel 17</w:t>
      </w:r>
    </w:p>
    <w:p w:rsidRPr="00F53F8D" w:rsidR="00A962F5" w:rsidP="00F97FDE" w:rsidRDefault="006115FA" w14:paraId="6A760850" w14:textId="072BF7E4">
      <w:pPr>
        <w:spacing w:before="160" w:line="276" w:lineRule="auto"/>
        <w:jc w:val="both"/>
      </w:pPr>
      <w:r w:rsidRPr="00F53F8D">
        <w:t xml:space="preserve">De in dit artikel vastgelegde bepalingen </w:t>
      </w:r>
      <w:r w:rsidR="00D347E5">
        <w:t>zijn gebaseerd op de uitgangspunten van</w:t>
      </w:r>
      <w:r w:rsidRPr="00F53F8D">
        <w:t xml:space="preserve"> artikel VII van </w:t>
      </w:r>
      <w:r w:rsidR="00B347C6">
        <w:t xml:space="preserve">de </w:t>
      </w:r>
      <w:r w:rsidRPr="00F53F8D">
        <w:t xml:space="preserve">NAVO SOFA. </w:t>
      </w:r>
      <w:r w:rsidRPr="00F53F8D" w:rsidR="00422A72">
        <w:t xml:space="preserve">Dit artikel geeft conform het gestelde in het eerste en tweede lid een verdeling van rechtsmacht waarbij de ontvangende partij </w:t>
      </w:r>
      <w:r w:rsidRPr="00F53F8D" w:rsidR="00163C97">
        <w:t>rechts</w:t>
      </w:r>
      <w:r w:rsidR="00F37730">
        <w:t>macht</w:t>
      </w:r>
      <w:r w:rsidR="00AA2009">
        <w:t xml:space="preserve"> </w:t>
      </w:r>
      <w:r w:rsidRPr="00F53F8D" w:rsidR="00163C97">
        <w:t>uitoefent ten aanzien van strafbare feiten die op haar grondgebied zijn begaan door het personeel van de zendende partij</w:t>
      </w:r>
      <w:r w:rsidRPr="00F53F8D" w:rsidR="001E1494">
        <w:t>. T</w:t>
      </w:r>
      <w:r w:rsidRPr="00F53F8D" w:rsidR="00163C97">
        <w:t>egelijkertijd</w:t>
      </w:r>
      <w:r w:rsidRPr="00F53F8D" w:rsidR="001E1494">
        <w:t xml:space="preserve"> verleent de ontvangende partij</w:t>
      </w:r>
      <w:r w:rsidRPr="00F53F8D" w:rsidR="00163C97">
        <w:t xml:space="preserve"> aan de bevoegde autoriteiten van de ze</w:t>
      </w:r>
      <w:r w:rsidRPr="00F53F8D" w:rsidR="001E1494">
        <w:t>ndende partij het recht</w:t>
      </w:r>
      <w:r w:rsidRPr="00F53F8D" w:rsidR="00163C97">
        <w:t xml:space="preserve"> om bij voor</w:t>
      </w:r>
      <w:r w:rsidRPr="00F53F8D" w:rsidR="00C40585">
        <w:t xml:space="preserve">rang rechtsmacht </w:t>
      </w:r>
      <w:r w:rsidRPr="00F53F8D" w:rsidR="00BD5C5B">
        <w:t>ove</w:t>
      </w:r>
      <w:r w:rsidRPr="00F53F8D" w:rsidR="00044619">
        <w:t>r het personeel van de zendende partij</w:t>
      </w:r>
      <w:r w:rsidRPr="00F53F8D" w:rsidR="00BD5C5B">
        <w:t xml:space="preserve"> </w:t>
      </w:r>
      <w:r w:rsidRPr="00F53F8D" w:rsidR="00C40585">
        <w:t>uit te oefenen</w:t>
      </w:r>
      <w:r w:rsidRPr="00F53F8D" w:rsidR="001B164A">
        <w:t xml:space="preserve"> bij</w:t>
      </w:r>
      <w:r w:rsidRPr="00F53F8D" w:rsidR="00C40585">
        <w:t>:</w:t>
      </w:r>
    </w:p>
    <w:p w:rsidRPr="00F53F8D" w:rsidR="00835CC4" w:rsidP="00F97FDE" w:rsidRDefault="001B164A" w14:paraId="4D29E38A" w14:textId="77777777">
      <w:pPr>
        <w:pStyle w:val="Lijstalinea"/>
        <w:numPr>
          <w:ilvl w:val="0"/>
          <w:numId w:val="3"/>
        </w:numPr>
        <w:spacing w:before="160" w:line="276" w:lineRule="auto"/>
        <w:jc w:val="both"/>
      </w:pPr>
      <w:r w:rsidRPr="00F53F8D">
        <w:t xml:space="preserve">vergrijpen </w:t>
      </w:r>
      <w:r w:rsidR="007A6090">
        <w:t>die</w:t>
      </w:r>
      <w:r w:rsidRPr="00F53F8D" w:rsidR="007A6090">
        <w:t xml:space="preserve"> </w:t>
      </w:r>
      <w:r w:rsidRPr="00F53F8D">
        <w:t>voortvloeien uit enige daad of nalatigheid, begaan</w:t>
      </w:r>
      <w:r w:rsidR="003B2E80">
        <w:t xml:space="preserve"> in de uitoefening van de officiële taken</w:t>
      </w:r>
      <w:r w:rsidR="007A6090">
        <w:t>;</w:t>
      </w:r>
      <w:r w:rsidRPr="00F53F8D">
        <w:t xml:space="preserve"> </w:t>
      </w:r>
    </w:p>
    <w:p w:rsidRPr="00F53F8D" w:rsidR="00835CC4" w:rsidP="00F97FDE" w:rsidRDefault="001B164A" w14:paraId="5B0B1659" w14:textId="77777777">
      <w:pPr>
        <w:pStyle w:val="Lijstalinea"/>
        <w:numPr>
          <w:ilvl w:val="0"/>
          <w:numId w:val="3"/>
        </w:numPr>
        <w:spacing w:before="160" w:line="276" w:lineRule="auto"/>
        <w:jc w:val="both"/>
      </w:pPr>
      <w:r w:rsidRPr="00F53F8D">
        <w:t xml:space="preserve">vergrijpen </w:t>
      </w:r>
      <w:r w:rsidR="007A6090">
        <w:t>die</w:t>
      </w:r>
      <w:r w:rsidRPr="00F53F8D" w:rsidR="007A6090">
        <w:t xml:space="preserve"> </w:t>
      </w:r>
      <w:r w:rsidRPr="00F53F8D">
        <w:t xml:space="preserve">uitsluitend gericht </w:t>
      </w:r>
      <w:r w:rsidRPr="00F53F8D" w:rsidR="00835CC4">
        <w:t xml:space="preserve">zijn tegen de veiligheid </w:t>
      </w:r>
      <w:r w:rsidRPr="00F53F8D" w:rsidR="00560B5F">
        <w:t xml:space="preserve">of eigendommen </w:t>
      </w:r>
      <w:r w:rsidRPr="00F53F8D" w:rsidR="00835CC4">
        <w:t>van d</w:t>
      </w:r>
      <w:r w:rsidRPr="00F53F8D">
        <w:t xml:space="preserve">e </w:t>
      </w:r>
      <w:r w:rsidRPr="00F53F8D" w:rsidR="00560B5F">
        <w:t>zendende partij</w:t>
      </w:r>
      <w:r w:rsidR="004619ED">
        <w:t>;</w:t>
      </w:r>
      <w:r w:rsidRPr="00F53F8D">
        <w:t xml:space="preserve"> of</w:t>
      </w:r>
    </w:p>
    <w:p w:rsidRPr="00F53F8D" w:rsidR="001B164A" w:rsidP="00F97FDE" w:rsidRDefault="001B164A" w14:paraId="53653FC7" w14:textId="77777777">
      <w:pPr>
        <w:pStyle w:val="Lijstalinea"/>
        <w:numPr>
          <w:ilvl w:val="0"/>
          <w:numId w:val="3"/>
        </w:numPr>
        <w:spacing w:before="160" w:line="276" w:lineRule="auto"/>
        <w:jc w:val="both"/>
      </w:pPr>
      <w:r w:rsidRPr="00F53F8D">
        <w:t xml:space="preserve">vergrijpen </w:t>
      </w:r>
      <w:r w:rsidR="007A6090">
        <w:t>die</w:t>
      </w:r>
      <w:r w:rsidRPr="00F53F8D" w:rsidR="007A6090">
        <w:t xml:space="preserve"> </w:t>
      </w:r>
      <w:r w:rsidRPr="00F53F8D">
        <w:t xml:space="preserve">uitsluitend gericht zijn tegen </w:t>
      </w:r>
      <w:r w:rsidRPr="00F53F8D" w:rsidR="00560B5F">
        <w:t xml:space="preserve">een ander lid van het personeel </w:t>
      </w:r>
      <w:r w:rsidRPr="00F53F8D" w:rsidR="00984404">
        <w:t xml:space="preserve">van de zendende partij </w:t>
      </w:r>
      <w:r w:rsidRPr="00F53F8D">
        <w:t>of</w:t>
      </w:r>
      <w:r w:rsidRPr="00F53F8D" w:rsidR="00560B5F">
        <w:t xml:space="preserve"> de</w:t>
      </w:r>
      <w:r w:rsidRPr="00F53F8D">
        <w:t xml:space="preserve"> eigendommen van een ander lid van </w:t>
      </w:r>
      <w:r w:rsidRPr="00F53F8D" w:rsidR="00984404">
        <w:t>dat</w:t>
      </w:r>
      <w:r w:rsidRPr="00F53F8D" w:rsidR="00E8667D">
        <w:t xml:space="preserve"> personeel.</w:t>
      </w:r>
    </w:p>
    <w:p w:rsidR="00C33BEA" w:rsidP="00F97FDE" w:rsidRDefault="00DC7FB9" w14:paraId="6E4CA143" w14:textId="0A117F6D">
      <w:pPr>
        <w:spacing w:before="160" w:line="276" w:lineRule="auto"/>
        <w:jc w:val="both"/>
      </w:pPr>
      <w:r w:rsidRPr="00F53F8D">
        <w:t xml:space="preserve">Verder </w:t>
      </w:r>
      <w:r w:rsidR="001B1D5F">
        <w:t xml:space="preserve">kunnen </w:t>
      </w:r>
      <w:r w:rsidR="00EF70FA">
        <w:t>p</w:t>
      </w:r>
      <w:r w:rsidR="001B1D5F">
        <w:t>artijen overwegen om</w:t>
      </w:r>
      <w:r w:rsidRPr="00F53F8D">
        <w:t xml:space="preserve">, op grond van het gestelde in het </w:t>
      </w:r>
      <w:r w:rsidR="001B1D5F">
        <w:t xml:space="preserve">derde lid, </w:t>
      </w:r>
      <w:r w:rsidRPr="00F53F8D">
        <w:t>op verzoek van de andere partij af te zien van hun rechts</w:t>
      </w:r>
      <w:r w:rsidR="00F37730">
        <w:t>macht</w:t>
      </w:r>
      <w:r w:rsidRPr="00F53F8D">
        <w:t>.</w:t>
      </w:r>
      <w:r w:rsidRPr="00F53F8D" w:rsidR="003C1443">
        <w:t xml:space="preserve"> </w:t>
      </w:r>
      <w:r w:rsidRPr="00F53F8D" w:rsidR="00B254BA">
        <w:t xml:space="preserve">Als de </w:t>
      </w:r>
      <w:r w:rsidR="00A265ED">
        <w:t xml:space="preserve">zendende partij </w:t>
      </w:r>
      <w:r w:rsidRPr="00F53F8D" w:rsidR="00B254BA">
        <w:t xml:space="preserve">rechtsmacht heeft </w:t>
      </w:r>
      <w:r w:rsidR="00A265ED">
        <w:t xml:space="preserve">en </w:t>
      </w:r>
      <w:r w:rsidRPr="00F53F8D" w:rsidR="00B254BA">
        <w:t xml:space="preserve">besluit om deze niet uit </w:t>
      </w:r>
      <w:r w:rsidR="00A265ED">
        <w:t>te oefenen, stelt deze de ontvangende</w:t>
      </w:r>
      <w:r w:rsidRPr="00F53F8D" w:rsidR="00B254BA">
        <w:t xml:space="preserve"> partij hiervan zo spoedig mogelijk in kennis, aldus het gestelde in het vierde lid. Op grond van het gestelde in het vijfd</w:t>
      </w:r>
      <w:r w:rsidRPr="00F53F8D" w:rsidR="009A3C48">
        <w:t xml:space="preserve">e lid zal de zendende partij </w:t>
      </w:r>
      <w:r w:rsidRPr="00F53F8D" w:rsidR="00EC712A">
        <w:t>personeel</w:t>
      </w:r>
      <w:r w:rsidRPr="00F53F8D" w:rsidR="00B254BA">
        <w:t xml:space="preserve"> ten behoeve van het vooronderzoek aan de bevoegde autoriteiten van </w:t>
      </w:r>
      <w:r w:rsidRPr="00F53F8D" w:rsidR="009A3C48">
        <w:t xml:space="preserve">de ontvangende partij </w:t>
      </w:r>
      <w:r w:rsidR="00025F30">
        <w:t>ter beschikking stellen. O</w:t>
      </w:r>
      <w:r w:rsidRPr="00025F30" w:rsidR="00025F30">
        <w:t>p grond van het gestelde in het zesde lid</w:t>
      </w:r>
      <w:r w:rsidRPr="00F53F8D" w:rsidR="00B254BA">
        <w:t xml:space="preserve"> nemen </w:t>
      </w:r>
      <w:r w:rsidRPr="00F53F8D" w:rsidR="009A3C48">
        <w:t>de autoriteiten van de ontvangende partij een verzoek van de zendende partij</w:t>
      </w:r>
      <w:r w:rsidRPr="00F53F8D" w:rsidR="00C53248">
        <w:t xml:space="preserve"> </w:t>
      </w:r>
      <w:r w:rsidR="00025F30">
        <w:t>in welwillende overweging</w:t>
      </w:r>
      <w:r w:rsidRPr="00F53F8D" w:rsidR="00B254BA">
        <w:t xml:space="preserve"> om de bewaking van ee</w:t>
      </w:r>
      <w:r w:rsidRPr="00F53F8D" w:rsidR="00213ADB">
        <w:t xml:space="preserve">n personeelslid </w:t>
      </w:r>
      <w:r w:rsidRPr="00F53F8D" w:rsidR="00157744">
        <w:t>op hun grondgebied</w:t>
      </w:r>
      <w:r w:rsidRPr="00F53F8D" w:rsidR="00B254BA">
        <w:t xml:space="preserve"> te</w:t>
      </w:r>
      <w:r w:rsidRPr="00F53F8D" w:rsidR="009A3C48">
        <w:t xml:space="preserve"> laten berusten bij de zendende partij</w:t>
      </w:r>
      <w:r w:rsidR="00F41D2F">
        <w:t>,</w:t>
      </w:r>
      <w:r w:rsidRPr="00F53F8D" w:rsidR="00B254BA">
        <w:t xml:space="preserve"> totdat </w:t>
      </w:r>
      <w:r w:rsidRPr="00F53F8D" w:rsidR="009A3C48">
        <w:t>vervolging door de ontvangende partij</w:t>
      </w:r>
      <w:r w:rsidRPr="00F53F8D" w:rsidR="00B254BA">
        <w:t xml:space="preserve"> wordt ingesteld. In geval van arrestatie van ee</w:t>
      </w:r>
      <w:r w:rsidRPr="00F53F8D" w:rsidR="00574EDD">
        <w:t>n personeelslid van de zendende partij, wordt de zendende partij</w:t>
      </w:r>
      <w:r w:rsidRPr="00F53F8D" w:rsidR="00B254BA">
        <w:t xml:space="preserve"> hiervan onverwij</w:t>
      </w:r>
      <w:r w:rsidRPr="00F53F8D" w:rsidR="00574EDD">
        <w:t>ld door de autoriteiten van de ontvangende partij</w:t>
      </w:r>
      <w:r w:rsidRPr="00F53F8D" w:rsidR="00C53248">
        <w:t xml:space="preserve"> in kennis gesteld (zevende</w:t>
      </w:r>
      <w:r w:rsidRPr="00F53F8D" w:rsidR="00B254BA">
        <w:t xml:space="preserve"> lid). Op grond</w:t>
      </w:r>
      <w:r w:rsidRPr="00F53F8D" w:rsidR="00F1759A">
        <w:t xml:space="preserve"> van het gestelde in het achtste</w:t>
      </w:r>
      <w:r w:rsidRPr="00F53F8D" w:rsidR="00B254BA">
        <w:t xml:space="preserve"> lid verlenen de partijen elkaar hulp bij de uitvoering van alle noodzakelijke nasporingen ter zake van een vergrijp en bij het bijeenbrengen van bewijsmateriaal. Partijen stellen elkaar verder in kennis van de afdoening hiervan door hun respectievelijke rechter</w:t>
      </w:r>
      <w:r w:rsidRPr="00F53F8D" w:rsidR="00F1759A">
        <w:t>lijke instanties.</w:t>
      </w:r>
    </w:p>
    <w:p w:rsidRPr="00F53F8D" w:rsidR="00B254BA" w:rsidP="00F97FDE" w:rsidRDefault="00F1759A" w14:paraId="0CD37DBB" w14:textId="77777777">
      <w:pPr>
        <w:spacing w:before="160" w:line="276" w:lineRule="auto"/>
        <w:jc w:val="both"/>
      </w:pPr>
      <w:r w:rsidRPr="00F53F8D">
        <w:t>In het negende</w:t>
      </w:r>
      <w:r w:rsidRPr="00F53F8D" w:rsidR="00B254BA">
        <w:t xml:space="preserve"> lid zijn basisrechten voor de verdachte vastgelegd, indien deze valt onder</w:t>
      </w:r>
      <w:r w:rsidR="00C9740D">
        <w:t xml:space="preserve"> de rechtsmacht van de ontvangende partij</w:t>
      </w:r>
      <w:r w:rsidRPr="00F53F8D" w:rsidR="00B254BA">
        <w:t xml:space="preserve"> en door deze wordt vervo</w:t>
      </w:r>
      <w:r w:rsidRPr="00F53F8D" w:rsidR="000107CA">
        <w:t xml:space="preserve">lgd. </w:t>
      </w:r>
      <w:r w:rsidRPr="00F53F8D" w:rsidR="002C7781">
        <w:t>Indien een personeelslid van de zendende partij door de rechter van de ontvangende partij wordt veroordeeld, kan de zendende partij op grond</w:t>
      </w:r>
      <w:r w:rsidRPr="00F53F8D">
        <w:t xml:space="preserve"> van het gestelde in het tiende</w:t>
      </w:r>
      <w:r w:rsidRPr="00F53F8D" w:rsidR="002C7781">
        <w:t xml:space="preserve"> lid een verzoek indienen bij de ontvangende partij om de straf in de zendende partij uit te zitten. Dit verzoek wordt door de ontvangende partij in welwillende overweging genomen.</w:t>
      </w:r>
      <w:r w:rsidRPr="00F53F8D" w:rsidR="00707E93">
        <w:t xml:space="preserve"> </w:t>
      </w:r>
      <w:r w:rsidRPr="00F53F8D" w:rsidR="000107CA">
        <w:t>Wanneer een personeelslid</w:t>
      </w:r>
      <w:r w:rsidRPr="00F53F8D" w:rsidR="00E37C6A">
        <w:t xml:space="preserve"> van de zendende partij</w:t>
      </w:r>
      <w:r w:rsidRPr="00F53F8D" w:rsidR="00B254BA">
        <w:t xml:space="preserve"> overeenkomstig de bepalingen van dit artikel is veroordeeld of is vrijgesproken</w:t>
      </w:r>
      <w:r w:rsidR="00DB2C30">
        <w:t>,</w:t>
      </w:r>
      <w:r w:rsidRPr="00F53F8D" w:rsidR="00B254BA">
        <w:t xml:space="preserve"> mag hij niet nogmaals voor hetzelfde vergrijp worden berecht door </w:t>
      </w:r>
      <w:r w:rsidRPr="00F53F8D" w:rsidR="00E37C6A">
        <w:t>de gerechten van de andere partij</w:t>
      </w:r>
      <w:r w:rsidRPr="00F53F8D">
        <w:t xml:space="preserve"> (elfde</w:t>
      </w:r>
      <w:r w:rsidRPr="00F53F8D" w:rsidR="00B254BA">
        <w:t xml:space="preserve"> lid). </w:t>
      </w:r>
      <w:r w:rsidRPr="00F53F8D" w:rsidR="001D2FC2">
        <w:t>Het twaalfde lid behandelt de</w:t>
      </w:r>
      <w:r w:rsidRPr="00F53F8D" w:rsidR="001305A8">
        <w:t xml:space="preserve"> </w:t>
      </w:r>
      <w:r w:rsidR="00B772D8">
        <w:t xml:space="preserve">overdracht van personeelsleden aan de partij die rechtsmacht uitoefent. Overdracht zal in beginsel niet plaatsvinden aan de partij die rechtsmacht uitoefent </w:t>
      </w:r>
      <w:r w:rsidR="00DB2C30">
        <w:t>wanneer</w:t>
      </w:r>
      <w:r w:rsidRPr="00F53F8D" w:rsidR="00DB2C30">
        <w:t xml:space="preserve"> </w:t>
      </w:r>
      <w:r w:rsidR="00DB2C30">
        <w:t>die partij</w:t>
      </w:r>
      <w:r w:rsidRPr="00F53F8D" w:rsidR="00DB2C30">
        <w:t xml:space="preserve"> </w:t>
      </w:r>
      <w:r w:rsidRPr="00F53F8D" w:rsidR="00985FC5">
        <w:t>straffen ten uitvoer legt</w:t>
      </w:r>
      <w:r w:rsidRPr="00F53F8D" w:rsidR="007C303B">
        <w:t xml:space="preserve"> die in strijd zijn met verplichtingen die voortvloeien uit internationale verdragen waarbij </w:t>
      </w:r>
      <w:r w:rsidR="00DB2C30">
        <w:t>éé</w:t>
      </w:r>
      <w:r w:rsidRPr="00F53F8D" w:rsidR="007C303B">
        <w:t xml:space="preserve">n van de </w:t>
      </w:r>
      <w:r w:rsidR="00DB2C30">
        <w:t>verdragsp</w:t>
      </w:r>
      <w:r w:rsidRPr="00F53F8D" w:rsidR="007C303B">
        <w:t xml:space="preserve">artijen partij is. Overdracht vindt alleen plaats indien zeker wordt gesteld dat deze straffen niet worden gevorderd, uitgesproken </w:t>
      </w:r>
      <w:r w:rsidRPr="00F53F8D" w:rsidR="00024FB3">
        <w:t xml:space="preserve">of </w:t>
      </w:r>
      <w:r w:rsidRPr="00F53F8D" w:rsidR="00DC31A3">
        <w:t xml:space="preserve">bij een uitspraak niet </w:t>
      </w:r>
      <w:r w:rsidRPr="00F53F8D" w:rsidR="00024FB3">
        <w:t>ten uitvoer worden gelegd</w:t>
      </w:r>
      <w:r w:rsidRPr="00F53F8D" w:rsidR="007C303B">
        <w:t xml:space="preserve">. </w:t>
      </w:r>
      <w:r w:rsidRPr="00F53F8D" w:rsidR="00D46D45">
        <w:t xml:space="preserve">Ook indien de nationale wetgeving van </w:t>
      </w:r>
      <w:r w:rsidRPr="00F53F8D" w:rsidR="00FC2EA3">
        <w:t xml:space="preserve">partijen voorziet in </w:t>
      </w:r>
      <w:r w:rsidR="00DB2C30">
        <w:t>de</w:t>
      </w:r>
      <w:r w:rsidRPr="00F53F8D" w:rsidR="00DB2C30">
        <w:t xml:space="preserve"> </w:t>
      </w:r>
      <w:r w:rsidRPr="00F53F8D" w:rsidR="00FC2EA3">
        <w:t>vermelde straffen zullen deze niet worden gevorderd, uitgesproken of bij een uitspraak ten uitvoer worden gelegd.</w:t>
      </w:r>
    </w:p>
    <w:p w:rsidRPr="00F97FDE" w:rsidR="00FC2EA3" w:rsidP="00F97FDE" w:rsidRDefault="0011273B" w14:paraId="288B221D" w14:textId="77777777">
      <w:pPr>
        <w:spacing w:before="160" w:line="276" w:lineRule="auto"/>
        <w:jc w:val="both"/>
        <w:rPr>
          <w:i/>
        </w:rPr>
      </w:pPr>
      <w:r w:rsidRPr="00F97FDE">
        <w:rPr>
          <w:i/>
        </w:rPr>
        <w:t>Artikel 18</w:t>
      </w:r>
    </w:p>
    <w:p w:rsidR="000C37A2" w:rsidP="00F97FDE" w:rsidRDefault="00896B79" w14:paraId="7CA86855" w14:textId="5C522015">
      <w:pPr>
        <w:spacing w:before="160" w:line="276" w:lineRule="auto"/>
        <w:jc w:val="both"/>
      </w:pPr>
      <w:r w:rsidRPr="00F53F8D">
        <w:t xml:space="preserve">Dit artikel behandelt de vorderingen tot schadevergoeding die </w:t>
      </w:r>
      <w:r w:rsidR="00EF70FA">
        <w:t>p</w:t>
      </w:r>
      <w:r w:rsidRPr="00F53F8D">
        <w:t xml:space="preserve">artijen onderling jegens elkaar of jegens elkaars personeel </w:t>
      </w:r>
      <w:r w:rsidRPr="00F53F8D" w:rsidR="00C51E12">
        <w:t>hebben</w:t>
      </w:r>
      <w:r w:rsidR="00EB287C">
        <w:t>,</w:t>
      </w:r>
      <w:r w:rsidRPr="00F53F8D" w:rsidR="00C51E12">
        <w:t xml:space="preserve"> </w:t>
      </w:r>
      <w:r w:rsidRPr="00F53F8D" w:rsidR="001A23AB">
        <w:t xml:space="preserve">alsmede </w:t>
      </w:r>
      <w:r w:rsidR="00B628CA">
        <w:t xml:space="preserve">de toerekenbaarheid en </w:t>
      </w:r>
      <w:r w:rsidRPr="00F53F8D" w:rsidR="001A23AB">
        <w:t xml:space="preserve">vergoeding van schade die wordt toegebracht aan derden. </w:t>
      </w:r>
      <w:r w:rsidRPr="00F53F8D" w:rsidR="00AF5747">
        <w:t>Een soortgelijke regeling inzake claims is opgenomen in artikel VII</w:t>
      </w:r>
      <w:r w:rsidR="00C54408">
        <w:t>I</w:t>
      </w:r>
      <w:r w:rsidRPr="00F53F8D" w:rsidR="00AF5747">
        <w:t xml:space="preserve"> lid </w:t>
      </w:r>
      <w:r w:rsidR="00C54408">
        <w:t xml:space="preserve">1 en 5 </w:t>
      </w:r>
      <w:r w:rsidR="00B347C6">
        <w:t xml:space="preserve">van de </w:t>
      </w:r>
      <w:r w:rsidRPr="00F53F8D" w:rsidR="00AF5747">
        <w:t>NAVO SOFA.</w:t>
      </w:r>
    </w:p>
    <w:p w:rsidR="000C37A2" w:rsidP="00F97FDE" w:rsidRDefault="00EB46D0" w14:paraId="63B76EC0" w14:textId="55A5BB44">
      <w:pPr>
        <w:spacing w:before="160" w:line="276" w:lineRule="auto"/>
        <w:jc w:val="both"/>
      </w:pPr>
      <w:r w:rsidRPr="00F53F8D">
        <w:t xml:space="preserve">Op grond van het gestelde in het eerste lid doen </w:t>
      </w:r>
      <w:r w:rsidR="00EF70FA">
        <w:t>p</w:t>
      </w:r>
      <w:r w:rsidRPr="00F53F8D">
        <w:t xml:space="preserve">artijen over en weer afstand van aanspraken jegens elkaar of jegens een personeelslid van de andere partij, ter zake van schade aan hun eigendommen en ter zake van </w:t>
      </w:r>
      <w:r w:rsidRPr="00F53F8D" w:rsidR="003618BF">
        <w:t>schade (</w:t>
      </w:r>
      <w:r w:rsidRPr="00F53F8D">
        <w:t>letsel</w:t>
      </w:r>
      <w:r w:rsidRPr="00F53F8D" w:rsidR="003618BF">
        <w:t xml:space="preserve">) </w:t>
      </w:r>
      <w:r w:rsidRPr="00F53F8D">
        <w:t xml:space="preserve">van hun personeel, toegebracht in het kader van de uitoefening van de dienst. </w:t>
      </w:r>
      <w:r w:rsidR="00F14846">
        <w:t xml:space="preserve">Wat betreft de schade aan eigendommen betreft het hier schade toegebracht aan de </w:t>
      </w:r>
      <w:r w:rsidRPr="00276CD6" w:rsidR="00F14846">
        <w:rPr>
          <w:i/>
        </w:rPr>
        <w:t>eigendommen van het Koninkrijk</w:t>
      </w:r>
      <w:r w:rsidR="000C37A2">
        <w:t>,</w:t>
      </w:r>
      <w:r w:rsidR="00F14846">
        <w:t xml:space="preserve"> die zich in het Caribische d</w:t>
      </w:r>
      <w:r w:rsidR="009E32CF">
        <w:t>eel</w:t>
      </w:r>
      <w:r w:rsidR="00EB1133">
        <w:t xml:space="preserve"> van het Koninkrijk bevinden</w:t>
      </w:r>
      <w:r w:rsidR="00C63643">
        <w:t>.</w:t>
      </w:r>
      <w:r w:rsidR="00F14846">
        <w:t xml:space="preserve"> </w:t>
      </w:r>
      <w:r w:rsidR="00C63643">
        <w:t>V</w:t>
      </w:r>
      <w:r w:rsidR="00F14846">
        <w:t xml:space="preserve">oornamelijk </w:t>
      </w:r>
      <w:r w:rsidR="006E7158">
        <w:t>betreft</w:t>
      </w:r>
      <w:r w:rsidR="00C63643">
        <w:t xml:space="preserve"> dit </w:t>
      </w:r>
      <w:r w:rsidR="00F14846">
        <w:t>eigendommen van,</w:t>
      </w:r>
      <w:r w:rsidR="004D42EF">
        <w:t xml:space="preserve"> of in gebruik</w:t>
      </w:r>
      <w:r w:rsidR="00F14846">
        <w:t xml:space="preserve"> bij</w:t>
      </w:r>
      <w:r w:rsidR="004D42EF">
        <w:t>,</w:t>
      </w:r>
      <w:r w:rsidR="00F14846">
        <w:t xml:space="preserve"> de strijdkrachten</w:t>
      </w:r>
      <w:r w:rsidR="00C63643">
        <w:t xml:space="preserve">, </w:t>
      </w:r>
      <w:r w:rsidRPr="00A375AD" w:rsidR="00C63643">
        <w:t>maar ook eigendommen</w:t>
      </w:r>
      <w:r w:rsidRPr="00A375AD" w:rsidR="002E2547">
        <w:t xml:space="preserve"> van de lokale autoriteiten </w:t>
      </w:r>
      <w:r w:rsidRPr="00A375AD" w:rsidR="00C03AB7">
        <w:t xml:space="preserve">in het betreffende Caribische deel van het Koninkrijk </w:t>
      </w:r>
      <w:r w:rsidRPr="00A375AD" w:rsidR="002E2547">
        <w:t>vallen hieronder.</w:t>
      </w:r>
      <w:r w:rsidR="00C63643">
        <w:t xml:space="preserve"> </w:t>
      </w:r>
      <w:r w:rsidRPr="0000491F" w:rsidR="0000491F">
        <w:t xml:space="preserve">Afhandeling van </w:t>
      </w:r>
      <w:r w:rsidR="000C71B1">
        <w:t xml:space="preserve">eventuele lokale </w:t>
      </w:r>
      <w:r w:rsidRPr="0000491F" w:rsidR="0000491F">
        <w:t xml:space="preserve">schade is een interne aangelegenheid </w:t>
      </w:r>
      <w:r w:rsidR="00E3775C">
        <w:t>van</w:t>
      </w:r>
      <w:r w:rsidRPr="0000491F" w:rsidR="0000491F">
        <w:t xml:space="preserve"> het Koninkrijk</w:t>
      </w:r>
      <w:r w:rsidR="00217DD7">
        <w:t>,</w:t>
      </w:r>
      <w:r w:rsidR="000C71B1">
        <w:t xml:space="preserve"> </w:t>
      </w:r>
      <w:r w:rsidR="00E3775C">
        <w:t xml:space="preserve">dat wil zeggen </w:t>
      </w:r>
      <w:r w:rsidR="000C71B1">
        <w:t xml:space="preserve">tussen </w:t>
      </w:r>
      <w:r w:rsidR="00E3775C">
        <w:t xml:space="preserve">het </w:t>
      </w:r>
      <w:r w:rsidR="000C71B1">
        <w:t>Min</w:t>
      </w:r>
      <w:r w:rsidR="00E3775C">
        <w:t>isterie van Defensie</w:t>
      </w:r>
      <w:r w:rsidR="000C71B1">
        <w:t xml:space="preserve"> en de lokale autoriteiten</w:t>
      </w:r>
      <w:r w:rsidRPr="0000491F" w:rsidR="0000491F">
        <w:t>.</w:t>
      </w:r>
    </w:p>
    <w:p w:rsidR="000C37A2" w:rsidP="00F97FDE" w:rsidRDefault="0072642F" w14:paraId="0F20AEEB" w14:textId="77777777">
      <w:pPr>
        <w:spacing w:before="160" w:line="276" w:lineRule="auto"/>
        <w:jc w:val="both"/>
      </w:pPr>
      <w:r w:rsidRPr="008E23D4">
        <w:t xml:space="preserve">Het afstand doen van </w:t>
      </w:r>
      <w:r w:rsidRPr="008E23D4" w:rsidR="003618BF">
        <w:t xml:space="preserve">vorderingen tot schadevergoeding </w:t>
      </w:r>
      <w:r w:rsidRPr="008E23D4">
        <w:t xml:space="preserve">is </w:t>
      </w:r>
      <w:r w:rsidRPr="00EF70FA">
        <w:t>niet</w:t>
      </w:r>
      <w:r w:rsidRPr="008E23D4">
        <w:t xml:space="preserve"> van toepassing wanneer de schade het gevolg is</w:t>
      </w:r>
      <w:r w:rsidRPr="008E23D4" w:rsidR="003618BF">
        <w:t xml:space="preserve"> van een handelen </w:t>
      </w:r>
      <w:r w:rsidRPr="00EF70FA" w:rsidR="003618BF">
        <w:t>met het oogmerk</w:t>
      </w:r>
      <w:r w:rsidRPr="008E23D4" w:rsidR="003618BF">
        <w:t xml:space="preserve"> om schade toe te brengen (opzet) of </w:t>
      </w:r>
      <w:r w:rsidRPr="008E23D4" w:rsidR="000C37A2">
        <w:t>het</w:t>
      </w:r>
      <w:r w:rsidRPr="008E23D4" w:rsidR="003618BF">
        <w:t xml:space="preserve"> gevolg </w:t>
      </w:r>
      <w:r w:rsidRPr="008E23D4" w:rsidR="000C37A2">
        <w:t xml:space="preserve">is </w:t>
      </w:r>
      <w:r w:rsidRPr="008E23D4" w:rsidR="003618BF">
        <w:t>van</w:t>
      </w:r>
      <w:r w:rsidRPr="00F53F8D" w:rsidR="003618BF">
        <w:t xml:space="preserve"> een grove fout of een grove nalatigheid (grove schuld). De </w:t>
      </w:r>
      <w:r w:rsidR="000C37A2">
        <w:t>p</w:t>
      </w:r>
      <w:r w:rsidRPr="00F53F8D" w:rsidR="003618BF">
        <w:t>artijen bepalen in dat geval in onderling overleg de toerekenbaarheid van de schade en de daaruit voortvloeiende schadevergoeding.</w:t>
      </w:r>
    </w:p>
    <w:p w:rsidRPr="00F53F8D" w:rsidR="00EB46D0" w:rsidP="00F97FDE" w:rsidRDefault="00113E15" w14:paraId="73E327D0" w14:textId="77777777">
      <w:pPr>
        <w:spacing w:before="160" w:line="276" w:lineRule="auto"/>
        <w:jc w:val="both"/>
      </w:pPr>
      <w:r w:rsidRPr="00F53F8D">
        <w:t>Op grond van het tweede lid treedt de ontvangende partij op namens de zendende partij</w:t>
      </w:r>
      <w:r w:rsidRPr="00F53F8D" w:rsidR="00EB46D0">
        <w:t xml:space="preserve"> voor de afhandeling van schade aan derden die</w:t>
      </w:r>
      <w:r w:rsidRPr="00F53F8D">
        <w:t xml:space="preserve"> door personeel van de zendende partij </w:t>
      </w:r>
      <w:r w:rsidRPr="00F53F8D" w:rsidR="00EB46D0">
        <w:t xml:space="preserve">wordt veroorzaakt in de uitoefening van de dienst. </w:t>
      </w:r>
      <w:r w:rsidR="004D53D3">
        <w:t xml:space="preserve">De ontvangende partij is op de hoogte van de </w:t>
      </w:r>
      <w:r w:rsidR="00EC60A9">
        <w:t>geldende regels en procedures</w:t>
      </w:r>
      <w:r w:rsidR="000C37A2">
        <w:t>,</w:t>
      </w:r>
      <w:r w:rsidR="00EC60A9">
        <w:t xml:space="preserve"> </w:t>
      </w:r>
      <w:r w:rsidR="00C33BEA">
        <w:t>wat</w:t>
      </w:r>
      <w:r w:rsidR="00EC60A9">
        <w:t xml:space="preserve"> voor derden </w:t>
      </w:r>
      <w:r w:rsidR="001546AD">
        <w:t xml:space="preserve">derhalve meer zekerheid </w:t>
      </w:r>
      <w:r w:rsidR="00C33BEA">
        <w:t xml:space="preserve">biedt </w:t>
      </w:r>
      <w:r w:rsidR="001546AD">
        <w:t xml:space="preserve">en </w:t>
      </w:r>
      <w:r w:rsidR="0013237D">
        <w:t>noodzakel</w:t>
      </w:r>
      <w:r w:rsidR="00E206AD">
        <w:t>ijke bescherming</w:t>
      </w:r>
      <w:r w:rsidR="0013237D">
        <w:t>.</w:t>
      </w:r>
      <w:r w:rsidR="00EC60A9">
        <w:t xml:space="preserve"> </w:t>
      </w:r>
      <w:r w:rsidRPr="00F53F8D" w:rsidR="00EB46D0">
        <w:t xml:space="preserve">Wat betreft de verdeling van schade geldt </w:t>
      </w:r>
      <w:r w:rsidRPr="00F53F8D" w:rsidR="000568AF">
        <w:t xml:space="preserve">op grond van het derde lid </w:t>
      </w:r>
      <w:r w:rsidRPr="00F53F8D" w:rsidR="00EB46D0">
        <w:t>het volgende:</w:t>
      </w:r>
    </w:p>
    <w:p w:rsidRPr="00F53F8D" w:rsidR="00EB46D0" w:rsidP="003628FD" w:rsidRDefault="00FE2BFC" w14:paraId="6C7B4A79" w14:textId="77777777">
      <w:pPr>
        <w:pStyle w:val="Lijstalinea"/>
        <w:numPr>
          <w:ilvl w:val="0"/>
          <w:numId w:val="3"/>
        </w:numPr>
        <w:spacing w:before="160" w:line="276" w:lineRule="auto"/>
        <w:jc w:val="both"/>
      </w:pPr>
      <w:r>
        <w:t>i</w:t>
      </w:r>
      <w:r w:rsidRPr="00F53F8D" w:rsidR="00EB46D0">
        <w:t>ndien schade toerekenbaar is aan een partij zal deze partij voor vergoeding zorgdragen</w:t>
      </w:r>
      <w:r w:rsidR="00C33BEA">
        <w:t>;</w:t>
      </w:r>
    </w:p>
    <w:p w:rsidRPr="00F53F8D" w:rsidR="00EB46D0" w:rsidP="003628FD" w:rsidRDefault="00FE2BFC" w14:paraId="50E50429" w14:textId="520E0049">
      <w:pPr>
        <w:pStyle w:val="Lijstalinea"/>
        <w:numPr>
          <w:ilvl w:val="0"/>
          <w:numId w:val="3"/>
        </w:numPr>
        <w:spacing w:before="160" w:line="276" w:lineRule="auto"/>
        <w:jc w:val="both"/>
      </w:pPr>
      <w:r>
        <w:t>i</w:t>
      </w:r>
      <w:r w:rsidRPr="00F53F8D" w:rsidR="00EB46D0">
        <w:t xml:space="preserve">ndien schade toe te schrijven is aan beide partijen of indien schade niet kan worden toegeschreven aan de ene of de andere partij, vindt verdeling over </w:t>
      </w:r>
      <w:r w:rsidR="00EF70FA">
        <w:t>p</w:t>
      </w:r>
      <w:r w:rsidRPr="00F53F8D" w:rsidR="00EB46D0">
        <w:t>artijen op basis van gelijkheid plaats</w:t>
      </w:r>
      <w:r w:rsidR="00C33BEA">
        <w:t>;</w:t>
      </w:r>
    </w:p>
    <w:p w:rsidRPr="00F53F8D" w:rsidR="00EB46D0" w:rsidP="003628FD" w:rsidRDefault="00587315" w14:paraId="7CDD6AA3" w14:textId="320052EB">
      <w:pPr>
        <w:pStyle w:val="Lijstalinea"/>
        <w:numPr>
          <w:ilvl w:val="0"/>
          <w:numId w:val="3"/>
        </w:numPr>
        <w:spacing w:before="160" w:line="276" w:lineRule="auto"/>
        <w:jc w:val="both"/>
      </w:pPr>
      <w:r>
        <w:t>P</w:t>
      </w:r>
      <w:r w:rsidRPr="00F53F8D" w:rsidR="00EB46D0">
        <w:t>artijen bepalen in onderling overleg de hoogte van het schadebedrag en aan wie deze moet worden toegerekend.</w:t>
      </w:r>
    </w:p>
    <w:p w:rsidRPr="00F97FDE" w:rsidR="00F11095" w:rsidP="00F97FDE" w:rsidRDefault="0011273B" w14:paraId="5550F5EF" w14:textId="77777777">
      <w:pPr>
        <w:spacing w:before="160" w:line="276" w:lineRule="auto"/>
        <w:jc w:val="both"/>
        <w:rPr>
          <w:i/>
        </w:rPr>
      </w:pPr>
      <w:r w:rsidRPr="00F97FDE">
        <w:rPr>
          <w:i/>
        </w:rPr>
        <w:t>Artikel 19</w:t>
      </w:r>
    </w:p>
    <w:p w:rsidRPr="00F53F8D" w:rsidR="00F11095" w:rsidP="00F97FDE" w:rsidRDefault="00F11095" w14:paraId="1DF7C272" w14:textId="77777777">
      <w:pPr>
        <w:spacing w:before="160" w:line="276" w:lineRule="auto"/>
        <w:jc w:val="both"/>
      </w:pPr>
      <w:r w:rsidRPr="00F53F8D">
        <w:t xml:space="preserve">Op grond van het gestelde in het tweede lid </w:t>
      </w:r>
      <w:r w:rsidR="007D0639">
        <w:t xml:space="preserve">kunnen leden van het personeel van de zendende partij </w:t>
      </w:r>
      <w:r w:rsidR="00F128D5">
        <w:t>gedure</w:t>
      </w:r>
      <w:r w:rsidR="009A7757">
        <w:t>nde hun verblijf op het grondgebied van de ontvangende partij</w:t>
      </w:r>
      <w:r w:rsidR="00F128D5">
        <w:t xml:space="preserve"> in het kader van de onderhavige overeenkomst in noodgevallen geneeskundige en tandheelkundige zorg krijgen van de gezondheidsdiensten van de strijdkrachten van de ontvangende partij onder dezelfde omstandigheden als voor leden van de ontvangende partij. S</w:t>
      </w:r>
      <w:r w:rsidRPr="00F53F8D">
        <w:t>poedeisende medische en tandheelkundige hulp bij de militair geneeskundi</w:t>
      </w:r>
      <w:r w:rsidR="009A7757">
        <w:t>ge instellingen van de ontvangende partij</w:t>
      </w:r>
      <w:r w:rsidRPr="00F53F8D">
        <w:t xml:space="preserve">, </w:t>
      </w:r>
      <w:r w:rsidR="007D0639">
        <w:t>alsmede evacuaties in noods</w:t>
      </w:r>
      <w:r w:rsidR="000E54C7">
        <w:t xml:space="preserve">ituaties met militaire middelen </w:t>
      </w:r>
      <w:r w:rsidR="00F128D5">
        <w:t>zijn kosteloos</w:t>
      </w:r>
      <w:r w:rsidRPr="00F53F8D">
        <w:t xml:space="preserve">. Alle overige medische en tandheelkundige verzorging </w:t>
      </w:r>
      <w:r w:rsidR="00F128D5">
        <w:t xml:space="preserve">alsmede evacuaties blijven op grond van het gestelde in het derde lid voor rekening </w:t>
      </w:r>
      <w:r w:rsidR="00A44354">
        <w:t>van de zendende partij</w:t>
      </w:r>
      <w:r w:rsidRPr="00F53F8D">
        <w:t>.</w:t>
      </w:r>
    </w:p>
    <w:p w:rsidRPr="00F97FDE" w:rsidR="00F11095" w:rsidP="00F97FDE" w:rsidRDefault="0011273B" w14:paraId="44EB431D" w14:textId="77777777">
      <w:pPr>
        <w:spacing w:before="160" w:line="276" w:lineRule="auto"/>
        <w:jc w:val="both"/>
        <w:rPr>
          <w:i/>
        </w:rPr>
      </w:pPr>
      <w:r w:rsidRPr="00F97FDE">
        <w:rPr>
          <w:i/>
        </w:rPr>
        <w:t>Artikel 20</w:t>
      </w:r>
    </w:p>
    <w:p w:rsidRPr="00F53F8D" w:rsidR="00F11095" w:rsidP="00F97FDE" w:rsidRDefault="00F11095" w14:paraId="107A961D" w14:textId="52F5F01B">
      <w:pPr>
        <w:spacing w:before="160" w:line="276" w:lineRule="auto"/>
        <w:jc w:val="both"/>
      </w:pPr>
      <w:r w:rsidRPr="00F53F8D">
        <w:t>In dit artikel zijn bepalingen opgenomen in geval een personeelslid van de zen</w:t>
      </w:r>
      <w:r w:rsidR="003B583F">
        <w:t>dende partij</w:t>
      </w:r>
      <w:r w:rsidRPr="00F53F8D">
        <w:t xml:space="preserve"> komt te overlijden. </w:t>
      </w:r>
      <w:r w:rsidR="00F46656">
        <w:t>He</w:t>
      </w:r>
      <w:r w:rsidR="004F5B9A">
        <w:t xml:space="preserve">t eerste en het tweede lid geven </w:t>
      </w:r>
      <w:r w:rsidR="00F46656">
        <w:t xml:space="preserve">een regeling inzake het vaststellen van het overlijden </w:t>
      </w:r>
      <w:r w:rsidR="004F5B9A">
        <w:t>respectievelijk inzake</w:t>
      </w:r>
      <w:r w:rsidR="00F46656">
        <w:t xml:space="preserve"> het op de hoogte brengen van de au</w:t>
      </w:r>
      <w:r w:rsidR="003B583F">
        <w:t>toriteiten van de zendende partij</w:t>
      </w:r>
      <w:r w:rsidR="00F46656">
        <w:t xml:space="preserve">. </w:t>
      </w:r>
      <w:r w:rsidRPr="00F53F8D">
        <w:t>Op gron</w:t>
      </w:r>
      <w:r w:rsidR="002D2917">
        <w:t>d van het gestelde in het derde</w:t>
      </w:r>
      <w:r w:rsidRPr="00F53F8D">
        <w:t xml:space="preserve"> lid </w:t>
      </w:r>
      <w:r w:rsidR="007F41E3">
        <w:t>kan de zendende partij bij de gerechtelijke autoriteiten van de ontvangende partij een</w:t>
      </w:r>
      <w:r w:rsidR="009E05EE">
        <w:t xml:space="preserve"> </w:t>
      </w:r>
      <w:r w:rsidR="007F41E3">
        <w:t xml:space="preserve">verzoek indienen voor een autopsie van de overledene. De autoriteiten van de ontvangende partij kunnen hierop een autopsie gelasten, uit te voeren door een door deze </w:t>
      </w:r>
      <w:r w:rsidR="00E11A5C">
        <w:t xml:space="preserve">autoriteiten </w:t>
      </w:r>
      <w:r w:rsidR="007F41E3">
        <w:t>aan te wijzen arts</w:t>
      </w:r>
      <w:r w:rsidR="00591F03">
        <w:t xml:space="preserve">. Een bevoegde vertegenwoordiger van de zendende partij kan </w:t>
      </w:r>
      <w:r w:rsidR="00BC0205">
        <w:t>hierbij aanwezig zijn</w:t>
      </w:r>
      <w:r w:rsidR="003B583F">
        <w:t>,</w:t>
      </w:r>
      <w:r w:rsidR="00743232">
        <w:t xml:space="preserve"> indien </w:t>
      </w:r>
      <w:r w:rsidR="004F5B9A">
        <w:t>de wetgeving van de ontvangende partij dit toestaat.</w:t>
      </w:r>
      <w:r w:rsidR="00F12D16">
        <w:t xml:space="preserve"> </w:t>
      </w:r>
      <w:r w:rsidR="00A57D21">
        <w:t xml:space="preserve">Wat betreft het Koninkrijk </w:t>
      </w:r>
      <w:r w:rsidR="00F12D16">
        <w:t xml:space="preserve">is </w:t>
      </w:r>
      <w:r w:rsidR="00A57D21">
        <w:t xml:space="preserve">dit </w:t>
      </w:r>
      <w:r w:rsidR="00F12D16">
        <w:t xml:space="preserve">derhalve afhankelijk van de geldende </w:t>
      </w:r>
      <w:r w:rsidR="00765E46">
        <w:t xml:space="preserve">relevante </w:t>
      </w:r>
      <w:r w:rsidR="00F12D16">
        <w:t>wetgeving op Aruba, Curaçao</w:t>
      </w:r>
      <w:r w:rsidR="0025194D">
        <w:t xml:space="preserve"> en</w:t>
      </w:r>
      <w:r w:rsidR="00C6276F">
        <w:t xml:space="preserve"> </w:t>
      </w:r>
      <w:r w:rsidR="00F12D16">
        <w:t>Sint Maarten</w:t>
      </w:r>
      <w:r w:rsidR="009E2D6A">
        <w:t xml:space="preserve"> en </w:t>
      </w:r>
      <w:r w:rsidR="0025194D">
        <w:t xml:space="preserve">de geldende wetgeving </w:t>
      </w:r>
      <w:r w:rsidR="00042193">
        <w:t xml:space="preserve">in </w:t>
      </w:r>
      <w:r w:rsidR="009E2D6A">
        <w:t>he</w:t>
      </w:r>
      <w:r w:rsidR="00C6276F">
        <w:t>t Caribische deel van Nederland</w:t>
      </w:r>
      <w:r w:rsidR="00042193">
        <w:t xml:space="preserve">. De wetgeving kan </w:t>
      </w:r>
      <w:r w:rsidR="00765E46">
        <w:t>per gebied</w:t>
      </w:r>
      <w:r w:rsidR="00042193">
        <w:t xml:space="preserve"> </w:t>
      </w:r>
      <w:r w:rsidR="00C6276F">
        <w:t>verschillen.</w:t>
      </w:r>
      <w:r w:rsidR="00F12D16">
        <w:t xml:space="preserve"> </w:t>
      </w:r>
      <w:r w:rsidR="00BF3CE7">
        <w:t>Op grond van het gestelde in het derde lid is het tevens mogelijk dat de ontvangende partij op eigen initiatief een autopsie gelast</w:t>
      </w:r>
      <w:r w:rsidR="00725675">
        <w:t>.</w:t>
      </w:r>
    </w:p>
    <w:p w:rsidR="003F4673" w:rsidRDefault="003F4673" w14:paraId="7C9EA22F" w14:textId="77777777">
      <w:pPr>
        <w:rPr>
          <w:b/>
        </w:rPr>
      </w:pPr>
      <w:r>
        <w:rPr>
          <w:b/>
        </w:rPr>
        <w:br w:type="page"/>
      </w:r>
    </w:p>
    <w:p w:rsidRPr="00F97FDE" w:rsidR="008175E7" w:rsidP="00F97FDE" w:rsidRDefault="008175E7" w14:paraId="49DDA390" w14:textId="138F5438">
      <w:pPr>
        <w:spacing w:before="160" w:line="276" w:lineRule="auto"/>
        <w:jc w:val="both"/>
        <w:rPr>
          <w:b/>
        </w:rPr>
      </w:pPr>
      <w:r w:rsidRPr="00F97FDE">
        <w:rPr>
          <w:b/>
        </w:rPr>
        <w:t>Titel III</w:t>
      </w:r>
    </w:p>
    <w:p w:rsidRPr="00F97FDE" w:rsidR="00F11095" w:rsidP="00F97FDE" w:rsidRDefault="0011273B" w14:paraId="56D89AA9" w14:textId="77777777">
      <w:pPr>
        <w:spacing w:before="160" w:line="276" w:lineRule="auto"/>
        <w:jc w:val="both"/>
        <w:rPr>
          <w:i/>
        </w:rPr>
      </w:pPr>
      <w:r w:rsidRPr="00F97FDE">
        <w:rPr>
          <w:i/>
        </w:rPr>
        <w:t>Artikel 21</w:t>
      </w:r>
    </w:p>
    <w:p w:rsidRPr="00F53F8D" w:rsidR="00F11095" w:rsidP="00F97FDE" w:rsidRDefault="00F11095" w14:paraId="4EB22CF2" w14:textId="77777777">
      <w:pPr>
        <w:spacing w:before="160" w:line="276" w:lineRule="auto"/>
        <w:jc w:val="both"/>
      </w:pPr>
      <w:r w:rsidRPr="00F53F8D">
        <w:t xml:space="preserve">De </w:t>
      </w:r>
      <w:r w:rsidR="004E0BBA">
        <w:t>p</w:t>
      </w:r>
      <w:r w:rsidRPr="00F53F8D">
        <w:t xml:space="preserve">artijen komen overeen dat geschillen die voortvloeien uit of verband houden met het </w:t>
      </w:r>
      <w:r w:rsidR="004E0BBA">
        <w:t>V</w:t>
      </w:r>
      <w:r w:rsidRPr="00F53F8D">
        <w:t xml:space="preserve">erdrag in overleg tussen de bevoegde autoriteiten van de </w:t>
      </w:r>
      <w:r w:rsidR="004E0BBA">
        <w:t>p</w:t>
      </w:r>
      <w:r w:rsidRPr="00F53F8D">
        <w:t>artijen en langs diplomatieke weg worden beslecht.</w:t>
      </w:r>
      <w:r w:rsidR="00F33AB9">
        <w:t xml:space="preserve"> Dit is een gebruikelijke geschillenbeslechtingsbepaling in </w:t>
      </w:r>
      <w:r w:rsidR="00C1463F">
        <w:t>SOFA’s.</w:t>
      </w:r>
    </w:p>
    <w:p w:rsidRPr="00F97FDE" w:rsidR="00E92088" w:rsidP="00F97FDE" w:rsidRDefault="00390D85" w14:paraId="24731ACE" w14:textId="77777777">
      <w:pPr>
        <w:spacing w:before="160" w:line="276" w:lineRule="auto"/>
        <w:jc w:val="both"/>
        <w:rPr>
          <w:i/>
        </w:rPr>
      </w:pPr>
      <w:r w:rsidRPr="00F97FDE">
        <w:rPr>
          <w:i/>
        </w:rPr>
        <w:t>Artikel 22</w:t>
      </w:r>
    </w:p>
    <w:p w:rsidR="00E92088" w:rsidP="00F97FDE" w:rsidRDefault="00E92088" w14:paraId="6ED810F9" w14:textId="42D52636">
      <w:pPr>
        <w:spacing w:before="160" w:line="276" w:lineRule="auto"/>
        <w:jc w:val="both"/>
      </w:pPr>
      <w:r w:rsidRPr="00E92088">
        <w:t>Wat het Koninkrijk betreft</w:t>
      </w:r>
      <w:r w:rsidR="00201DFD">
        <w:t xml:space="preserve">, is het de bedoeling dat </w:t>
      </w:r>
      <w:r w:rsidR="00F512DB">
        <w:t xml:space="preserve">het </w:t>
      </w:r>
      <w:r w:rsidR="004E0BBA">
        <w:t xml:space="preserve">Verdrag voor </w:t>
      </w:r>
      <w:r w:rsidR="0087639B">
        <w:t xml:space="preserve">Aruba, Curaçao, Sint Maarten en  </w:t>
      </w:r>
      <w:r w:rsidR="004E0BBA">
        <w:t>het Caribisch</w:t>
      </w:r>
      <w:r w:rsidR="0019701B">
        <w:t>e</w:t>
      </w:r>
      <w:r w:rsidR="004E0BBA">
        <w:t xml:space="preserve"> deel van </w:t>
      </w:r>
      <w:r w:rsidR="0087639B">
        <w:t xml:space="preserve">Nederland </w:t>
      </w:r>
      <w:r w:rsidR="003948F9">
        <w:t>zal gelden</w:t>
      </w:r>
      <w:r w:rsidR="004E0BBA">
        <w:t>.</w:t>
      </w:r>
      <w:r w:rsidR="00C94845">
        <w:t xml:space="preserve"> </w:t>
      </w:r>
      <w:r w:rsidR="00201DFD">
        <w:t xml:space="preserve">Als gevolg van het </w:t>
      </w:r>
      <w:r w:rsidR="00E049A7">
        <w:t xml:space="preserve">gestelde in het </w:t>
      </w:r>
      <w:r w:rsidR="0094403B">
        <w:t>eerste</w:t>
      </w:r>
      <w:r w:rsidR="00201DFD">
        <w:t xml:space="preserve"> lid</w:t>
      </w:r>
      <w:r w:rsidR="0094403B">
        <w:t xml:space="preserve">, zal </w:t>
      </w:r>
      <w:r w:rsidR="003948F9">
        <w:t xml:space="preserve">in de </w:t>
      </w:r>
      <w:r w:rsidR="0094403B">
        <w:t xml:space="preserve">kennisgeving zoals bedoeld in artikel 23, eerste lid, </w:t>
      </w:r>
      <w:r w:rsidR="00E049A7">
        <w:t xml:space="preserve">te zijner tijd </w:t>
      </w:r>
      <w:r w:rsidR="0094403B">
        <w:t xml:space="preserve">worden </w:t>
      </w:r>
      <w:r w:rsidR="003948F9">
        <w:t>aangegeven</w:t>
      </w:r>
      <w:r w:rsidR="0094403B">
        <w:t xml:space="preserve"> voor welke Caribische delen </w:t>
      </w:r>
      <w:r w:rsidR="00E049A7">
        <w:t xml:space="preserve">het Verdrag </w:t>
      </w:r>
      <w:r w:rsidR="0094403B">
        <w:t>in werking zal treden</w:t>
      </w:r>
      <w:r w:rsidR="00173895">
        <w:t xml:space="preserve"> (z</w:t>
      </w:r>
      <w:r w:rsidR="00F512DB">
        <w:t xml:space="preserve">ie ook de </w:t>
      </w:r>
      <w:r w:rsidR="0094403B">
        <w:t>toelichting onder</w:t>
      </w:r>
      <w:r w:rsidR="0087639B">
        <w:t xml:space="preserve"> paragraaf 4. </w:t>
      </w:r>
      <w:r w:rsidR="0094403B">
        <w:t xml:space="preserve"> </w:t>
      </w:r>
      <w:r w:rsidR="00F512DB">
        <w:t>Koninkrijkspositie</w:t>
      </w:r>
      <w:r w:rsidR="003948F9">
        <w:t xml:space="preserve"> hieronder</w:t>
      </w:r>
      <w:r w:rsidR="00173895">
        <w:t>)</w:t>
      </w:r>
      <w:r w:rsidR="00F512DB">
        <w:t>.</w:t>
      </w:r>
      <w:r w:rsidR="00173895">
        <w:t xml:space="preserve"> </w:t>
      </w:r>
    </w:p>
    <w:p w:rsidRPr="00F97FDE" w:rsidR="00F11095" w:rsidP="00F97FDE" w:rsidRDefault="0011273B" w14:paraId="72100CE0" w14:textId="77777777">
      <w:pPr>
        <w:spacing w:before="160" w:line="276" w:lineRule="auto"/>
        <w:jc w:val="both"/>
        <w:rPr>
          <w:i/>
        </w:rPr>
      </w:pPr>
      <w:r w:rsidRPr="00F97FDE">
        <w:rPr>
          <w:i/>
        </w:rPr>
        <w:t>Artikel 23</w:t>
      </w:r>
    </w:p>
    <w:p w:rsidR="00F11095" w:rsidP="00F97FDE" w:rsidRDefault="00F11095" w14:paraId="6CCAE748" w14:textId="7E2DCF86">
      <w:pPr>
        <w:spacing w:before="160" w:line="276" w:lineRule="auto"/>
        <w:jc w:val="both"/>
      </w:pPr>
      <w:r w:rsidRPr="00F53F8D">
        <w:t>Dit artikel bevat gebruikelijke bepalingen inzake de inwerkingtreding</w:t>
      </w:r>
      <w:r w:rsidR="009D0D1F">
        <w:t xml:space="preserve">, wijziging en beëindiging </w:t>
      </w:r>
      <w:r w:rsidRPr="00F53F8D">
        <w:t xml:space="preserve">van het </w:t>
      </w:r>
      <w:r w:rsidR="004E0BBA">
        <w:t>V</w:t>
      </w:r>
      <w:r w:rsidRPr="00F53F8D">
        <w:t>erdrag.</w:t>
      </w:r>
      <w:r w:rsidR="00CC7463">
        <w:t xml:space="preserve"> </w:t>
      </w:r>
      <w:r w:rsidR="009128CB">
        <w:t xml:space="preserve">Op grond van het gestelde in het tweede lid wordt het </w:t>
      </w:r>
      <w:r w:rsidR="00453246">
        <w:t>V</w:t>
      </w:r>
      <w:r w:rsidR="009128CB">
        <w:t>erdrag gesloten voor een periode van 10 jaar met telkens een stilzwijgende verlenging voor eenzelfde tijdvak.</w:t>
      </w:r>
      <w:r w:rsidR="008527F7">
        <w:t xml:space="preserve"> Op grond van het gestelde in het vijfde lid worden </w:t>
      </w:r>
      <w:r w:rsidR="00EF70FA">
        <w:t>p</w:t>
      </w:r>
      <w:r w:rsidR="008527F7">
        <w:t xml:space="preserve">artijen bij beëindiging </w:t>
      </w:r>
      <w:r w:rsidR="000D4C97">
        <w:t xml:space="preserve">van het </w:t>
      </w:r>
      <w:r w:rsidR="00453246">
        <w:t>V</w:t>
      </w:r>
      <w:r w:rsidR="000D4C97">
        <w:t xml:space="preserve">erdrag </w:t>
      </w:r>
      <w:r w:rsidR="008527F7">
        <w:t>niet ontslagen van de uitvoering van verplichtingen</w:t>
      </w:r>
      <w:r w:rsidR="00DF2994">
        <w:t>,</w:t>
      </w:r>
      <w:r w:rsidR="008527F7">
        <w:t xml:space="preserve">  die tijdens de toepassing </w:t>
      </w:r>
      <w:r w:rsidR="009E65D5">
        <w:t xml:space="preserve">van het </w:t>
      </w:r>
      <w:r w:rsidR="00453246">
        <w:t>V</w:t>
      </w:r>
      <w:r w:rsidR="009E65D5">
        <w:t xml:space="preserve">erdrag </w:t>
      </w:r>
      <w:r w:rsidR="008527F7">
        <w:t>zijn aangegaan. Met name kan in dit kader worden gedacht aan financiële verplichtingen.</w:t>
      </w:r>
      <w:r w:rsidR="009128CB">
        <w:t xml:space="preserve"> </w:t>
      </w:r>
    </w:p>
    <w:p w:rsidRPr="001C546E" w:rsidR="00FC25F0" w:rsidP="00FC25F0" w:rsidRDefault="00FC25F0" w14:paraId="3F17A360" w14:textId="77777777">
      <w:pPr>
        <w:spacing w:before="160" w:line="276" w:lineRule="auto"/>
        <w:jc w:val="both"/>
        <w:rPr>
          <w:b/>
          <w:sz w:val="24"/>
          <w:szCs w:val="24"/>
        </w:rPr>
      </w:pPr>
      <w:r>
        <w:rPr>
          <w:b/>
          <w:sz w:val="24"/>
          <w:szCs w:val="24"/>
        </w:rPr>
        <w:t>3</w:t>
      </w:r>
      <w:r w:rsidRPr="001C546E">
        <w:rPr>
          <w:b/>
          <w:sz w:val="24"/>
          <w:szCs w:val="24"/>
        </w:rPr>
        <w:t>. Een ieder verbindende bepalingen</w:t>
      </w:r>
    </w:p>
    <w:p w:rsidR="00896B6B" w:rsidP="00FC25F0" w:rsidRDefault="00FC25F0" w14:paraId="08E37B36" w14:textId="77777777">
      <w:pPr>
        <w:spacing w:before="160" w:line="276" w:lineRule="auto"/>
        <w:jc w:val="both"/>
      </w:pPr>
      <w:r w:rsidRPr="00F53F8D">
        <w:t xml:space="preserve">Naar het oordeel van de </w:t>
      </w:r>
      <w:r>
        <w:t>r</w:t>
      </w:r>
      <w:r w:rsidRPr="00F53F8D">
        <w:t xml:space="preserve">egering bevat het Verdrag </w:t>
      </w:r>
      <w:r w:rsidR="00896B6B">
        <w:t xml:space="preserve">enkele een ieder verbindende bepalingen </w:t>
      </w:r>
      <w:r w:rsidRPr="00F53F8D" w:rsidR="00896B6B">
        <w:t>in de zin van de artikelen 93 en 94 van de Grondwet, die aan rechtssubjecte</w:t>
      </w:r>
      <w:r w:rsidR="00896B6B">
        <w:t>n rechtstreeks rechten toekennen</w:t>
      </w:r>
      <w:r w:rsidRPr="00F53F8D" w:rsidR="00896B6B">
        <w:t xml:space="preserve"> of plichte</w:t>
      </w:r>
      <w:r w:rsidR="00896B6B">
        <w:t xml:space="preserve">n opleggen. </w:t>
      </w:r>
      <w:r w:rsidR="008313C0">
        <w:t>In enkele bepalingen zijn afspraken opgenomen waaraan door de Nederlandse rechter rechtstreekse werking zou kunnen worden</w:t>
      </w:r>
      <w:r w:rsidR="00902814">
        <w:t xml:space="preserve"> toegekend</w:t>
      </w:r>
      <w:r w:rsidR="008313C0">
        <w:t>.</w:t>
      </w:r>
    </w:p>
    <w:p w:rsidR="00896B6B" w:rsidP="00FC25F0" w:rsidRDefault="00896B6B" w14:paraId="19FA7839" w14:textId="24BFE549">
      <w:pPr>
        <w:spacing w:before="160" w:line="276" w:lineRule="auto"/>
        <w:jc w:val="both"/>
      </w:pPr>
      <w:r>
        <w:t xml:space="preserve">Het betreft allereerst </w:t>
      </w:r>
      <w:r w:rsidRPr="00F53F8D" w:rsidR="00FC25F0">
        <w:t>artikel 18</w:t>
      </w:r>
      <w:r w:rsidR="00C56306">
        <w:t>, tweede lid</w:t>
      </w:r>
      <w:r w:rsidRPr="00F53F8D" w:rsidR="00FC25F0">
        <w:t xml:space="preserve"> (schade aan derden)</w:t>
      </w:r>
      <w:r w:rsidR="00156841">
        <w:t>,</w:t>
      </w:r>
      <w:r>
        <w:t xml:space="preserve"> waarin is bepaald dat s</w:t>
      </w:r>
      <w:r w:rsidR="00B55A1D">
        <w:t xml:space="preserve">chade die door het personeel van de </w:t>
      </w:r>
      <w:r w:rsidR="004F7BDA">
        <w:t>zendende partij</w:t>
      </w:r>
      <w:r w:rsidR="00B55A1D">
        <w:t xml:space="preserve"> aan derden wordt berokkend, door de ontvangende partij namens de zendende partij </w:t>
      </w:r>
      <w:r>
        <w:t xml:space="preserve">zal </w:t>
      </w:r>
      <w:r w:rsidR="00B55A1D">
        <w:t>worden afgewikkeld in overeenstemming met de wet- en regelgeving van de ontvange</w:t>
      </w:r>
      <w:r w:rsidR="006C008C">
        <w:t>n</w:t>
      </w:r>
      <w:r w:rsidR="00B55A1D">
        <w:t>de partij.</w:t>
      </w:r>
      <w:r w:rsidR="00A20691">
        <w:t xml:space="preserve"> </w:t>
      </w:r>
      <w:r w:rsidR="008313C0">
        <w:t xml:space="preserve">Ingeval Frans personeel aan Nederlandse derden </w:t>
      </w:r>
      <w:r w:rsidR="00902814">
        <w:t xml:space="preserve">dus </w:t>
      </w:r>
      <w:r w:rsidR="008313C0">
        <w:t>schade berokkent, zal het Koninkrijk de schade namens Frankrijk afwikkelen.</w:t>
      </w:r>
    </w:p>
    <w:p w:rsidR="00A20691" w:rsidP="00FC25F0" w:rsidRDefault="00A20691" w14:paraId="72A9CA73" w14:textId="24E0BCDA">
      <w:pPr>
        <w:spacing w:before="160" w:line="276" w:lineRule="auto"/>
        <w:jc w:val="both"/>
      </w:pPr>
      <w:r>
        <w:t>Als laatste betreft het artikel 17</w:t>
      </w:r>
      <w:r w:rsidR="00C56306">
        <w:t>, negende</w:t>
      </w:r>
      <w:r w:rsidR="00093A95">
        <w:t xml:space="preserve"> lid</w:t>
      </w:r>
      <w:r w:rsidR="00C56306">
        <w:t xml:space="preserve"> </w:t>
      </w:r>
      <w:r w:rsidR="00093A95">
        <w:t xml:space="preserve">en elfde tot en met dertiende </w:t>
      </w:r>
      <w:r w:rsidR="00C56306">
        <w:t>lid</w:t>
      </w:r>
      <w:r>
        <w:t xml:space="preserve"> </w:t>
      </w:r>
      <w:r w:rsidR="00902814">
        <w:t>(rechtsmacht)</w:t>
      </w:r>
      <w:r>
        <w:t>.</w:t>
      </w:r>
      <w:r w:rsidR="00902814">
        <w:t xml:space="preserve"> Wanneer </w:t>
      </w:r>
      <w:r w:rsidR="00382367">
        <w:t xml:space="preserve">de ontvangende partij </w:t>
      </w:r>
      <w:r w:rsidR="00902814">
        <w:t xml:space="preserve">een lid van het personeel van de zendende partij </w:t>
      </w:r>
      <w:r w:rsidR="00382367">
        <w:t>verdenkt</w:t>
      </w:r>
      <w:r w:rsidR="00902814">
        <w:t xml:space="preserve"> van het plegen van een strafbaar feit, komt</w:t>
      </w:r>
      <w:r w:rsidR="00D77D12">
        <w:t xml:space="preserve"> </w:t>
      </w:r>
      <w:r w:rsidR="00382367">
        <w:t>dat lid</w:t>
      </w:r>
      <w:r w:rsidR="00D77D12">
        <w:t xml:space="preserve"> </w:t>
      </w:r>
      <w:r w:rsidR="00902814">
        <w:t>de rec</w:t>
      </w:r>
      <w:r w:rsidR="00266748">
        <w:t>hten toe zoals gesteld in lid 9</w:t>
      </w:r>
      <w:r w:rsidR="00D77D12">
        <w:t xml:space="preserve">. Op basis van lid 11 mag dat lid van het personeel niet tweemaal voor hetzelfde feit worden berecht. Op basis van lid 12 zal het lid van het personeel pas worden overgedragen aan de ontvangende partij wanneer gewaarborgd is dat straffen die in strijd zijn met verplichtingen voortvloeiende uit internationale verdragen waarbij </w:t>
      </w:r>
      <w:r w:rsidR="00DD4516">
        <w:t>het Koninkrijk of Frankrijk</w:t>
      </w:r>
      <w:r w:rsidR="00D77D12">
        <w:t xml:space="preserve"> partij is niet zullen worden gevorderd of uitgevoerd. Evenzo geldt op basis van lid 13 dat </w:t>
      </w:r>
      <w:r w:rsidR="00382367">
        <w:t xml:space="preserve">de ontvangende partij </w:t>
      </w:r>
      <w:r w:rsidR="00D77D12">
        <w:t xml:space="preserve">dergelijke straffen niet </w:t>
      </w:r>
      <w:r w:rsidR="00382367">
        <w:t>vordert</w:t>
      </w:r>
      <w:r w:rsidR="00D77D12">
        <w:t xml:space="preserve"> of </w:t>
      </w:r>
      <w:r w:rsidR="00382367">
        <w:t>uitvoert tegen het lid van het personeel van de zendende partij.</w:t>
      </w:r>
    </w:p>
    <w:p w:rsidR="009C6CF7" w:rsidP="00F97FDE" w:rsidRDefault="009C6CF7" w14:paraId="54C2EAF8" w14:textId="77777777">
      <w:pPr>
        <w:spacing w:before="160" w:line="276" w:lineRule="auto"/>
        <w:jc w:val="both"/>
        <w:rPr>
          <w:b/>
          <w:sz w:val="24"/>
          <w:szCs w:val="24"/>
        </w:rPr>
      </w:pPr>
    </w:p>
    <w:p w:rsidRPr="00F97FDE" w:rsidR="006D126C" w:rsidP="00F97FDE" w:rsidRDefault="00DA4C7F" w14:paraId="063C9C25" w14:textId="2310C0D8">
      <w:pPr>
        <w:spacing w:before="160" w:line="276" w:lineRule="auto"/>
        <w:jc w:val="both"/>
        <w:rPr>
          <w:b/>
          <w:sz w:val="24"/>
          <w:szCs w:val="24"/>
        </w:rPr>
      </w:pPr>
      <w:r w:rsidRPr="00F97FDE">
        <w:rPr>
          <w:b/>
          <w:sz w:val="24"/>
          <w:szCs w:val="24"/>
        </w:rPr>
        <w:t>4. Koninkrijkspositie</w:t>
      </w:r>
    </w:p>
    <w:p w:rsidR="00DA4C7F" w:rsidP="00F97FDE" w:rsidRDefault="0087639B" w14:paraId="48347064" w14:textId="2D65DC56">
      <w:pPr>
        <w:spacing w:before="160" w:line="276" w:lineRule="auto"/>
        <w:jc w:val="both"/>
      </w:pPr>
      <w:r>
        <w:t xml:space="preserve">Ingevolge </w:t>
      </w:r>
      <w:r w:rsidRPr="0003009F" w:rsidR="004A5C05">
        <w:t>artikel 22,</w:t>
      </w:r>
      <w:r>
        <w:t xml:space="preserve"> eerste lid, </w:t>
      </w:r>
      <w:r w:rsidRPr="0003009F" w:rsidR="004A5C05">
        <w:t xml:space="preserve"> is het de bedoeling dat het Verdrag voor </w:t>
      </w:r>
      <w:r w:rsidR="009C6CF7">
        <w:t xml:space="preserve">Aruba, </w:t>
      </w:r>
      <w:r w:rsidR="00913A31">
        <w:t>Curaçao</w:t>
      </w:r>
      <w:r w:rsidR="009C6CF7">
        <w:t xml:space="preserve">, Sint Maarten en </w:t>
      </w:r>
      <w:r w:rsidRPr="0003009F" w:rsidR="004A5C05">
        <w:t xml:space="preserve">het Caribische deel van </w:t>
      </w:r>
      <w:r w:rsidR="009C6CF7">
        <w:t xml:space="preserve">Nederland </w:t>
      </w:r>
      <w:r w:rsidRPr="0003009F" w:rsidR="004A5C05">
        <w:t>zal gelden.</w:t>
      </w:r>
      <w:r w:rsidR="004A5C05">
        <w:t xml:space="preserve"> De regeringen van Aruba</w:t>
      </w:r>
      <w:r w:rsidR="00B47CB6">
        <w:t>, Curaçao</w:t>
      </w:r>
      <w:r w:rsidR="004A5C05">
        <w:t xml:space="preserve"> en Sint Maarten hebben laten weten medegelding te wensen</w:t>
      </w:r>
      <w:r w:rsidR="009C6CF7">
        <w:t xml:space="preserve"> voor hun land</w:t>
      </w:r>
      <w:r w:rsidR="004A5C05">
        <w:t>.</w:t>
      </w:r>
      <w:r w:rsidR="009C6CF7">
        <w:t xml:space="preserve"> </w:t>
      </w:r>
      <w:r w:rsidR="00026406">
        <w:t xml:space="preserve">Het Verdrag zal </w:t>
      </w:r>
      <w:r w:rsidR="00201DFD">
        <w:t xml:space="preserve">dus </w:t>
      </w:r>
      <w:r w:rsidR="00026406">
        <w:t xml:space="preserve">voor het </w:t>
      </w:r>
      <w:r w:rsidR="00B47CB6">
        <w:t xml:space="preserve">gehele </w:t>
      </w:r>
      <w:r w:rsidR="00026406">
        <w:t xml:space="preserve">Caribische deel van </w:t>
      </w:r>
      <w:r w:rsidR="00B47CB6">
        <w:t>het Koninkrijk</w:t>
      </w:r>
      <w:r w:rsidR="009F3DCD">
        <w:t xml:space="preserve"> gelden</w:t>
      </w:r>
      <w:r w:rsidR="00026406">
        <w:t xml:space="preserve">. </w:t>
      </w:r>
    </w:p>
    <w:p w:rsidRPr="00B92F0E" w:rsidR="00B92F0E" w:rsidP="00B92F0E" w:rsidRDefault="00B92F0E" w14:paraId="45962ED8" w14:textId="77777777">
      <w:pPr>
        <w:jc w:val="both"/>
      </w:pPr>
    </w:p>
    <w:p w:rsidRPr="00B92F0E" w:rsidR="00B92F0E" w:rsidP="00B92F0E" w:rsidRDefault="00B92F0E" w14:paraId="2D8FE6E4" w14:textId="77777777">
      <w:pPr>
        <w:jc w:val="both"/>
      </w:pPr>
    </w:p>
    <w:p w:rsidRPr="00B92F0E" w:rsidR="00B92F0E" w:rsidP="00B92F0E" w:rsidRDefault="00B92F0E" w14:paraId="04998B2E" w14:textId="77777777">
      <w:pPr>
        <w:jc w:val="both"/>
      </w:pPr>
      <w:r w:rsidRPr="00B92F0E">
        <w:t>De Minister van Defensie,</w:t>
      </w:r>
    </w:p>
    <w:p w:rsidRPr="00B92F0E" w:rsidR="00B92F0E" w:rsidP="00B92F0E" w:rsidRDefault="00B92F0E" w14:paraId="117D08BB" w14:textId="77777777">
      <w:pPr>
        <w:jc w:val="both"/>
      </w:pPr>
    </w:p>
    <w:p w:rsidRPr="00B92F0E" w:rsidR="00B92F0E" w:rsidP="00B92F0E" w:rsidRDefault="00B92F0E" w14:paraId="04C49713" w14:textId="77777777">
      <w:pPr>
        <w:jc w:val="both"/>
      </w:pPr>
    </w:p>
    <w:p w:rsidR="003F4673" w:rsidP="00B92F0E" w:rsidRDefault="003F4673" w14:paraId="5D34948A" w14:textId="77777777">
      <w:pPr>
        <w:jc w:val="both"/>
      </w:pPr>
    </w:p>
    <w:p w:rsidRPr="00B92F0E" w:rsidR="00B92F0E" w:rsidP="00B92F0E" w:rsidRDefault="00B92F0E" w14:paraId="04E45CAB" w14:textId="24795167">
      <w:pPr>
        <w:jc w:val="both"/>
      </w:pPr>
      <w:r w:rsidRPr="00B92F0E">
        <w:t xml:space="preserve">De Minister van Buitenlandse Zaken, </w:t>
      </w:r>
    </w:p>
    <w:p w:rsidRPr="00B92F0E" w:rsidR="00B92F0E" w:rsidP="00B92F0E" w:rsidRDefault="00B92F0E" w14:paraId="47C3B867" w14:textId="77777777">
      <w:pPr>
        <w:jc w:val="both"/>
      </w:pPr>
    </w:p>
    <w:p w:rsidRPr="00AE66AB" w:rsidR="00B92F0E" w:rsidP="00F97FDE" w:rsidRDefault="00B92F0E" w14:paraId="34C492EE" w14:textId="239749A3">
      <w:pPr>
        <w:spacing w:before="160" w:line="276" w:lineRule="auto"/>
        <w:jc w:val="both"/>
      </w:pPr>
    </w:p>
    <w:sectPr w:rsidRPr="00AE66AB" w:rsidR="00B92F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CE33" w14:textId="77777777" w:rsidR="00CF6946" w:rsidRDefault="00CF6946" w:rsidP="00F41B08">
      <w:pPr>
        <w:spacing w:after="0" w:line="240" w:lineRule="auto"/>
      </w:pPr>
      <w:r>
        <w:separator/>
      </w:r>
    </w:p>
  </w:endnote>
  <w:endnote w:type="continuationSeparator" w:id="0">
    <w:p w14:paraId="3E77B132" w14:textId="77777777" w:rsidR="00CF6946" w:rsidRDefault="00CF6946" w:rsidP="00F41B08">
      <w:pPr>
        <w:spacing w:after="0" w:line="240" w:lineRule="auto"/>
      </w:pPr>
      <w:r>
        <w:continuationSeparator/>
      </w:r>
    </w:p>
  </w:endnote>
  <w:endnote w:type="continuationNotice" w:id="1">
    <w:p w14:paraId="6F58C6D6" w14:textId="77777777" w:rsidR="00CF6946" w:rsidRDefault="00CF6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74C9" w14:textId="77777777" w:rsidR="00385700" w:rsidRDefault="003857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685475"/>
      <w:docPartObj>
        <w:docPartGallery w:val="Page Numbers (Bottom of Page)"/>
        <w:docPartUnique/>
      </w:docPartObj>
    </w:sdtPr>
    <w:sdtEndPr>
      <w:rPr>
        <w:sz w:val="20"/>
        <w:szCs w:val="20"/>
      </w:rPr>
    </w:sdtEndPr>
    <w:sdtContent>
      <w:p w14:paraId="58EB404E" w14:textId="00A50FE5" w:rsidR="00144F85" w:rsidRPr="00F97FDE" w:rsidRDefault="00144F85" w:rsidP="00F97FDE">
        <w:pPr>
          <w:pStyle w:val="Voettekst"/>
          <w:jc w:val="right"/>
          <w:rPr>
            <w:sz w:val="20"/>
            <w:szCs w:val="20"/>
          </w:rPr>
        </w:pPr>
        <w:r w:rsidRPr="00F97FDE">
          <w:rPr>
            <w:sz w:val="20"/>
            <w:szCs w:val="20"/>
          </w:rPr>
          <w:fldChar w:fldCharType="begin"/>
        </w:r>
        <w:r w:rsidRPr="00F97FDE">
          <w:rPr>
            <w:sz w:val="20"/>
            <w:szCs w:val="20"/>
          </w:rPr>
          <w:instrText>PAGE   \* MERGEFORMAT</w:instrText>
        </w:r>
        <w:r w:rsidRPr="00F97FDE">
          <w:rPr>
            <w:sz w:val="20"/>
            <w:szCs w:val="20"/>
          </w:rPr>
          <w:fldChar w:fldCharType="separate"/>
        </w:r>
        <w:r w:rsidR="00385700">
          <w:rPr>
            <w:noProof/>
            <w:sz w:val="20"/>
            <w:szCs w:val="20"/>
          </w:rPr>
          <w:t>1</w:t>
        </w:r>
        <w:r w:rsidRPr="00F97FDE">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F5B0" w14:textId="77777777" w:rsidR="00385700" w:rsidRDefault="003857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80E76" w14:textId="77777777" w:rsidR="00CF6946" w:rsidRDefault="00CF6946" w:rsidP="00F41B08">
      <w:pPr>
        <w:spacing w:after="0" w:line="240" w:lineRule="auto"/>
      </w:pPr>
      <w:r>
        <w:separator/>
      </w:r>
    </w:p>
  </w:footnote>
  <w:footnote w:type="continuationSeparator" w:id="0">
    <w:p w14:paraId="6338F93D" w14:textId="77777777" w:rsidR="00CF6946" w:rsidRDefault="00CF6946" w:rsidP="00F41B08">
      <w:pPr>
        <w:spacing w:after="0" w:line="240" w:lineRule="auto"/>
      </w:pPr>
      <w:r>
        <w:continuationSeparator/>
      </w:r>
    </w:p>
  </w:footnote>
  <w:footnote w:type="continuationNotice" w:id="1">
    <w:p w14:paraId="747F7678" w14:textId="77777777" w:rsidR="00CF6946" w:rsidRDefault="00CF6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2ADB" w14:textId="77777777" w:rsidR="00385700" w:rsidRDefault="003857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9B69" w14:textId="77777777" w:rsidR="00385700" w:rsidRDefault="003857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30BD" w14:textId="77777777" w:rsidR="00385700" w:rsidRDefault="003857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730"/>
    <w:multiLevelType w:val="hybridMultilevel"/>
    <w:tmpl w:val="8384F4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1176A0"/>
    <w:multiLevelType w:val="hybridMultilevel"/>
    <w:tmpl w:val="4074F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2F09B6"/>
    <w:multiLevelType w:val="hybridMultilevel"/>
    <w:tmpl w:val="3F90C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0038BC"/>
    <w:multiLevelType w:val="hybridMultilevel"/>
    <w:tmpl w:val="CC4AD2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6E596A"/>
    <w:multiLevelType w:val="hybridMultilevel"/>
    <w:tmpl w:val="5F72F91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F83381"/>
    <w:multiLevelType w:val="hybridMultilevel"/>
    <w:tmpl w:val="8680714C"/>
    <w:lvl w:ilvl="0" w:tplc="4330E77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14A7F"/>
    <w:multiLevelType w:val="hybridMultilevel"/>
    <w:tmpl w:val="8D627968"/>
    <w:lvl w:ilvl="0" w:tplc="BE64B7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E5"/>
    <w:rsid w:val="00000CCE"/>
    <w:rsid w:val="0000257C"/>
    <w:rsid w:val="00002E30"/>
    <w:rsid w:val="0000491F"/>
    <w:rsid w:val="000107CA"/>
    <w:rsid w:val="0001096B"/>
    <w:rsid w:val="000109B5"/>
    <w:rsid w:val="0001582D"/>
    <w:rsid w:val="00017866"/>
    <w:rsid w:val="00017E1D"/>
    <w:rsid w:val="00021866"/>
    <w:rsid w:val="000240CA"/>
    <w:rsid w:val="00024176"/>
    <w:rsid w:val="00024FB3"/>
    <w:rsid w:val="00025F30"/>
    <w:rsid w:val="00026153"/>
    <w:rsid w:val="00026406"/>
    <w:rsid w:val="0003009F"/>
    <w:rsid w:val="00031555"/>
    <w:rsid w:val="00033130"/>
    <w:rsid w:val="000341D9"/>
    <w:rsid w:val="000353FB"/>
    <w:rsid w:val="00035449"/>
    <w:rsid w:val="00035591"/>
    <w:rsid w:val="00037075"/>
    <w:rsid w:val="00037F10"/>
    <w:rsid w:val="000401AE"/>
    <w:rsid w:val="00040C77"/>
    <w:rsid w:val="0004100C"/>
    <w:rsid w:val="00042193"/>
    <w:rsid w:val="000422E5"/>
    <w:rsid w:val="00044277"/>
    <w:rsid w:val="00044619"/>
    <w:rsid w:val="00044C8F"/>
    <w:rsid w:val="000451D9"/>
    <w:rsid w:val="00045A4B"/>
    <w:rsid w:val="0004627D"/>
    <w:rsid w:val="000568AF"/>
    <w:rsid w:val="000602DB"/>
    <w:rsid w:val="00060408"/>
    <w:rsid w:val="00066C8E"/>
    <w:rsid w:val="000718F7"/>
    <w:rsid w:val="00071910"/>
    <w:rsid w:val="000727DF"/>
    <w:rsid w:val="000729DF"/>
    <w:rsid w:val="000826D2"/>
    <w:rsid w:val="00082A65"/>
    <w:rsid w:val="00082A78"/>
    <w:rsid w:val="000834CA"/>
    <w:rsid w:val="000859CD"/>
    <w:rsid w:val="00092885"/>
    <w:rsid w:val="00092FA9"/>
    <w:rsid w:val="00093A95"/>
    <w:rsid w:val="000A091F"/>
    <w:rsid w:val="000A1093"/>
    <w:rsid w:val="000A2F57"/>
    <w:rsid w:val="000A3EA9"/>
    <w:rsid w:val="000A3EAB"/>
    <w:rsid w:val="000A533F"/>
    <w:rsid w:val="000B04DF"/>
    <w:rsid w:val="000B0BCC"/>
    <w:rsid w:val="000B1B59"/>
    <w:rsid w:val="000B3C16"/>
    <w:rsid w:val="000B4269"/>
    <w:rsid w:val="000B55D8"/>
    <w:rsid w:val="000B56E1"/>
    <w:rsid w:val="000B5BE7"/>
    <w:rsid w:val="000C02A0"/>
    <w:rsid w:val="000C37A2"/>
    <w:rsid w:val="000C3B51"/>
    <w:rsid w:val="000C4C6D"/>
    <w:rsid w:val="000C5364"/>
    <w:rsid w:val="000C5B3B"/>
    <w:rsid w:val="000C71B1"/>
    <w:rsid w:val="000D260F"/>
    <w:rsid w:val="000D45CD"/>
    <w:rsid w:val="000D4C97"/>
    <w:rsid w:val="000D6E14"/>
    <w:rsid w:val="000E3287"/>
    <w:rsid w:val="000E54C7"/>
    <w:rsid w:val="000E79D3"/>
    <w:rsid w:val="000F23AD"/>
    <w:rsid w:val="000F543F"/>
    <w:rsid w:val="000F61CB"/>
    <w:rsid w:val="000F6C95"/>
    <w:rsid w:val="000F7A91"/>
    <w:rsid w:val="00103445"/>
    <w:rsid w:val="00110802"/>
    <w:rsid w:val="0011171B"/>
    <w:rsid w:val="0011273B"/>
    <w:rsid w:val="00112808"/>
    <w:rsid w:val="00112F28"/>
    <w:rsid w:val="00112F85"/>
    <w:rsid w:val="00113E15"/>
    <w:rsid w:val="001161A5"/>
    <w:rsid w:val="001163E4"/>
    <w:rsid w:val="00126D9D"/>
    <w:rsid w:val="001305A8"/>
    <w:rsid w:val="0013073B"/>
    <w:rsid w:val="00130C42"/>
    <w:rsid w:val="001310EF"/>
    <w:rsid w:val="0013237D"/>
    <w:rsid w:val="001324CB"/>
    <w:rsid w:val="00132FF3"/>
    <w:rsid w:val="001340F4"/>
    <w:rsid w:val="00134717"/>
    <w:rsid w:val="00135418"/>
    <w:rsid w:val="00137007"/>
    <w:rsid w:val="0013753B"/>
    <w:rsid w:val="00141268"/>
    <w:rsid w:val="00142A15"/>
    <w:rsid w:val="001431A3"/>
    <w:rsid w:val="00144F85"/>
    <w:rsid w:val="0014538A"/>
    <w:rsid w:val="00145CCD"/>
    <w:rsid w:val="001464ED"/>
    <w:rsid w:val="00147353"/>
    <w:rsid w:val="00147903"/>
    <w:rsid w:val="0015122F"/>
    <w:rsid w:val="00151BB3"/>
    <w:rsid w:val="00151E1D"/>
    <w:rsid w:val="00152CC6"/>
    <w:rsid w:val="001546AD"/>
    <w:rsid w:val="00156841"/>
    <w:rsid w:val="00157744"/>
    <w:rsid w:val="00163C97"/>
    <w:rsid w:val="00166025"/>
    <w:rsid w:val="001670A5"/>
    <w:rsid w:val="00170752"/>
    <w:rsid w:val="00173895"/>
    <w:rsid w:val="0017467C"/>
    <w:rsid w:val="00175207"/>
    <w:rsid w:val="001801FE"/>
    <w:rsid w:val="00180A2B"/>
    <w:rsid w:val="00180D37"/>
    <w:rsid w:val="00181719"/>
    <w:rsid w:val="00183C77"/>
    <w:rsid w:val="001862BB"/>
    <w:rsid w:val="00187547"/>
    <w:rsid w:val="0019144B"/>
    <w:rsid w:val="00191788"/>
    <w:rsid w:val="00196027"/>
    <w:rsid w:val="00196CCD"/>
    <w:rsid w:val="0019701B"/>
    <w:rsid w:val="00197E3C"/>
    <w:rsid w:val="001A03CB"/>
    <w:rsid w:val="001A23AB"/>
    <w:rsid w:val="001A26C3"/>
    <w:rsid w:val="001A4E61"/>
    <w:rsid w:val="001A5AD3"/>
    <w:rsid w:val="001A7311"/>
    <w:rsid w:val="001A742B"/>
    <w:rsid w:val="001A753D"/>
    <w:rsid w:val="001B029F"/>
    <w:rsid w:val="001B14FC"/>
    <w:rsid w:val="001B164A"/>
    <w:rsid w:val="001B1D5F"/>
    <w:rsid w:val="001B2C57"/>
    <w:rsid w:val="001B413A"/>
    <w:rsid w:val="001B4188"/>
    <w:rsid w:val="001B5BB5"/>
    <w:rsid w:val="001C40D8"/>
    <w:rsid w:val="001C4C00"/>
    <w:rsid w:val="001C5E42"/>
    <w:rsid w:val="001D04A7"/>
    <w:rsid w:val="001D1D13"/>
    <w:rsid w:val="001D2FC2"/>
    <w:rsid w:val="001D59FD"/>
    <w:rsid w:val="001E1494"/>
    <w:rsid w:val="001E3FA1"/>
    <w:rsid w:val="001E5484"/>
    <w:rsid w:val="001E6644"/>
    <w:rsid w:val="001E7C9C"/>
    <w:rsid w:val="001F0502"/>
    <w:rsid w:val="001F075A"/>
    <w:rsid w:val="001F1E32"/>
    <w:rsid w:val="001F4968"/>
    <w:rsid w:val="002014F0"/>
    <w:rsid w:val="00201C06"/>
    <w:rsid w:val="00201DFD"/>
    <w:rsid w:val="00202025"/>
    <w:rsid w:val="00203A3E"/>
    <w:rsid w:val="00204311"/>
    <w:rsid w:val="00204F09"/>
    <w:rsid w:val="00205001"/>
    <w:rsid w:val="00211171"/>
    <w:rsid w:val="00211BFE"/>
    <w:rsid w:val="00212328"/>
    <w:rsid w:val="00213ADB"/>
    <w:rsid w:val="00213E40"/>
    <w:rsid w:val="00213F30"/>
    <w:rsid w:val="00217D31"/>
    <w:rsid w:val="00217DD7"/>
    <w:rsid w:val="00220566"/>
    <w:rsid w:val="00222C46"/>
    <w:rsid w:val="00223412"/>
    <w:rsid w:val="00223B14"/>
    <w:rsid w:val="002240AA"/>
    <w:rsid w:val="00226320"/>
    <w:rsid w:val="002352E3"/>
    <w:rsid w:val="00236210"/>
    <w:rsid w:val="002377A8"/>
    <w:rsid w:val="00244EC6"/>
    <w:rsid w:val="002451C4"/>
    <w:rsid w:val="00245468"/>
    <w:rsid w:val="002460E8"/>
    <w:rsid w:val="00246373"/>
    <w:rsid w:val="00250B58"/>
    <w:rsid w:val="002518DE"/>
    <w:rsid w:val="0025194D"/>
    <w:rsid w:val="002605EE"/>
    <w:rsid w:val="002611BB"/>
    <w:rsid w:val="00264501"/>
    <w:rsid w:val="00265F55"/>
    <w:rsid w:val="00266748"/>
    <w:rsid w:val="00267666"/>
    <w:rsid w:val="0026767C"/>
    <w:rsid w:val="00271209"/>
    <w:rsid w:val="00276CD6"/>
    <w:rsid w:val="00277C48"/>
    <w:rsid w:val="00281C45"/>
    <w:rsid w:val="00284D94"/>
    <w:rsid w:val="00285A5C"/>
    <w:rsid w:val="00285F93"/>
    <w:rsid w:val="00291347"/>
    <w:rsid w:val="00291CCD"/>
    <w:rsid w:val="00295189"/>
    <w:rsid w:val="00295D6F"/>
    <w:rsid w:val="002966C3"/>
    <w:rsid w:val="002A142E"/>
    <w:rsid w:val="002A1D0D"/>
    <w:rsid w:val="002A27FE"/>
    <w:rsid w:val="002A4D55"/>
    <w:rsid w:val="002A62D0"/>
    <w:rsid w:val="002A6486"/>
    <w:rsid w:val="002A7712"/>
    <w:rsid w:val="002B03FF"/>
    <w:rsid w:val="002B0760"/>
    <w:rsid w:val="002B0FB5"/>
    <w:rsid w:val="002B2909"/>
    <w:rsid w:val="002B3081"/>
    <w:rsid w:val="002B33DF"/>
    <w:rsid w:val="002B57BD"/>
    <w:rsid w:val="002B76E2"/>
    <w:rsid w:val="002B7BE3"/>
    <w:rsid w:val="002C338C"/>
    <w:rsid w:val="002C3F36"/>
    <w:rsid w:val="002C4F9F"/>
    <w:rsid w:val="002C57B3"/>
    <w:rsid w:val="002C59FF"/>
    <w:rsid w:val="002C711B"/>
    <w:rsid w:val="002C7781"/>
    <w:rsid w:val="002D04B9"/>
    <w:rsid w:val="002D17D6"/>
    <w:rsid w:val="002D1A6F"/>
    <w:rsid w:val="002D2917"/>
    <w:rsid w:val="002D3A37"/>
    <w:rsid w:val="002D43C0"/>
    <w:rsid w:val="002D4B90"/>
    <w:rsid w:val="002E00D5"/>
    <w:rsid w:val="002E06E9"/>
    <w:rsid w:val="002E2547"/>
    <w:rsid w:val="002E25BE"/>
    <w:rsid w:val="002E28E9"/>
    <w:rsid w:val="002E3920"/>
    <w:rsid w:val="002E5CBA"/>
    <w:rsid w:val="002E7DF2"/>
    <w:rsid w:val="002F47BB"/>
    <w:rsid w:val="002F69BE"/>
    <w:rsid w:val="002F76B8"/>
    <w:rsid w:val="00300C41"/>
    <w:rsid w:val="00302345"/>
    <w:rsid w:val="00306BDB"/>
    <w:rsid w:val="003075B5"/>
    <w:rsid w:val="00310DE4"/>
    <w:rsid w:val="00310E12"/>
    <w:rsid w:val="00313DA3"/>
    <w:rsid w:val="003142C4"/>
    <w:rsid w:val="00317B03"/>
    <w:rsid w:val="00317D76"/>
    <w:rsid w:val="00320800"/>
    <w:rsid w:val="0032320A"/>
    <w:rsid w:val="00327F1C"/>
    <w:rsid w:val="00330073"/>
    <w:rsid w:val="00331F6E"/>
    <w:rsid w:val="003320A0"/>
    <w:rsid w:val="0033385D"/>
    <w:rsid w:val="00333F4A"/>
    <w:rsid w:val="00334078"/>
    <w:rsid w:val="00334C8C"/>
    <w:rsid w:val="00334F7E"/>
    <w:rsid w:val="003354A1"/>
    <w:rsid w:val="0033558B"/>
    <w:rsid w:val="00336F8B"/>
    <w:rsid w:val="003379F0"/>
    <w:rsid w:val="00337EC3"/>
    <w:rsid w:val="00340454"/>
    <w:rsid w:val="00342A60"/>
    <w:rsid w:val="00342EA6"/>
    <w:rsid w:val="003461CD"/>
    <w:rsid w:val="003462AA"/>
    <w:rsid w:val="00347822"/>
    <w:rsid w:val="00347B37"/>
    <w:rsid w:val="003526E5"/>
    <w:rsid w:val="0035525C"/>
    <w:rsid w:val="003609FE"/>
    <w:rsid w:val="003618BF"/>
    <w:rsid w:val="00362412"/>
    <w:rsid w:val="003628FD"/>
    <w:rsid w:val="0036339D"/>
    <w:rsid w:val="0036761C"/>
    <w:rsid w:val="00370B71"/>
    <w:rsid w:val="0037647A"/>
    <w:rsid w:val="003809F5"/>
    <w:rsid w:val="00381E67"/>
    <w:rsid w:val="00382367"/>
    <w:rsid w:val="00385700"/>
    <w:rsid w:val="00387FED"/>
    <w:rsid w:val="00390D85"/>
    <w:rsid w:val="00392E6E"/>
    <w:rsid w:val="00393429"/>
    <w:rsid w:val="003944F0"/>
    <w:rsid w:val="003948F9"/>
    <w:rsid w:val="00395B3B"/>
    <w:rsid w:val="003A01FB"/>
    <w:rsid w:val="003A0DB3"/>
    <w:rsid w:val="003A5093"/>
    <w:rsid w:val="003A5F3B"/>
    <w:rsid w:val="003A634B"/>
    <w:rsid w:val="003A679F"/>
    <w:rsid w:val="003A6F06"/>
    <w:rsid w:val="003A715B"/>
    <w:rsid w:val="003A73DE"/>
    <w:rsid w:val="003B0ACE"/>
    <w:rsid w:val="003B269A"/>
    <w:rsid w:val="003B2E2C"/>
    <w:rsid w:val="003B2E80"/>
    <w:rsid w:val="003B411B"/>
    <w:rsid w:val="003B583F"/>
    <w:rsid w:val="003C1443"/>
    <w:rsid w:val="003C157F"/>
    <w:rsid w:val="003C6114"/>
    <w:rsid w:val="003C612C"/>
    <w:rsid w:val="003D0F9C"/>
    <w:rsid w:val="003D262A"/>
    <w:rsid w:val="003E1B70"/>
    <w:rsid w:val="003E5D5B"/>
    <w:rsid w:val="003F0646"/>
    <w:rsid w:val="003F1789"/>
    <w:rsid w:val="003F1899"/>
    <w:rsid w:val="003F4673"/>
    <w:rsid w:val="003F4886"/>
    <w:rsid w:val="003F743B"/>
    <w:rsid w:val="003F7DCD"/>
    <w:rsid w:val="0040072D"/>
    <w:rsid w:val="00403A3C"/>
    <w:rsid w:val="00404523"/>
    <w:rsid w:val="00410A0A"/>
    <w:rsid w:val="00412CE6"/>
    <w:rsid w:val="00414FE6"/>
    <w:rsid w:val="00415BE3"/>
    <w:rsid w:val="0041629D"/>
    <w:rsid w:val="004172DF"/>
    <w:rsid w:val="00417D58"/>
    <w:rsid w:val="00417FD9"/>
    <w:rsid w:val="004209D8"/>
    <w:rsid w:val="004213D5"/>
    <w:rsid w:val="0042198F"/>
    <w:rsid w:val="00422A72"/>
    <w:rsid w:val="00422D67"/>
    <w:rsid w:val="0042352C"/>
    <w:rsid w:val="00423CC0"/>
    <w:rsid w:val="00424BA6"/>
    <w:rsid w:val="004313E0"/>
    <w:rsid w:val="0043350C"/>
    <w:rsid w:val="004337DD"/>
    <w:rsid w:val="00433C72"/>
    <w:rsid w:val="0043403B"/>
    <w:rsid w:val="00436859"/>
    <w:rsid w:val="004368F9"/>
    <w:rsid w:val="00436BE8"/>
    <w:rsid w:val="00436F37"/>
    <w:rsid w:val="00442B2A"/>
    <w:rsid w:val="0044385B"/>
    <w:rsid w:val="00443DD4"/>
    <w:rsid w:val="00447274"/>
    <w:rsid w:val="00447304"/>
    <w:rsid w:val="0045030C"/>
    <w:rsid w:val="00450443"/>
    <w:rsid w:val="00450E4F"/>
    <w:rsid w:val="00451D7B"/>
    <w:rsid w:val="0045293A"/>
    <w:rsid w:val="00453246"/>
    <w:rsid w:val="00453A9A"/>
    <w:rsid w:val="00454D10"/>
    <w:rsid w:val="00454E83"/>
    <w:rsid w:val="004558E1"/>
    <w:rsid w:val="00455B9E"/>
    <w:rsid w:val="00457F8F"/>
    <w:rsid w:val="004600FF"/>
    <w:rsid w:val="00460438"/>
    <w:rsid w:val="004606E4"/>
    <w:rsid w:val="004619ED"/>
    <w:rsid w:val="004619F7"/>
    <w:rsid w:val="00462C55"/>
    <w:rsid w:val="00465F9F"/>
    <w:rsid w:val="00466897"/>
    <w:rsid w:val="004709E0"/>
    <w:rsid w:val="00470E4F"/>
    <w:rsid w:val="00471615"/>
    <w:rsid w:val="004836D9"/>
    <w:rsid w:val="00484118"/>
    <w:rsid w:val="00485554"/>
    <w:rsid w:val="004873BD"/>
    <w:rsid w:val="0049278B"/>
    <w:rsid w:val="004933A3"/>
    <w:rsid w:val="004957CC"/>
    <w:rsid w:val="004A194F"/>
    <w:rsid w:val="004A20BD"/>
    <w:rsid w:val="004A3CAB"/>
    <w:rsid w:val="004A5C05"/>
    <w:rsid w:val="004B11AB"/>
    <w:rsid w:val="004B248C"/>
    <w:rsid w:val="004B3078"/>
    <w:rsid w:val="004B4AC8"/>
    <w:rsid w:val="004B4B16"/>
    <w:rsid w:val="004B4B8C"/>
    <w:rsid w:val="004C06C3"/>
    <w:rsid w:val="004C0CFD"/>
    <w:rsid w:val="004C0EA6"/>
    <w:rsid w:val="004C4925"/>
    <w:rsid w:val="004C5F8E"/>
    <w:rsid w:val="004C6C72"/>
    <w:rsid w:val="004D0784"/>
    <w:rsid w:val="004D2317"/>
    <w:rsid w:val="004D33FD"/>
    <w:rsid w:val="004D393C"/>
    <w:rsid w:val="004D3D04"/>
    <w:rsid w:val="004D3E54"/>
    <w:rsid w:val="004D42EF"/>
    <w:rsid w:val="004D53D3"/>
    <w:rsid w:val="004E0007"/>
    <w:rsid w:val="004E00A2"/>
    <w:rsid w:val="004E0BBA"/>
    <w:rsid w:val="004E5BDF"/>
    <w:rsid w:val="004E6612"/>
    <w:rsid w:val="004F0BA3"/>
    <w:rsid w:val="004F10EB"/>
    <w:rsid w:val="004F40E3"/>
    <w:rsid w:val="004F5B9A"/>
    <w:rsid w:val="004F7045"/>
    <w:rsid w:val="004F7BDA"/>
    <w:rsid w:val="00500A53"/>
    <w:rsid w:val="00506A6C"/>
    <w:rsid w:val="00506B66"/>
    <w:rsid w:val="0051304E"/>
    <w:rsid w:val="00514C97"/>
    <w:rsid w:val="00516FFA"/>
    <w:rsid w:val="00520FB1"/>
    <w:rsid w:val="00524085"/>
    <w:rsid w:val="00524780"/>
    <w:rsid w:val="00524A45"/>
    <w:rsid w:val="00524C5A"/>
    <w:rsid w:val="00527493"/>
    <w:rsid w:val="00530DBB"/>
    <w:rsid w:val="00532926"/>
    <w:rsid w:val="00532D7C"/>
    <w:rsid w:val="00534039"/>
    <w:rsid w:val="00534718"/>
    <w:rsid w:val="00535F24"/>
    <w:rsid w:val="00540AEA"/>
    <w:rsid w:val="0054226F"/>
    <w:rsid w:val="0054502C"/>
    <w:rsid w:val="00545E04"/>
    <w:rsid w:val="0054694B"/>
    <w:rsid w:val="00547E0C"/>
    <w:rsid w:val="00551930"/>
    <w:rsid w:val="00554C6A"/>
    <w:rsid w:val="00555A8B"/>
    <w:rsid w:val="00556141"/>
    <w:rsid w:val="00560B5F"/>
    <w:rsid w:val="00563399"/>
    <w:rsid w:val="00563F05"/>
    <w:rsid w:val="00564261"/>
    <w:rsid w:val="0057035B"/>
    <w:rsid w:val="00571AB7"/>
    <w:rsid w:val="005729A3"/>
    <w:rsid w:val="0057329C"/>
    <w:rsid w:val="00574EDD"/>
    <w:rsid w:val="005764D8"/>
    <w:rsid w:val="00576A26"/>
    <w:rsid w:val="00577F00"/>
    <w:rsid w:val="00580E46"/>
    <w:rsid w:val="0058375C"/>
    <w:rsid w:val="00584BE2"/>
    <w:rsid w:val="0058652C"/>
    <w:rsid w:val="00587315"/>
    <w:rsid w:val="005917BC"/>
    <w:rsid w:val="00591F03"/>
    <w:rsid w:val="0059293B"/>
    <w:rsid w:val="00593624"/>
    <w:rsid w:val="005A28C2"/>
    <w:rsid w:val="005A4B5B"/>
    <w:rsid w:val="005A6B24"/>
    <w:rsid w:val="005B3E77"/>
    <w:rsid w:val="005B677B"/>
    <w:rsid w:val="005B7E88"/>
    <w:rsid w:val="005C019A"/>
    <w:rsid w:val="005C2DB2"/>
    <w:rsid w:val="005C3E0C"/>
    <w:rsid w:val="005C4142"/>
    <w:rsid w:val="005D09AD"/>
    <w:rsid w:val="005D11C4"/>
    <w:rsid w:val="005D1B24"/>
    <w:rsid w:val="005D2E41"/>
    <w:rsid w:val="005D418F"/>
    <w:rsid w:val="005D5E57"/>
    <w:rsid w:val="005E2916"/>
    <w:rsid w:val="005E36B5"/>
    <w:rsid w:val="005E465A"/>
    <w:rsid w:val="005E4D0F"/>
    <w:rsid w:val="005E56E5"/>
    <w:rsid w:val="005E6F42"/>
    <w:rsid w:val="005F7055"/>
    <w:rsid w:val="0060501A"/>
    <w:rsid w:val="00606643"/>
    <w:rsid w:val="00606B10"/>
    <w:rsid w:val="0061062B"/>
    <w:rsid w:val="00610ECF"/>
    <w:rsid w:val="006115FA"/>
    <w:rsid w:val="00612944"/>
    <w:rsid w:val="00613B10"/>
    <w:rsid w:val="00614C06"/>
    <w:rsid w:val="006156EB"/>
    <w:rsid w:val="00615F88"/>
    <w:rsid w:val="006171B1"/>
    <w:rsid w:val="006205DB"/>
    <w:rsid w:val="00622B51"/>
    <w:rsid w:val="00622D62"/>
    <w:rsid w:val="0062310B"/>
    <w:rsid w:val="0062353A"/>
    <w:rsid w:val="006247E0"/>
    <w:rsid w:val="00625A4D"/>
    <w:rsid w:val="006264B8"/>
    <w:rsid w:val="006306B1"/>
    <w:rsid w:val="00632B36"/>
    <w:rsid w:val="0063339B"/>
    <w:rsid w:val="00634664"/>
    <w:rsid w:val="0063509B"/>
    <w:rsid w:val="0063553B"/>
    <w:rsid w:val="0063570F"/>
    <w:rsid w:val="00635742"/>
    <w:rsid w:val="00637D8C"/>
    <w:rsid w:val="00637F3B"/>
    <w:rsid w:val="006411B2"/>
    <w:rsid w:val="00641C2C"/>
    <w:rsid w:val="00644CEF"/>
    <w:rsid w:val="00644E93"/>
    <w:rsid w:val="00645600"/>
    <w:rsid w:val="006509E3"/>
    <w:rsid w:val="00651857"/>
    <w:rsid w:val="0065198F"/>
    <w:rsid w:val="00661BC8"/>
    <w:rsid w:val="006644E0"/>
    <w:rsid w:val="0066519E"/>
    <w:rsid w:val="00672647"/>
    <w:rsid w:val="0067536E"/>
    <w:rsid w:val="00676099"/>
    <w:rsid w:val="006810E0"/>
    <w:rsid w:val="006814DD"/>
    <w:rsid w:val="0068168C"/>
    <w:rsid w:val="006820E6"/>
    <w:rsid w:val="00682318"/>
    <w:rsid w:val="00682561"/>
    <w:rsid w:val="006839F0"/>
    <w:rsid w:val="0069027B"/>
    <w:rsid w:val="00690E6E"/>
    <w:rsid w:val="0069168A"/>
    <w:rsid w:val="0069464B"/>
    <w:rsid w:val="00694D9B"/>
    <w:rsid w:val="00695D0E"/>
    <w:rsid w:val="006A0775"/>
    <w:rsid w:val="006A23A6"/>
    <w:rsid w:val="006A2B9F"/>
    <w:rsid w:val="006A316B"/>
    <w:rsid w:val="006B0DC4"/>
    <w:rsid w:val="006B19E4"/>
    <w:rsid w:val="006B35A7"/>
    <w:rsid w:val="006B46D5"/>
    <w:rsid w:val="006B5084"/>
    <w:rsid w:val="006C008C"/>
    <w:rsid w:val="006C3FE3"/>
    <w:rsid w:val="006C515D"/>
    <w:rsid w:val="006C7D72"/>
    <w:rsid w:val="006D10CD"/>
    <w:rsid w:val="006D126C"/>
    <w:rsid w:val="006D17CA"/>
    <w:rsid w:val="006D3EC8"/>
    <w:rsid w:val="006D4A9C"/>
    <w:rsid w:val="006D6313"/>
    <w:rsid w:val="006D6460"/>
    <w:rsid w:val="006E047E"/>
    <w:rsid w:val="006E19A7"/>
    <w:rsid w:val="006E28D9"/>
    <w:rsid w:val="006E6474"/>
    <w:rsid w:val="006E7158"/>
    <w:rsid w:val="006F03E6"/>
    <w:rsid w:val="006F2471"/>
    <w:rsid w:val="006F432B"/>
    <w:rsid w:val="006F44CC"/>
    <w:rsid w:val="006F4680"/>
    <w:rsid w:val="006F4C87"/>
    <w:rsid w:val="006F7852"/>
    <w:rsid w:val="007044E6"/>
    <w:rsid w:val="00707019"/>
    <w:rsid w:val="00707E93"/>
    <w:rsid w:val="007125F9"/>
    <w:rsid w:val="00713D2E"/>
    <w:rsid w:val="00714B66"/>
    <w:rsid w:val="00724EFE"/>
    <w:rsid w:val="00725675"/>
    <w:rsid w:val="0072642F"/>
    <w:rsid w:val="00732DFC"/>
    <w:rsid w:val="00732FBE"/>
    <w:rsid w:val="00736716"/>
    <w:rsid w:val="0074007A"/>
    <w:rsid w:val="0074190F"/>
    <w:rsid w:val="00742EF4"/>
    <w:rsid w:val="00743232"/>
    <w:rsid w:val="0074395C"/>
    <w:rsid w:val="00745121"/>
    <w:rsid w:val="00745508"/>
    <w:rsid w:val="0074598C"/>
    <w:rsid w:val="00746696"/>
    <w:rsid w:val="00750102"/>
    <w:rsid w:val="007607A6"/>
    <w:rsid w:val="00761387"/>
    <w:rsid w:val="007639EB"/>
    <w:rsid w:val="007643C3"/>
    <w:rsid w:val="007650A1"/>
    <w:rsid w:val="00765E46"/>
    <w:rsid w:val="007709F0"/>
    <w:rsid w:val="00771E2D"/>
    <w:rsid w:val="00772B91"/>
    <w:rsid w:val="00774798"/>
    <w:rsid w:val="00774D1F"/>
    <w:rsid w:val="007775D0"/>
    <w:rsid w:val="00782D9A"/>
    <w:rsid w:val="00785863"/>
    <w:rsid w:val="00791164"/>
    <w:rsid w:val="00792FB3"/>
    <w:rsid w:val="0079381B"/>
    <w:rsid w:val="0079474D"/>
    <w:rsid w:val="007947C5"/>
    <w:rsid w:val="00794CAD"/>
    <w:rsid w:val="00795A38"/>
    <w:rsid w:val="007A49FB"/>
    <w:rsid w:val="007A5D98"/>
    <w:rsid w:val="007A6090"/>
    <w:rsid w:val="007B2C35"/>
    <w:rsid w:val="007B4E5C"/>
    <w:rsid w:val="007B58FC"/>
    <w:rsid w:val="007B78D2"/>
    <w:rsid w:val="007C2B63"/>
    <w:rsid w:val="007C303B"/>
    <w:rsid w:val="007C374C"/>
    <w:rsid w:val="007C41B6"/>
    <w:rsid w:val="007C454B"/>
    <w:rsid w:val="007C63D3"/>
    <w:rsid w:val="007C75F7"/>
    <w:rsid w:val="007D0639"/>
    <w:rsid w:val="007D11C9"/>
    <w:rsid w:val="007D4485"/>
    <w:rsid w:val="007D4961"/>
    <w:rsid w:val="007E0DD0"/>
    <w:rsid w:val="007E2702"/>
    <w:rsid w:val="007E2B8B"/>
    <w:rsid w:val="007E4DE6"/>
    <w:rsid w:val="007E5620"/>
    <w:rsid w:val="007F044F"/>
    <w:rsid w:val="007F3816"/>
    <w:rsid w:val="007F3D46"/>
    <w:rsid w:val="007F41E3"/>
    <w:rsid w:val="007F5C69"/>
    <w:rsid w:val="00801135"/>
    <w:rsid w:val="00801259"/>
    <w:rsid w:val="0080158D"/>
    <w:rsid w:val="008035BA"/>
    <w:rsid w:val="00803622"/>
    <w:rsid w:val="00805F4A"/>
    <w:rsid w:val="00807B23"/>
    <w:rsid w:val="0081134D"/>
    <w:rsid w:val="00811594"/>
    <w:rsid w:val="00811F3E"/>
    <w:rsid w:val="00812370"/>
    <w:rsid w:val="00812B76"/>
    <w:rsid w:val="00812E8C"/>
    <w:rsid w:val="00813E06"/>
    <w:rsid w:val="008175E7"/>
    <w:rsid w:val="008218E6"/>
    <w:rsid w:val="00821BBE"/>
    <w:rsid w:val="00823AC2"/>
    <w:rsid w:val="00823C27"/>
    <w:rsid w:val="00825DF2"/>
    <w:rsid w:val="008313C0"/>
    <w:rsid w:val="00831F6A"/>
    <w:rsid w:val="00832A6B"/>
    <w:rsid w:val="0083379F"/>
    <w:rsid w:val="00833F6E"/>
    <w:rsid w:val="00834289"/>
    <w:rsid w:val="00835791"/>
    <w:rsid w:val="00835CC4"/>
    <w:rsid w:val="00836B45"/>
    <w:rsid w:val="00840127"/>
    <w:rsid w:val="00840697"/>
    <w:rsid w:val="0084189E"/>
    <w:rsid w:val="00842F08"/>
    <w:rsid w:val="00843132"/>
    <w:rsid w:val="00845537"/>
    <w:rsid w:val="00845D94"/>
    <w:rsid w:val="00846AE3"/>
    <w:rsid w:val="00847173"/>
    <w:rsid w:val="008527F7"/>
    <w:rsid w:val="00853340"/>
    <w:rsid w:val="00853F5F"/>
    <w:rsid w:val="00856EEA"/>
    <w:rsid w:val="00860AB6"/>
    <w:rsid w:val="00861386"/>
    <w:rsid w:val="00861535"/>
    <w:rsid w:val="008623CB"/>
    <w:rsid w:val="008639A8"/>
    <w:rsid w:val="00863EE4"/>
    <w:rsid w:val="00864443"/>
    <w:rsid w:val="00865105"/>
    <w:rsid w:val="008654EB"/>
    <w:rsid w:val="00867829"/>
    <w:rsid w:val="00871156"/>
    <w:rsid w:val="008721AA"/>
    <w:rsid w:val="00872C14"/>
    <w:rsid w:val="0087575A"/>
    <w:rsid w:val="0087639B"/>
    <w:rsid w:val="0087689B"/>
    <w:rsid w:val="00876BD1"/>
    <w:rsid w:val="00882037"/>
    <w:rsid w:val="00882FFD"/>
    <w:rsid w:val="00887E06"/>
    <w:rsid w:val="008912C2"/>
    <w:rsid w:val="00893E1C"/>
    <w:rsid w:val="00896B6B"/>
    <w:rsid w:val="00896B79"/>
    <w:rsid w:val="00897B31"/>
    <w:rsid w:val="008A17D2"/>
    <w:rsid w:val="008A17F2"/>
    <w:rsid w:val="008A1A5E"/>
    <w:rsid w:val="008A20E7"/>
    <w:rsid w:val="008A3E26"/>
    <w:rsid w:val="008B091A"/>
    <w:rsid w:val="008B0B7F"/>
    <w:rsid w:val="008B0C5F"/>
    <w:rsid w:val="008B1144"/>
    <w:rsid w:val="008B2636"/>
    <w:rsid w:val="008B5859"/>
    <w:rsid w:val="008B5FE6"/>
    <w:rsid w:val="008C25B9"/>
    <w:rsid w:val="008C678D"/>
    <w:rsid w:val="008D0827"/>
    <w:rsid w:val="008D5902"/>
    <w:rsid w:val="008E23D4"/>
    <w:rsid w:val="008E4B55"/>
    <w:rsid w:val="008E5B3C"/>
    <w:rsid w:val="008E7CEF"/>
    <w:rsid w:val="008F0587"/>
    <w:rsid w:val="008F0DF2"/>
    <w:rsid w:val="008F6803"/>
    <w:rsid w:val="0090018F"/>
    <w:rsid w:val="00901A02"/>
    <w:rsid w:val="00901BF0"/>
    <w:rsid w:val="00902814"/>
    <w:rsid w:val="009031BF"/>
    <w:rsid w:val="0090532C"/>
    <w:rsid w:val="009055E3"/>
    <w:rsid w:val="00907311"/>
    <w:rsid w:val="0091106D"/>
    <w:rsid w:val="009128CB"/>
    <w:rsid w:val="00913A31"/>
    <w:rsid w:val="00915141"/>
    <w:rsid w:val="00915CAD"/>
    <w:rsid w:val="009212C2"/>
    <w:rsid w:val="009226AE"/>
    <w:rsid w:val="00925C27"/>
    <w:rsid w:val="00925CA6"/>
    <w:rsid w:val="0092705A"/>
    <w:rsid w:val="00935CED"/>
    <w:rsid w:val="00936218"/>
    <w:rsid w:val="00941252"/>
    <w:rsid w:val="009413BC"/>
    <w:rsid w:val="0094178A"/>
    <w:rsid w:val="0094403B"/>
    <w:rsid w:val="009450CA"/>
    <w:rsid w:val="00950807"/>
    <w:rsid w:val="00951EFC"/>
    <w:rsid w:val="0095419A"/>
    <w:rsid w:val="00954994"/>
    <w:rsid w:val="00955CD4"/>
    <w:rsid w:val="009606A5"/>
    <w:rsid w:val="0096397B"/>
    <w:rsid w:val="00964151"/>
    <w:rsid w:val="0096496D"/>
    <w:rsid w:val="00965970"/>
    <w:rsid w:val="00966564"/>
    <w:rsid w:val="00970452"/>
    <w:rsid w:val="00971634"/>
    <w:rsid w:val="00976232"/>
    <w:rsid w:val="00976F05"/>
    <w:rsid w:val="00977097"/>
    <w:rsid w:val="009778D1"/>
    <w:rsid w:val="00977CC9"/>
    <w:rsid w:val="00981D95"/>
    <w:rsid w:val="00984404"/>
    <w:rsid w:val="00985FC5"/>
    <w:rsid w:val="0099445B"/>
    <w:rsid w:val="00994952"/>
    <w:rsid w:val="0099552B"/>
    <w:rsid w:val="00995792"/>
    <w:rsid w:val="009A18EB"/>
    <w:rsid w:val="009A3207"/>
    <w:rsid w:val="009A3C48"/>
    <w:rsid w:val="009A4612"/>
    <w:rsid w:val="009A5B00"/>
    <w:rsid w:val="009A69CF"/>
    <w:rsid w:val="009A6CB2"/>
    <w:rsid w:val="009A7757"/>
    <w:rsid w:val="009B1994"/>
    <w:rsid w:val="009B3016"/>
    <w:rsid w:val="009B71DD"/>
    <w:rsid w:val="009C06EB"/>
    <w:rsid w:val="009C0A92"/>
    <w:rsid w:val="009C482A"/>
    <w:rsid w:val="009C6192"/>
    <w:rsid w:val="009C6CF7"/>
    <w:rsid w:val="009D0D1F"/>
    <w:rsid w:val="009D5391"/>
    <w:rsid w:val="009D5F0B"/>
    <w:rsid w:val="009D76CF"/>
    <w:rsid w:val="009E05EE"/>
    <w:rsid w:val="009E2BD5"/>
    <w:rsid w:val="009E2D6A"/>
    <w:rsid w:val="009E32CF"/>
    <w:rsid w:val="009E419A"/>
    <w:rsid w:val="009E65D5"/>
    <w:rsid w:val="009F0F94"/>
    <w:rsid w:val="009F15C2"/>
    <w:rsid w:val="009F3DCD"/>
    <w:rsid w:val="009F6921"/>
    <w:rsid w:val="009F7FFB"/>
    <w:rsid w:val="00A05CA4"/>
    <w:rsid w:val="00A10425"/>
    <w:rsid w:val="00A105F7"/>
    <w:rsid w:val="00A114FA"/>
    <w:rsid w:val="00A11B19"/>
    <w:rsid w:val="00A134F5"/>
    <w:rsid w:val="00A13EEB"/>
    <w:rsid w:val="00A13FB3"/>
    <w:rsid w:val="00A20691"/>
    <w:rsid w:val="00A213C5"/>
    <w:rsid w:val="00A228E6"/>
    <w:rsid w:val="00A23B11"/>
    <w:rsid w:val="00A24E9A"/>
    <w:rsid w:val="00A26235"/>
    <w:rsid w:val="00A265ED"/>
    <w:rsid w:val="00A2746F"/>
    <w:rsid w:val="00A30908"/>
    <w:rsid w:val="00A3377F"/>
    <w:rsid w:val="00A346A4"/>
    <w:rsid w:val="00A35E25"/>
    <w:rsid w:val="00A37495"/>
    <w:rsid w:val="00A375AD"/>
    <w:rsid w:val="00A427DC"/>
    <w:rsid w:val="00A44354"/>
    <w:rsid w:val="00A4774A"/>
    <w:rsid w:val="00A50F05"/>
    <w:rsid w:val="00A53EE8"/>
    <w:rsid w:val="00A54092"/>
    <w:rsid w:val="00A559FB"/>
    <w:rsid w:val="00A57D21"/>
    <w:rsid w:val="00A60122"/>
    <w:rsid w:val="00A60E39"/>
    <w:rsid w:val="00A63217"/>
    <w:rsid w:val="00A672A0"/>
    <w:rsid w:val="00A71D4A"/>
    <w:rsid w:val="00A7235A"/>
    <w:rsid w:val="00A73759"/>
    <w:rsid w:val="00A73D3E"/>
    <w:rsid w:val="00A73DE4"/>
    <w:rsid w:val="00A746C6"/>
    <w:rsid w:val="00A7496A"/>
    <w:rsid w:val="00A74C8E"/>
    <w:rsid w:val="00A763FC"/>
    <w:rsid w:val="00A808D8"/>
    <w:rsid w:val="00A84006"/>
    <w:rsid w:val="00A84EE8"/>
    <w:rsid w:val="00A85BC5"/>
    <w:rsid w:val="00A85DA3"/>
    <w:rsid w:val="00A86B33"/>
    <w:rsid w:val="00A87643"/>
    <w:rsid w:val="00A919C6"/>
    <w:rsid w:val="00A91DE3"/>
    <w:rsid w:val="00A93153"/>
    <w:rsid w:val="00A962F5"/>
    <w:rsid w:val="00A971EE"/>
    <w:rsid w:val="00AA075D"/>
    <w:rsid w:val="00AA175B"/>
    <w:rsid w:val="00AA2009"/>
    <w:rsid w:val="00AA54AA"/>
    <w:rsid w:val="00AA6426"/>
    <w:rsid w:val="00AA6DF2"/>
    <w:rsid w:val="00AB0659"/>
    <w:rsid w:val="00AB118D"/>
    <w:rsid w:val="00AB1EEF"/>
    <w:rsid w:val="00AB268C"/>
    <w:rsid w:val="00AB2E09"/>
    <w:rsid w:val="00AB4BC1"/>
    <w:rsid w:val="00AB5145"/>
    <w:rsid w:val="00AB6E32"/>
    <w:rsid w:val="00AC0103"/>
    <w:rsid w:val="00AC1FD2"/>
    <w:rsid w:val="00AC4EBC"/>
    <w:rsid w:val="00AD0863"/>
    <w:rsid w:val="00AD2388"/>
    <w:rsid w:val="00AD59F4"/>
    <w:rsid w:val="00AD6C24"/>
    <w:rsid w:val="00AD6E58"/>
    <w:rsid w:val="00AE02C5"/>
    <w:rsid w:val="00AE0D9E"/>
    <w:rsid w:val="00AE4D37"/>
    <w:rsid w:val="00AE503C"/>
    <w:rsid w:val="00AE6560"/>
    <w:rsid w:val="00AE66AB"/>
    <w:rsid w:val="00AE6DA5"/>
    <w:rsid w:val="00AF01F5"/>
    <w:rsid w:val="00AF1EDA"/>
    <w:rsid w:val="00AF2517"/>
    <w:rsid w:val="00AF290E"/>
    <w:rsid w:val="00AF4233"/>
    <w:rsid w:val="00AF565C"/>
    <w:rsid w:val="00AF5747"/>
    <w:rsid w:val="00AF7F40"/>
    <w:rsid w:val="00B02171"/>
    <w:rsid w:val="00B05272"/>
    <w:rsid w:val="00B07202"/>
    <w:rsid w:val="00B07B0D"/>
    <w:rsid w:val="00B10FEE"/>
    <w:rsid w:val="00B11BA1"/>
    <w:rsid w:val="00B131BF"/>
    <w:rsid w:val="00B167BA"/>
    <w:rsid w:val="00B21A65"/>
    <w:rsid w:val="00B22EAC"/>
    <w:rsid w:val="00B23AB8"/>
    <w:rsid w:val="00B254BA"/>
    <w:rsid w:val="00B2571E"/>
    <w:rsid w:val="00B30C12"/>
    <w:rsid w:val="00B30FE9"/>
    <w:rsid w:val="00B325C6"/>
    <w:rsid w:val="00B32ECD"/>
    <w:rsid w:val="00B33A8B"/>
    <w:rsid w:val="00B347C6"/>
    <w:rsid w:val="00B4082F"/>
    <w:rsid w:val="00B43B50"/>
    <w:rsid w:val="00B450E3"/>
    <w:rsid w:val="00B45157"/>
    <w:rsid w:val="00B453DB"/>
    <w:rsid w:val="00B47CB6"/>
    <w:rsid w:val="00B5003E"/>
    <w:rsid w:val="00B52B27"/>
    <w:rsid w:val="00B52E7E"/>
    <w:rsid w:val="00B55A1D"/>
    <w:rsid w:val="00B61340"/>
    <w:rsid w:val="00B62042"/>
    <w:rsid w:val="00B628CA"/>
    <w:rsid w:val="00B6495F"/>
    <w:rsid w:val="00B67DFE"/>
    <w:rsid w:val="00B75004"/>
    <w:rsid w:val="00B772D8"/>
    <w:rsid w:val="00B7791C"/>
    <w:rsid w:val="00B83849"/>
    <w:rsid w:val="00B86F47"/>
    <w:rsid w:val="00B879C4"/>
    <w:rsid w:val="00B91B9C"/>
    <w:rsid w:val="00B92F0E"/>
    <w:rsid w:val="00B941D7"/>
    <w:rsid w:val="00B94550"/>
    <w:rsid w:val="00B94D9D"/>
    <w:rsid w:val="00B977D1"/>
    <w:rsid w:val="00BA1EB3"/>
    <w:rsid w:val="00BA2E31"/>
    <w:rsid w:val="00BA3346"/>
    <w:rsid w:val="00BA465B"/>
    <w:rsid w:val="00BA6A93"/>
    <w:rsid w:val="00BB04B9"/>
    <w:rsid w:val="00BB060E"/>
    <w:rsid w:val="00BB0D99"/>
    <w:rsid w:val="00BB2AF7"/>
    <w:rsid w:val="00BB56AD"/>
    <w:rsid w:val="00BC0205"/>
    <w:rsid w:val="00BC5EBD"/>
    <w:rsid w:val="00BC5F19"/>
    <w:rsid w:val="00BC7E52"/>
    <w:rsid w:val="00BD4C7B"/>
    <w:rsid w:val="00BD5C5B"/>
    <w:rsid w:val="00BD5F2F"/>
    <w:rsid w:val="00BD6CF9"/>
    <w:rsid w:val="00BD7851"/>
    <w:rsid w:val="00BE1270"/>
    <w:rsid w:val="00BE3A99"/>
    <w:rsid w:val="00BE4122"/>
    <w:rsid w:val="00BE5AFA"/>
    <w:rsid w:val="00BF0A94"/>
    <w:rsid w:val="00BF124A"/>
    <w:rsid w:val="00BF1403"/>
    <w:rsid w:val="00BF18B1"/>
    <w:rsid w:val="00BF2928"/>
    <w:rsid w:val="00BF3296"/>
    <w:rsid w:val="00BF3CE7"/>
    <w:rsid w:val="00BF7550"/>
    <w:rsid w:val="00C03AB7"/>
    <w:rsid w:val="00C04CA5"/>
    <w:rsid w:val="00C145CE"/>
    <w:rsid w:val="00C1463F"/>
    <w:rsid w:val="00C1481F"/>
    <w:rsid w:val="00C15482"/>
    <w:rsid w:val="00C17DC5"/>
    <w:rsid w:val="00C247AF"/>
    <w:rsid w:val="00C259A4"/>
    <w:rsid w:val="00C260BD"/>
    <w:rsid w:val="00C27D15"/>
    <w:rsid w:val="00C33BEA"/>
    <w:rsid w:val="00C3595E"/>
    <w:rsid w:val="00C3616C"/>
    <w:rsid w:val="00C363BA"/>
    <w:rsid w:val="00C371C9"/>
    <w:rsid w:val="00C40585"/>
    <w:rsid w:val="00C4658A"/>
    <w:rsid w:val="00C46E4D"/>
    <w:rsid w:val="00C47925"/>
    <w:rsid w:val="00C5030E"/>
    <w:rsid w:val="00C50DFC"/>
    <w:rsid w:val="00C51E12"/>
    <w:rsid w:val="00C53248"/>
    <w:rsid w:val="00C54408"/>
    <w:rsid w:val="00C56306"/>
    <w:rsid w:val="00C623A3"/>
    <w:rsid w:val="00C6276F"/>
    <w:rsid w:val="00C63643"/>
    <w:rsid w:val="00C64887"/>
    <w:rsid w:val="00C749EA"/>
    <w:rsid w:val="00C74E91"/>
    <w:rsid w:val="00C762D8"/>
    <w:rsid w:val="00C77261"/>
    <w:rsid w:val="00C77AD0"/>
    <w:rsid w:val="00C77AE1"/>
    <w:rsid w:val="00C8002F"/>
    <w:rsid w:val="00C803EB"/>
    <w:rsid w:val="00C82F25"/>
    <w:rsid w:val="00C82F95"/>
    <w:rsid w:val="00C84705"/>
    <w:rsid w:val="00C866E4"/>
    <w:rsid w:val="00C87785"/>
    <w:rsid w:val="00C904B0"/>
    <w:rsid w:val="00C92377"/>
    <w:rsid w:val="00C924C1"/>
    <w:rsid w:val="00C94845"/>
    <w:rsid w:val="00C9536F"/>
    <w:rsid w:val="00C96429"/>
    <w:rsid w:val="00C9740D"/>
    <w:rsid w:val="00C97AE7"/>
    <w:rsid w:val="00CA224A"/>
    <w:rsid w:val="00CA4219"/>
    <w:rsid w:val="00CA4F69"/>
    <w:rsid w:val="00CA63F4"/>
    <w:rsid w:val="00CA7A01"/>
    <w:rsid w:val="00CB2779"/>
    <w:rsid w:val="00CB54A7"/>
    <w:rsid w:val="00CC09F0"/>
    <w:rsid w:val="00CC7463"/>
    <w:rsid w:val="00CD0F20"/>
    <w:rsid w:val="00CD2E74"/>
    <w:rsid w:val="00CD2F4B"/>
    <w:rsid w:val="00CD3C15"/>
    <w:rsid w:val="00CD3D56"/>
    <w:rsid w:val="00CE0045"/>
    <w:rsid w:val="00CE111B"/>
    <w:rsid w:val="00CE37F9"/>
    <w:rsid w:val="00CE43A4"/>
    <w:rsid w:val="00CE5EE1"/>
    <w:rsid w:val="00CE5F6B"/>
    <w:rsid w:val="00CE627B"/>
    <w:rsid w:val="00CF0E7C"/>
    <w:rsid w:val="00CF135F"/>
    <w:rsid w:val="00CF19C8"/>
    <w:rsid w:val="00CF4CFA"/>
    <w:rsid w:val="00CF5093"/>
    <w:rsid w:val="00CF5E02"/>
    <w:rsid w:val="00CF6946"/>
    <w:rsid w:val="00CF6E84"/>
    <w:rsid w:val="00D000F9"/>
    <w:rsid w:val="00D01BB5"/>
    <w:rsid w:val="00D037C5"/>
    <w:rsid w:val="00D04922"/>
    <w:rsid w:val="00D0494A"/>
    <w:rsid w:val="00D1073C"/>
    <w:rsid w:val="00D151FA"/>
    <w:rsid w:val="00D15E76"/>
    <w:rsid w:val="00D16446"/>
    <w:rsid w:val="00D174D1"/>
    <w:rsid w:val="00D17D93"/>
    <w:rsid w:val="00D17F65"/>
    <w:rsid w:val="00D24A0F"/>
    <w:rsid w:val="00D25250"/>
    <w:rsid w:val="00D25C0A"/>
    <w:rsid w:val="00D26252"/>
    <w:rsid w:val="00D26D6D"/>
    <w:rsid w:val="00D308FF"/>
    <w:rsid w:val="00D30C21"/>
    <w:rsid w:val="00D326DD"/>
    <w:rsid w:val="00D32D19"/>
    <w:rsid w:val="00D347E5"/>
    <w:rsid w:val="00D427CA"/>
    <w:rsid w:val="00D42C25"/>
    <w:rsid w:val="00D42D96"/>
    <w:rsid w:val="00D43A42"/>
    <w:rsid w:val="00D457E9"/>
    <w:rsid w:val="00D46D45"/>
    <w:rsid w:val="00D549DC"/>
    <w:rsid w:val="00D55589"/>
    <w:rsid w:val="00D57EBE"/>
    <w:rsid w:val="00D60529"/>
    <w:rsid w:val="00D64876"/>
    <w:rsid w:val="00D659AE"/>
    <w:rsid w:val="00D65ACA"/>
    <w:rsid w:val="00D67330"/>
    <w:rsid w:val="00D71358"/>
    <w:rsid w:val="00D72F9C"/>
    <w:rsid w:val="00D73F5F"/>
    <w:rsid w:val="00D75E49"/>
    <w:rsid w:val="00D77D12"/>
    <w:rsid w:val="00D77D4F"/>
    <w:rsid w:val="00D8097E"/>
    <w:rsid w:val="00D8135C"/>
    <w:rsid w:val="00D839D4"/>
    <w:rsid w:val="00D83DB8"/>
    <w:rsid w:val="00D84BC9"/>
    <w:rsid w:val="00D855FF"/>
    <w:rsid w:val="00D87F64"/>
    <w:rsid w:val="00D87FBA"/>
    <w:rsid w:val="00D90C6C"/>
    <w:rsid w:val="00D9134B"/>
    <w:rsid w:val="00D91CFD"/>
    <w:rsid w:val="00D95691"/>
    <w:rsid w:val="00D96063"/>
    <w:rsid w:val="00D9655F"/>
    <w:rsid w:val="00D973DF"/>
    <w:rsid w:val="00D97B50"/>
    <w:rsid w:val="00DA0501"/>
    <w:rsid w:val="00DA1CAE"/>
    <w:rsid w:val="00DA221E"/>
    <w:rsid w:val="00DA29C0"/>
    <w:rsid w:val="00DA4C7F"/>
    <w:rsid w:val="00DA5BE5"/>
    <w:rsid w:val="00DB0022"/>
    <w:rsid w:val="00DB1875"/>
    <w:rsid w:val="00DB2397"/>
    <w:rsid w:val="00DB2C30"/>
    <w:rsid w:val="00DB61BB"/>
    <w:rsid w:val="00DC01C0"/>
    <w:rsid w:val="00DC1D49"/>
    <w:rsid w:val="00DC31A3"/>
    <w:rsid w:val="00DC7FB9"/>
    <w:rsid w:val="00DD12F4"/>
    <w:rsid w:val="00DD2D99"/>
    <w:rsid w:val="00DD4516"/>
    <w:rsid w:val="00DD51E1"/>
    <w:rsid w:val="00DD61BC"/>
    <w:rsid w:val="00DD6C3D"/>
    <w:rsid w:val="00DE1899"/>
    <w:rsid w:val="00DE2630"/>
    <w:rsid w:val="00DE39A7"/>
    <w:rsid w:val="00DE3D7A"/>
    <w:rsid w:val="00DE4254"/>
    <w:rsid w:val="00DE5AA2"/>
    <w:rsid w:val="00DE6C57"/>
    <w:rsid w:val="00DF2994"/>
    <w:rsid w:val="00DF4047"/>
    <w:rsid w:val="00DF4766"/>
    <w:rsid w:val="00DF5BB1"/>
    <w:rsid w:val="00DF657A"/>
    <w:rsid w:val="00DF72BB"/>
    <w:rsid w:val="00E049A7"/>
    <w:rsid w:val="00E04B53"/>
    <w:rsid w:val="00E07222"/>
    <w:rsid w:val="00E11A5C"/>
    <w:rsid w:val="00E206AD"/>
    <w:rsid w:val="00E211D1"/>
    <w:rsid w:val="00E21E20"/>
    <w:rsid w:val="00E22F3A"/>
    <w:rsid w:val="00E24794"/>
    <w:rsid w:val="00E2511B"/>
    <w:rsid w:val="00E251C9"/>
    <w:rsid w:val="00E262A4"/>
    <w:rsid w:val="00E2751B"/>
    <w:rsid w:val="00E27AF2"/>
    <w:rsid w:val="00E306A2"/>
    <w:rsid w:val="00E34522"/>
    <w:rsid w:val="00E34F6D"/>
    <w:rsid w:val="00E3593C"/>
    <w:rsid w:val="00E35E83"/>
    <w:rsid w:val="00E36362"/>
    <w:rsid w:val="00E3775C"/>
    <w:rsid w:val="00E37C6A"/>
    <w:rsid w:val="00E400B4"/>
    <w:rsid w:val="00E41733"/>
    <w:rsid w:val="00E46824"/>
    <w:rsid w:val="00E50113"/>
    <w:rsid w:val="00E50946"/>
    <w:rsid w:val="00E53389"/>
    <w:rsid w:val="00E541CD"/>
    <w:rsid w:val="00E56F2B"/>
    <w:rsid w:val="00E5784B"/>
    <w:rsid w:val="00E57CE5"/>
    <w:rsid w:val="00E633BB"/>
    <w:rsid w:val="00E6408F"/>
    <w:rsid w:val="00E734A0"/>
    <w:rsid w:val="00E766C2"/>
    <w:rsid w:val="00E76C35"/>
    <w:rsid w:val="00E77201"/>
    <w:rsid w:val="00E8173C"/>
    <w:rsid w:val="00E82839"/>
    <w:rsid w:val="00E82AF8"/>
    <w:rsid w:val="00E83680"/>
    <w:rsid w:val="00E8667D"/>
    <w:rsid w:val="00E866FD"/>
    <w:rsid w:val="00E86CBD"/>
    <w:rsid w:val="00E87469"/>
    <w:rsid w:val="00E90100"/>
    <w:rsid w:val="00E92088"/>
    <w:rsid w:val="00E93EB3"/>
    <w:rsid w:val="00E972EC"/>
    <w:rsid w:val="00EA0DAC"/>
    <w:rsid w:val="00EA53E5"/>
    <w:rsid w:val="00EA7EBA"/>
    <w:rsid w:val="00EB0ECC"/>
    <w:rsid w:val="00EB1133"/>
    <w:rsid w:val="00EB287C"/>
    <w:rsid w:val="00EB2AF2"/>
    <w:rsid w:val="00EB3D78"/>
    <w:rsid w:val="00EB46D0"/>
    <w:rsid w:val="00EB6AA2"/>
    <w:rsid w:val="00EB7892"/>
    <w:rsid w:val="00EC1FAE"/>
    <w:rsid w:val="00EC3199"/>
    <w:rsid w:val="00EC3C9D"/>
    <w:rsid w:val="00EC60A9"/>
    <w:rsid w:val="00EC712A"/>
    <w:rsid w:val="00ED095F"/>
    <w:rsid w:val="00ED1DA7"/>
    <w:rsid w:val="00ED4585"/>
    <w:rsid w:val="00ED61B7"/>
    <w:rsid w:val="00ED799D"/>
    <w:rsid w:val="00EE1877"/>
    <w:rsid w:val="00EE2994"/>
    <w:rsid w:val="00EE3882"/>
    <w:rsid w:val="00EE3E10"/>
    <w:rsid w:val="00EE723B"/>
    <w:rsid w:val="00EF3389"/>
    <w:rsid w:val="00EF3A15"/>
    <w:rsid w:val="00EF4C53"/>
    <w:rsid w:val="00EF5C24"/>
    <w:rsid w:val="00EF70FA"/>
    <w:rsid w:val="00EF7622"/>
    <w:rsid w:val="00F029AB"/>
    <w:rsid w:val="00F02AEA"/>
    <w:rsid w:val="00F071CA"/>
    <w:rsid w:val="00F07340"/>
    <w:rsid w:val="00F0751F"/>
    <w:rsid w:val="00F11095"/>
    <w:rsid w:val="00F11150"/>
    <w:rsid w:val="00F1143B"/>
    <w:rsid w:val="00F128D5"/>
    <w:rsid w:val="00F12D16"/>
    <w:rsid w:val="00F13BD5"/>
    <w:rsid w:val="00F14846"/>
    <w:rsid w:val="00F1759A"/>
    <w:rsid w:val="00F338C0"/>
    <w:rsid w:val="00F33969"/>
    <w:rsid w:val="00F33AB9"/>
    <w:rsid w:val="00F33B70"/>
    <w:rsid w:val="00F37730"/>
    <w:rsid w:val="00F3773D"/>
    <w:rsid w:val="00F379EC"/>
    <w:rsid w:val="00F41B08"/>
    <w:rsid w:val="00F41D2F"/>
    <w:rsid w:val="00F42A1E"/>
    <w:rsid w:val="00F43B6C"/>
    <w:rsid w:val="00F46656"/>
    <w:rsid w:val="00F469AB"/>
    <w:rsid w:val="00F47705"/>
    <w:rsid w:val="00F50CC1"/>
    <w:rsid w:val="00F512DB"/>
    <w:rsid w:val="00F52652"/>
    <w:rsid w:val="00F53F8D"/>
    <w:rsid w:val="00F54481"/>
    <w:rsid w:val="00F60CBB"/>
    <w:rsid w:val="00F6458C"/>
    <w:rsid w:val="00F6643C"/>
    <w:rsid w:val="00F67BD8"/>
    <w:rsid w:val="00F703AB"/>
    <w:rsid w:val="00F71072"/>
    <w:rsid w:val="00F71C22"/>
    <w:rsid w:val="00F72CB3"/>
    <w:rsid w:val="00F746CF"/>
    <w:rsid w:val="00F751A8"/>
    <w:rsid w:val="00F7641D"/>
    <w:rsid w:val="00F80D2A"/>
    <w:rsid w:val="00F8327A"/>
    <w:rsid w:val="00F8581B"/>
    <w:rsid w:val="00F85B21"/>
    <w:rsid w:val="00F861DE"/>
    <w:rsid w:val="00F87DD6"/>
    <w:rsid w:val="00F87E1A"/>
    <w:rsid w:val="00F90398"/>
    <w:rsid w:val="00F90E5A"/>
    <w:rsid w:val="00F910B7"/>
    <w:rsid w:val="00F923E5"/>
    <w:rsid w:val="00F97FDE"/>
    <w:rsid w:val="00FA0B0D"/>
    <w:rsid w:val="00FA4C03"/>
    <w:rsid w:val="00FB19E6"/>
    <w:rsid w:val="00FB2A50"/>
    <w:rsid w:val="00FB2F43"/>
    <w:rsid w:val="00FB745D"/>
    <w:rsid w:val="00FB74A9"/>
    <w:rsid w:val="00FB75D3"/>
    <w:rsid w:val="00FC0888"/>
    <w:rsid w:val="00FC25F0"/>
    <w:rsid w:val="00FC2EA3"/>
    <w:rsid w:val="00FC48F4"/>
    <w:rsid w:val="00FC4CA9"/>
    <w:rsid w:val="00FC50CB"/>
    <w:rsid w:val="00FC5914"/>
    <w:rsid w:val="00FD0191"/>
    <w:rsid w:val="00FE18CC"/>
    <w:rsid w:val="00FE1C00"/>
    <w:rsid w:val="00FE2BFC"/>
    <w:rsid w:val="00FE4FE1"/>
    <w:rsid w:val="00FE5E21"/>
    <w:rsid w:val="00FE695C"/>
    <w:rsid w:val="00FF1B31"/>
    <w:rsid w:val="00FF3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97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E04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047E"/>
    <w:rPr>
      <w:rFonts w:ascii="Segoe UI" w:hAnsi="Segoe UI" w:cs="Segoe UI"/>
      <w:sz w:val="18"/>
      <w:szCs w:val="18"/>
    </w:rPr>
  </w:style>
  <w:style w:type="paragraph" w:styleId="Lijstalinea">
    <w:name w:val="List Paragraph"/>
    <w:basedOn w:val="Standaard"/>
    <w:uiPriority w:val="34"/>
    <w:qFormat/>
    <w:rsid w:val="00E306A2"/>
    <w:pPr>
      <w:ind w:left="720"/>
      <w:contextualSpacing/>
    </w:pPr>
  </w:style>
  <w:style w:type="character" w:styleId="Verwijzingopmerking">
    <w:name w:val="annotation reference"/>
    <w:basedOn w:val="Standaardalinea-lettertype"/>
    <w:uiPriority w:val="99"/>
    <w:semiHidden/>
    <w:unhideWhenUsed/>
    <w:rsid w:val="002A7712"/>
    <w:rPr>
      <w:sz w:val="16"/>
      <w:szCs w:val="16"/>
    </w:rPr>
  </w:style>
  <w:style w:type="paragraph" w:styleId="Tekstopmerking">
    <w:name w:val="annotation text"/>
    <w:basedOn w:val="Standaard"/>
    <w:link w:val="TekstopmerkingChar"/>
    <w:uiPriority w:val="99"/>
    <w:unhideWhenUsed/>
    <w:rsid w:val="002A7712"/>
    <w:pPr>
      <w:spacing w:line="240" w:lineRule="auto"/>
    </w:pPr>
    <w:rPr>
      <w:sz w:val="20"/>
      <w:szCs w:val="20"/>
    </w:rPr>
  </w:style>
  <w:style w:type="character" w:customStyle="1" w:styleId="TekstopmerkingChar">
    <w:name w:val="Tekst opmerking Char"/>
    <w:basedOn w:val="Standaardalinea-lettertype"/>
    <w:link w:val="Tekstopmerking"/>
    <w:uiPriority w:val="99"/>
    <w:rsid w:val="002A7712"/>
    <w:rPr>
      <w:sz w:val="20"/>
      <w:szCs w:val="20"/>
    </w:rPr>
  </w:style>
  <w:style w:type="paragraph" w:styleId="Onderwerpvanopmerking">
    <w:name w:val="annotation subject"/>
    <w:basedOn w:val="Tekstopmerking"/>
    <w:next w:val="Tekstopmerking"/>
    <w:link w:val="OnderwerpvanopmerkingChar"/>
    <w:uiPriority w:val="99"/>
    <w:semiHidden/>
    <w:unhideWhenUsed/>
    <w:rsid w:val="002A7712"/>
    <w:rPr>
      <w:b/>
      <w:bCs/>
    </w:rPr>
  </w:style>
  <w:style w:type="character" w:customStyle="1" w:styleId="OnderwerpvanopmerkingChar">
    <w:name w:val="Onderwerp van opmerking Char"/>
    <w:basedOn w:val="TekstopmerkingChar"/>
    <w:link w:val="Onderwerpvanopmerking"/>
    <w:uiPriority w:val="99"/>
    <w:semiHidden/>
    <w:rsid w:val="002A7712"/>
    <w:rPr>
      <w:b/>
      <w:bCs/>
      <w:sz w:val="20"/>
      <w:szCs w:val="20"/>
    </w:rPr>
  </w:style>
  <w:style w:type="paragraph" w:styleId="Koptekst">
    <w:name w:val="header"/>
    <w:basedOn w:val="Standaard"/>
    <w:link w:val="KoptekstChar"/>
    <w:uiPriority w:val="99"/>
    <w:unhideWhenUsed/>
    <w:rsid w:val="00F41B0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1B08"/>
  </w:style>
  <w:style w:type="paragraph" w:styleId="Voettekst">
    <w:name w:val="footer"/>
    <w:basedOn w:val="Standaard"/>
    <w:link w:val="VoettekstChar"/>
    <w:uiPriority w:val="99"/>
    <w:unhideWhenUsed/>
    <w:rsid w:val="00F41B0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1B08"/>
  </w:style>
  <w:style w:type="character" w:customStyle="1" w:styleId="preformatted">
    <w:name w:val="preformatted"/>
    <w:basedOn w:val="Standaardalinea-lettertype"/>
    <w:rsid w:val="002E00D5"/>
  </w:style>
  <w:style w:type="paragraph" w:styleId="Revisie">
    <w:name w:val="Revision"/>
    <w:hidden/>
    <w:uiPriority w:val="99"/>
    <w:semiHidden/>
    <w:rsid w:val="000A1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5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4754</ap:Words>
  <ap:Characters>26147</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2022-02-11T09:45:00.0000000Z</dcterms:created>
  <dcterms:modified xsi:type="dcterms:W3CDTF">2022-02-11T09:45:00.0000000Z</dcterms:modified>
  <version/>
  <category/>
</coreProperties>
</file>