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100A" w:rsidRDefault="0020100A" w14:paraId="2C0F46D0" w14:textId="7C753090">
      <w:pPr>
        <w:rPr>
          <w:rFonts w:ascii="Verdana" w:hAnsi="Verdana"/>
          <w:b/>
          <w:bCs/>
          <w:sz w:val="20"/>
        </w:rPr>
      </w:pPr>
      <w:r>
        <w:rPr>
          <w:rFonts w:ascii="Verdana" w:hAnsi="Verdana"/>
          <w:b/>
          <w:bCs/>
          <w:sz w:val="20"/>
        </w:rPr>
        <w:t xml:space="preserve">Standpunten/zorgpunten ten behoeve van het rondetafelgesprek van de </w:t>
      </w:r>
      <w:r w:rsidRPr="0020100A">
        <w:rPr>
          <w:rFonts w:ascii="Verdana" w:hAnsi="Verdana"/>
          <w:b/>
          <w:bCs/>
          <w:sz w:val="20"/>
        </w:rPr>
        <w:t>vaste commissie voor Onderwijs, Cultuur en Wetenschap van de Tweede Kamer</w:t>
      </w:r>
      <w:r w:rsidR="00C2490C">
        <w:rPr>
          <w:rFonts w:ascii="Verdana" w:hAnsi="Verdana"/>
          <w:b/>
          <w:bCs/>
          <w:sz w:val="20"/>
        </w:rPr>
        <w:t xml:space="preserve"> over de archiefwet.</w:t>
      </w:r>
    </w:p>
    <w:p w:rsidRPr="0020100A" w:rsidR="0020100A" w:rsidRDefault="005F07F8" w14:paraId="1FB8A8D8" w14:textId="5B5C6D52">
      <w:pPr>
        <w:rPr>
          <w:rFonts w:ascii="Verdana" w:hAnsi="Verdana"/>
          <w:sz w:val="20"/>
        </w:rPr>
      </w:pPr>
      <w:r>
        <w:rPr>
          <w:rFonts w:ascii="Verdana" w:hAnsi="Verdana"/>
          <w:sz w:val="20"/>
        </w:rPr>
        <w:t>De standpunten</w:t>
      </w:r>
      <w:r w:rsidR="0020100A">
        <w:rPr>
          <w:rFonts w:ascii="Verdana" w:hAnsi="Verdana"/>
          <w:sz w:val="20"/>
        </w:rPr>
        <w:t xml:space="preserve"> </w:t>
      </w:r>
      <w:r>
        <w:rPr>
          <w:rFonts w:ascii="Verdana" w:hAnsi="Verdana"/>
          <w:sz w:val="20"/>
        </w:rPr>
        <w:t>zijn</w:t>
      </w:r>
      <w:r w:rsidR="0020100A">
        <w:rPr>
          <w:rFonts w:ascii="Verdana" w:hAnsi="Verdana"/>
          <w:sz w:val="20"/>
        </w:rPr>
        <w:t xml:space="preserve"> gegroepeerd rond drie aspecten: </w:t>
      </w:r>
      <w:r w:rsidR="00DB1CC1">
        <w:rPr>
          <w:rFonts w:ascii="Verdana" w:hAnsi="Verdana"/>
          <w:sz w:val="20"/>
        </w:rPr>
        <w:t xml:space="preserve">verantwoording &amp; transparantie, openbaarheid en deskundigheid. </w:t>
      </w:r>
      <w:r w:rsidR="0020100A">
        <w:rPr>
          <w:rFonts w:ascii="Verdana" w:hAnsi="Verdana"/>
          <w:sz w:val="20"/>
        </w:rPr>
        <w:t xml:space="preserve"> </w:t>
      </w:r>
      <w:r w:rsidR="00B35174">
        <w:rPr>
          <w:rFonts w:ascii="Verdana" w:hAnsi="Verdana"/>
          <w:sz w:val="20"/>
        </w:rPr>
        <w:t>De standpunten zijn per onderdeel kort samengevat, gevolgd door e</w:t>
      </w:r>
      <w:r w:rsidR="0019688E">
        <w:rPr>
          <w:rFonts w:ascii="Verdana" w:hAnsi="Verdana"/>
          <w:sz w:val="20"/>
        </w:rPr>
        <w:t>en nadere</w:t>
      </w:r>
      <w:r w:rsidR="00B35174">
        <w:rPr>
          <w:rFonts w:ascii="Verdana" w:hAnsi="Verdana"/>
          <w:sz w:val="20"/>
        </w:rPr>
        <w:t xml:space="preserve"> toelichting. </w:t>
      </w:r>
    </w:p>
    <w:p w:rsidRPr="00C64110" w:rsidR="00570D22" w:rsidP="00C64110" w:rsidRDefault="007A0DD2" w14:paraId="264CBACF" w14:textId="754BE441">
      <w:pPr>
        <w:pStyle w:val="Lijstalinea"/>
        <w:numPr>
          <w:ilvl w:val="0"/>
          <w:numId w:val="1"/>
        </w:numPr>
        <w:rPr>
          <w:rFonts w:ascii="Verdana" w:hAnsi="Verdana"/>
          <w:b/>
          <w:bCs/>
          <w:sz w:val="20"/>
        </w:rPr>
      </w:pPr>
      <w:r w:rsidRPr="00C64110">
        <w:rPr>
          <w:rFonts w:ascii="Verdana" w:hAnsi="Verdana"/>
          <w:b/>
          <w:bCs/>
          <w:sz w:val="20"/>
        </w:rPr>
        <w:t>Voorstel van wet</w:t>
      </w:r>
      <w:r w:rsidRPr="00C64110" w:rsidR="00D279F9">
        <w:rPr>
          <w:rFonts w:ascii="Verdana" w:hAnsi="Verdana"/>
          <w:b/>
          <w:bCs/>
          <w:sz w:val="20"/>
        </w:rPr>
        <w:t xml:space="preserve"> in relatie tot v</w:t>
      </w:r>
      <w:r w:rsidRPr="00C64110" w:rsidR="0074150C">
        <w:rPr>
          <w:rFonts w:ascii="Verdana" w:hAnsi="Verdana"/>
          <w:b/>
          <w:bCs/>
          <w:sz w:val="20"/>
        </w:rPr>
        <w:t>erantwoording</w:t>
      </w:r>
      <w:r w:rsidRPr="00C64110" w:rsidR="00DB1CC1">
        <w:rPr>
          <w:rFonts w:ascii="Verdana" w:hAnsi="Verdana"/>
          <w:b/>
          <w:bCs/>
          <w:sz w:val="20"/>
        </w:rPr>
        <w:t xml:space="preserve"> &amp;</w:t>
      </w:r>
      <w:r w:rsidRPr="00C64110" w:rsidR="0074150C">
        <w:rPr>
          <w:rFonts w:ascii="Verdana" w:hAnsi="Verdana"/>
          <w:b/>
          <w:bCs/>
          <w:sz w:val="20"/>
        </w:rPr>
        <w:t xml:space="preserve"> transparantie</w:t>
      </w:r>
    </w:p>
    <w:p w:rsidR="00C64110" w:rsidP="00C64110" w:rsidRDefault="00C64110" w14:paraId="1AC7927F" w14:textId="06F1FA61">
      <w:pPr>
        <w:pStyle w:val="Lijstalinea"/>
        <w:rPr>
          <w:rFonts w:ascii="Verdana" w:hAnsi="Verdana"/>
          <w:b/>
          <w:bCs/>
          <w:sz w:val="20"/>
        </w:rPr>
      </w:pPr>
    </w:p>
    <w:p w:rsidRPr="00F95D91" w:rsidR="00A50157" w:rsidP="00C64110" w:rsidRDefault="00A50157" w14:paraId="2855E554" w14:textId="1E96FA61">
      <w:pPr>
        <w:pStyle w:val="Lijstalinea"/>
        <w:rPr>
          <w:rFonts w:ascii="Verdana" w:hAnsi="Verdana"/>
          <w:i/>
          <w:iCs/>
          <w:sz w:val="20"/>
        </w:rPr>
      </w:pPr>
      <w:r w:rsidRPr="00F95D91">
        <w:rPr>
          <w:rFonts w:ascii="Verdana" w:hAnsi="Verdana"/>
          <w:i/>
          <w:iCs/>
          <w:sz w:val="20"/>
        </w:rPr>
        <w:t>De bijdrage die het voorstel van wet lever</w:t>
      </w:r>
      <w:r w:rsidRPr="00F95D91" w:rsidR="005F07F8">
        <w:rPr>
          <w:rFonts w:ascii="Verdana" w:hAnsi="Verdana"/>
          <w:i/>
          <w:iCs/>
          <w:sz w:val="20"/>
        </w:rPr>
        <w:t>t</w:t>
      </w:r>
      <w:r w:rsidRPr="00F95D91">
        <w:rPr>
          <w:rFonts w:ascii="Verdana" w:hAnsi="Verdana"/>
          <w:i/>
          <w:iCs/>
          <w:sz w:val="20"/>
        </w:rPr>
        <w:t xml:space="preserve"> aan het </w:t>
      </w:r>
      <w:r w:rsidRPr="00F95D91" w:rsidR="005F07F8">
        <w:rPr>
          <w:rFonts w:ascii="Verdana" w:hAnsi="Verdana"/>
          <w:i/>
          <w:iCs/>
          <w:sz w:val="20"/>
        </w:rPr>
        <w:t xml:space="preserve">kunnen </w:t>
      </w:r>
      <w:r w:rsidRPr="00F95D91">
        <w:rPr>
          <w:rFonts w:ascii="Verdana" w:hAnsi="Verdana"/>
          <w:i/>
          <w:iCs/>
          <w:sz w:val="20"/>
        </w:rPr>
        <w:t xml:space="preserve">verantwoorden van het handelen van de overheid </w:t>
      </w:r>
      <w:r w:rsidRPr="00F95D91" w:rsidR="003949EA">
        <w:rPr>
          <w:rFonts w:ascii="Verdana" w:hAnsi="Verdana"/>
          <w:i/>
          <w:iCs/>
          <w:sz w:val="20"/>
        </w:rPr>
        <w:t>tegenover</w:t>
      </w:r>
      <w:r w:rsidRPr="00F95D91">
        <w:rPr>
          <w:rFonts w:ascii="Verdana" w:hAnsi="Verdana"/>
          <w:i/>
          <w:iCs/>
          <w:sz w:val="20"/>
        </w:rPr>
        <w:t xml:space="preserve"> burgers en volksvertegenwoordigers blijft beperkt indien de relatie tussen handelen–documenteren–archiveren </w:t>
      </w:r>
      <w:r w:rsidRPr="00F95D91" w:rsidR="005F07F8">
        <w:rPr>
          <w:rFonts w:ascii="Verdana" w:hAnsi="Verdana"/>
          <w:i/>
          <w:iCs/>
          <w:sz w:val="20"/>
        </w:rPr>
        <w:t>n</w:t>
      </w:r>
      <w:r w:rsidRPr="00F95D91">
        <w:rPr>
          <w:rFonts w:ascii="Verdana" w:hAnsi="Verdana"/>
          <w:i/>
          <w:iCs/>
          <w:sz w:val="20"/>
        </w:rPr>
        <w:t>iet wordt versterkt.</w:t>
      </w:r>
    </w:p>
    <w:p w:rsidRPr="00F95D91" w:rsidR="00A50157" w:rsidP="00C64110" w:rsidRDefault="00A50157" w14:paraId="25B72891" w14:textId="77777777">
      <w:pPr>
        <w:pStyle w:val="Lijstalinea"/>
        <w:rPr>
          <w:rFonts w:ascii="Verdana" w:hAnsi="Verdana"/>
          <w:i/>
          <w:iCs/>
          <w:sz w:val="20"/>
        </w:rPr>
      </w:pPr>
    </w:p>
    <w:p w:rsidRPr="00F95D91" w:rsidR="00C64110" w:rsidP="00C64110" w:rsidRDefault="00C64110" w14:paraId="0C1F0E45" w14:textId="4DE311E2">
      <w:pPr>
        <w:pStyle w:val="Lijstalinea"/>
        <w:rPr>
          <w:rFonts w:ascii="Verdana" w:hAnsi="Verdana"/>
          <w:i/>
          <w:iCs/>
          <w:sz w:val="20"/>
        </w:rPr>
      </w:pPr>
      <w:r w:rsidRPr="00F95D91">
        <w:rPr>
          <w:rFonts w:ascii="Verdana" w:hAnsi="Verdana"/>
          <w:i/>
          <w:iCs/>
          <w:sz w:val="20"/>
        </w:rPr>
        <w:t xml:space="preserve">De bijdrage die het voorstel van wet </w:t>
      </w:r>
      <w:r w:rsidRPr="00F95D91" w:rsidR="00A50157">
        <w:rPr>
          <w:rFonts w:ascii="Verdana" w:hAnsi="Verdana"/>
          <w:i/>
          <w:iCs/>
          <w:sz w:val="20"/>
        </w:rPr>
        <w:t xml:space="preserve">kan </w:t>
      </w:r>
      <w:r w:rsidRPr="00F95D91">
        <w:rPr>
          <w:rFonts w:ascii="Verdana" w:hAnsi="Verdana"/>
          <w:i/>
          <w:iCs/>
          <w:sz w:val="20"/>
        </w:rPr>
        <w:t>lever</w:t>
      </w:r>
      <w:r w:rsidRPr="00F95D91" w:rsidR="00A50157">
        <w:rPr>
          <w:rFonts w:ascii="Verdana" w:hAnsi="Verdana"/>
          <w:i/>
          <w:iCs/>
          <w:sz w:val="20"/>
        </w:rPr>
        <w:t>en</w:t>
      </w:r>
      <w:r w:rsidRPr="00F95D91">
        <w:rPr>
          <w:rFonts w:ascii="Verdana" w:hAnsi="Verdana"/>
          <w:i/>
          <w:iCs/>
          <w:sz w:val="20"/>
        </w:rPr>
        <w:t xml:space="preserve"> aan het verbeteren van de informatiehuishouding van de overheid z</w:t>
      </w:r>
      <w:r w:rsidRPr="00F95D91" w:rsidR="006932E5">
        <w:rPr>
          <w:rFonts w:ascii="Verdana" w:hAnsi="Verdana"/>
          <w:i/>
          <w:iCs/>
          <w:sz w:val="20"/>
        </w:rPr>
        <w:t>al</w:t>
      </w:r>
      <w:r w:rsidRPr="00F95D91" w:rsidR="0019688E">
        <w:rPr>
          <w:rFonts w:ascii="Verdana" w:hAnsi="Verdana"/>
          <w:i/>
          <w:iCs/>
          <w:sz w:val="20"/>
        </w:rPr>
        <w:t xml:space="preserve"> grotere kans van slagen hebben</w:t>
      </w:r>
      <w:r w:rsidRPr="00F95D91">
        <w:rPr>
          <w:rFonts w:ascii="Verdana" w:hAnsi="Verdana"/>
          <w:i/>
          <w:iCs/>
          <w:sz w:val="20"/>
        </w:rPr>
        <w:t xml:space="preserve"> </w:t>
      </w:r>
      <w:r w:rsidRPr="00F95D91" w:rsidR="005F07F8">
        <w:rPr>
          <w:rFonts w:ascii="Verdana" w:hAnsi="Verdana"/>
          <w:i/>
          <w:iCs/>
          <w:sz w:val="20"/>
        </w:rPr>
        <w:t>als</w:t>
      </w:r>
      <w:r w:rsidRPr="00F95D91">
        <w:rPr>
          <w:rFonts w:ascii="Verdana" w:hAnsi="Verdana"/>
          <w:i/>
          <w:iCs/>
          <w:sz w:val="20"/>
        </w:rPr>
        <w:t xml:space="preserve"> de wet een gezamenlijke verantwoordelijkheid </w:t>
      </w:r>
      <w:r w:rsidRPr="00F95D91" w:rsidR="00A50157">
        <w:rPr>
          <w:rFonts w:ascii="Verdana" w:hAnsi="Verdana"/>
          <w:i/>
          <w:iCs/>
          <w:sz w:val="20"/>
        </w:rPr>
        <w:t>is</w:t>
      </w:r>
      <w:r w:rsidRPr="00F95D91">
        <w:rPr>
          <w:rFonts w:ascii="Verdana" w:hAnsi="Verdana"/>
          <w:i/>
          <w:iCs/>
          <w:sz w:val="20"/>
        </w:rPr>
        <w:t xml:space="preserve"> van BZK en OCW</w:t>
      </w:r>
      <w:r w:rsidRPr="00F95D91" w:rsidR="00A50157">
        <w:rPr>
          <w:rFonts w:ascii="Verdana" w:hAnsi="Verdana"/>
          <w:i/>
          <w:iCs/>
          <w:sz w:val="20"/>
        </w:rPr>
        <w:t>.</w:t>
      </w:r>
      <w:r w:rsidRPr="00F95D91">
        <w:rPr>
          <w:rFonts w:ascii="Verdana" w:hAnsi="Verdana"/>
          <w:i/>
          <w:iCs/>
          <w:sz w:val="20"/>
        </w:rPr>
        <w:t xml:space="preserve"> </w:t>
      </w:r>
    </w:p>
    <w:p w:rsidRPr="00F95D91" w:rsidR="00A50157" w:rsidP="00C64110" w:rsidRDefault="00A50157" w14:paraId="07F36BF3" w14:textId="1B6D8BF7">
      <w:pPr>
        <w:pStyle w:val="Lijstalinea"/>
        <w:rPr>
          <w:rFonts w:ascii="Verdana" w:hAnsi="Verdana"/>
          <w:i/>
          <w:iCs/>
          <w:sz w:val="20"/>
        </w:rPr>
      </w:pPr>
    </w:p>
    <w:p w:rsidRPr="00F95D91" w:rsidR="00B35174" w:rsidP="00C64110" w:rsidRDefault="008267FD" w14:paraId="549F396D" w14:textId="5E98B219">
      <w:pPr>
        <w:pStyle w:val="Lijstalinea"/>
        <w:rPr>
          <w:rFonts w:ascii="Verdana" w:hAnsi="Verdana"/>
          <w:i/>
          <w:iCs/>
          <w:sz w:val="20"/>
        </w:rPr>
      </w:pPr>
      <w:r w:rsidRPr="00F95D91">
        <w:rPr>
          <w:rFonts w:ascii="Verdana" w:hAnsi="Verdana"/>
          <w:i/>
          <w:iCs/>
          <w:sz w:val="20"/>
        </w:rPr>
        <w:t xml:space="preserve">Dat de burger in het voorstel van wet niet langer de mogelijkheid krijgt om in de </w:t>
      </w:r>
      <w:r w:rsidRPr="00F95D91" w:rsidR="00B35174">
        <w:rPr>
          <w:rFonts w:ascii="Verdana" w:hAnsi="Verdana"/>
          <w:i/>
          <w:iCs/>
          <w:sz w:val="20"/>
        </w:rPr>
        <w:t>voorbereidingsprocedure van selectiebesluiten</w:t>
      </w:r>
      <w:r w:rsidRPr="00F95D91">
        <w:rPr>
          <w:rFonts w:ascii="Verdana" w:hAnsi="Verdana"/>
          <w:i/>
          <w:iCs/>
          <w:sz w:val="20"/>
        </w:rPr>
        <w:t xml:space="preserve"> zienswijzen in te dienen vormt een inperking </w:t>
      </w:r>
      <w:r w:rsidRPr="00F95D91" w:rsidR="00197287">
        <w:rPr>
          <w:rFonts w:ascii="Verdana" w:hAnsi="Verdana"/>
          <w:i/>
          <w:iCs/>
          <w:sz w:val="20"/>
        </w:rPr>
        <w:t>van diens betrokkenheid en mogelijke invloed.</w:t>
      </w:r>
    </w:p>
    <w:p w:rsidRPr="00C64110" w:rsidR="00A50157" w:rsidP="00C64110" w:rsidRDefault="00A50157" w14:paraId="1151A3FF" w14:textId="43DA1996">
      <w:pPr>
        <w:pStyle w:val="Lijstalinea"/>
        <w:rPr>
          <w:rFonts w:ascii="Verdana" w:hAnsi="Verdana"/>
          <w:sz w:val="20"/>
        </w:rPr>
      </w:pPr>
    </w:p>
    <w:p w:rsidR="00BE715C" w:rsidP="00BE715C" w:rsidRDefault="00BE715C" w14:paraId="49F08F4B" w14:textId="21F45A40">
      <w:pPr>
        <w:rPr>
          <w:rFonts w:ascii="Verdana" w:hAnsi="Verdana"/>
          <w:sz w:val="20"/>
        </w:rPr>
      </w:pPr>
      <w:r>
        <w:rPr>
          <w:rFonts w:ascii="Verdana" w:hAnsi="Verdana"/>
          <w:sz w:val="20"/>
        </w:rPr>
        <w:t xml:space="preserve">De Archiefwet schept “de voorwaarden dat de overheid zich </w:t>
      </w:r>
      <w:r w:rsidRPr="00914E21">
        <w:rPr>
          <w:rFonts w:ascii="Verdana" w:hAnsi="Verdana"/>
          <w:sz w:val="20"/>
        </w:rPr>
        <w:t>tegenover burgers en het parlement kan verantwoorden over haar handelen</w:t>
      </w:r>
      <w:r>
        <w:rPr>
          <w:rFonts w:ascii="Verdana" w:hAnsi="Verdana"/>
          <w:sz w:val="20"/>
        </w:rPr>
        <w:t>” (</w:t>
      </w:r>
      <w:proofErr w:type="spellStart"/>
      <w:r>
        <w:rPr>
          <w:rFonts w:ascii="Verdana" w:hAnsi="Verdana"/>
          <w:sz w:val="20"/>
        </w:rPr>
        <w:t>MvT</w:t>
      </w:r>
      <w:proofErr w:type="spellEnd"/>
      <w:r>
        <w:rPr>
          <w:rFonts w:ascii="Verdana" w:hAnsi="Verdana"/>
          <w:sz w:val="20"/>
        </w:rPr>
        <w:t xml:space="preserve"> p. 6). De Archiefwet biedt echter geen waarborgen dat het handelen van de overheid wordt vastgelegd </w:t>
      </w:r>
      <w:r w:rsidRPr="00E47003" w:rsidR="00E47003">
        <w:rPr>
          <w:rFonts w:ascii="Verdana" w:hAnsi="Verdana"/>
          <w:i/>
          <w:iCs/>
          <w:sz w:val="20"/>
        </w:rPr>
        <w:t>op</w:t>
      </w:r>
      <w:r w:rsidRPr="00E47003">
        <w:rPr>
          <w:rFonts w:ascii="Verdana" w:hAnsi="Verdana"/>
          <w:i/>
          <w:iCs/>
          <w:sz w:val="20"/>
        </w:rPr>
        <w:t xml:space="preserve">dat </w:t>
      </w:r>
      <w:r>
        <w:rPr>
          <w:rFonts w:ascii="Verdana" w:hAnsi="Verdana"/>
          <w:sz w:val="20"/>
        </w:rPr>
        <w:t>archieven worden gevormd waarmee de overheid zich kan verantwoorden.</w:t>
      </w:r>
      <w:r w:rsidRPr="00914E21">
        <w:rPr>
          <w:rFonts w:ascii="Verdana" w:hAnsi="Verdana"/>
          <w:sz w:val="20"/>
        </w:rPr>
        <w:t xml:space="preserve"> </w:t>
      </w:r>
      <w:r>
        <w:rPr>
          <w:rFonts w:ascii="Verdana" w:hAnsi="Verdana"/>
          <w:sz w:val="20"/>
        </w:rPr>
        <w:t>De Archiefwet blijft daarmee te veel een wet die zich richt op het beheren van wat vastgelegd is in documenten</w:t>
      </w:r>
      <w:r w:rsidR="0062776A">
        <w:rPr>
          <w:rFonts w:ascii="Verdana" w:hAnsi="Verdana"/>
          <w:sz w:val="20"/>
        </w:rPr>
        <w:t>.</w:t>
      </w:r>
      <w:r>
        <w:rPr>
          <w:rFonts w:ascii="Verdana" w:hAnsi="Verdana"/>
          <w:sz w:val="20"/>
        </w:rPr>
        <w:t xml:space="preserve"> </w:t>
      </w:r>
      <w:r w:rsidR="0062776A">
        <w:rPr>
          <w:rFonts w:ascii="Verdana" w:hAnsi="Verdana"/>
          <w:sz w:val="20"/>
        </w:rPr>
        <w:t>D</w:t>
      </w:r>
      <w:r>
        <w:rPr>
          <w:rFonts w:ascii="Verdana" w:hAnsi="Verdana"/>
          <w:sz w:val="20"/>
        </w:rPr>
        <w:t xml:space="preserve">e </w:t>
      </w:r>
      <w:r w:rsidR="0062776A">
        <w:rPr>
          <w:rFonts w:ascii="Verdana" w:hAnsi="Verdana"/>
          <w:sz w:val="20"/>
        </w:rPr>
        <w:t>betekenis van</w:t>
      </w:r>
      <w:r>
        <w:rPr>
          <w:rFonts w:ascii="Verdana" w:hAnsi="Verdana"/>
          <w:sz w:val="20"/>
        </w:rPr>
        <w:t xml:space="preserve"> </w:t>
      </w:r>
      <w:r w:rsidR="0062776A">
        <w:rPr>
          <w:rFonts w:ascii="Verdana" w:hAnsi="Verdana"/>
          <w:sz w:val="20"/>
        </w:rPr>
        <w:t>deze wet om zich kunnen verantwoorden is daarmee beperkt (zie ook bevindingen van de Parlementaire Ondervragingscommissie Kinderopvangtoeslag).</w:t>
      </w:r>
    </w:p>
    <w:p w:rsidR="00BE715C" w:rsidP="00BE715C" w:rsidRDefault="00BE715C" w14:paraId="2CB61AB9" w14:textId="1828F19C">
      <w:pPr>
        <w:rPr>
          <w:rFonts w:ascii="Verdana" w:hAnsi="Verdana"/>
          <w:sz w:val="20"/>
        </w:rPr>
      </w:pPr>
      <w:r>
        <w:rPr>
          <w:rFonts w:ascii="Verdana" w:hAnsi="Verdana"/>
          <w:sz w:val="20"/>
        </w:rPr>
        <w:t xml:space="preserve">Dit raakt ook aan de opmerkingen van de Raad van State gemaakt ten aanzien van algoritmes (Nader rapport, p. 12/13). Het roept </w:t>
      </w:r>
      <w:r w:rsidR="007A0DD2">
        <w:rPr>
          <w:rFonts w:ascii="Verdana" w:hAnsi="Verdana"/>
          <w:sz w:val="20"/>
        </w:rPr>
        <w:t xml:space="preserve">tenminste </w:t>
      </w:r>
      <w:r>
        <w:rPr>
          <w:rFonts w:ascii="Verdana" w:hAnsi="Verdana"/>
          <w:sz w:val="20"/>
        </w:rPr>
        <w:t xml:space="preserve">de vraag op of in zulke complexe data- en informatieverwerkingen niet veel duidelijker de relatie gelegd dient te worden tussen wat vastgelegd/gedocumenteerd moet worden </w:t>
      </w:r>
      <w:r w:rsidRPr="006B0848">
        <w:rPr>
          <w:rFonts w:ascii="Verdana" w:hAnsi="Verdana"/>
          <w:i/>
          <w:iCs/>
          <w:sz w:val="20"/>
        </w:rPr>
        <w:t>opdat</w:t>
      </w:r>
      <w:r>
        <w:rPr>
          <w:rFonts w:ascii="Verdana" w:hAnsi="Verdana"/>
          <w:sz w:val="20"/>
        </w:rPr>
        <w:t xml:space="preserve"> het handelen verantwoord kan worden. </w:t>
      </w:r>
      <w:r w:rsidR="00E47003">
        <w:rPr>
          <w:rFonts w:ascii="Verdana" w:hAnsi="Verdana"/>
          <w:sz w:val="20"/>
        </w:rPr>
        <w:t xml:space="preserve">Handelen, documenteren en archiveren dienen onlosmakelijk met elkaar verbonden te zijn </w:t>
      </w:r>
      <w:r w:rsidR="00E41954">
        <w:rPr>
          <w:rFonts w:ascii="Verdana" w:hAnsi="Verdana"/>
          <w:sz w:val="20"/>
        </w:rPr>
        <w:t xml:space="preserve">indien de wet voorwaarden wil scheppen voor het zich kunnen verantwoorden jegens burgers en volksvertegenwoordigers. </w:t>
      </w:r>
      <w:r w:rsidR="00E47003">
        <w:rPr>
          <w:rFonts w:ascii="Verdana" w:hAnsi="Verdana"/>
          <w:sz w:val="20"/>
        </w:rPr>
        <w:t xml:space="preserve"> </w:t>
      </w:r>
      <w:r>
        <w:rPr>
          <w:rFonts w:ascii="Verdana" w:hAnsi="Verdana"/>
          <w:sz w:val="20"/>
        </w:rPr>
        <w:t xml:space="preserve"> </w:t>
      </w:r>
    </w:p>
    <w:p w:rsidR="007C5FA7" w:rsidP="007C5FA7" w:rsidRDefault="00BE715C" w14:paraId="36C07D62" w14:textId="544BF40F">
      <w:pPr>
        <w:rPr>
          <w:rFonts w:ascii="Verdana" w:hAnsi="Verdana"/>
          <w:sz w:val="20"/>
        </w:rPr>
      </w:pPr>
      <w:r>
        <w:rPr>
          <w:rFonts w:ascii="Verdana" w:hAnsi="Verdana"/>
          <w:sz w:val="20"/>
        </w:rPr>
        <w:t xml:space="preserve">In de MvT (p. 4/5 en p 51) wordt </w:t>
      </w:r>
      <w:r w:rsidR="007C5FA7">
        <w:rPr>
          <w:rFonts w:ascii="Verdana" w:hAnsi="Verdana"/>
          <w:sz w:val="20"/>
        </w:rPr>
        <w:t xml:space="preserve">ook gesteld dat </w:t>
      </w:r>
      <w:r>
        <w:rPr>
          <w:rFonts w:ascii="Verdana" w:hAnsi="Verdana"/>
          <w:sz w:val="20"/>
        </w:rPr>
        <w:t>de</w:t>
      </w:r>
      <w:r w:rsidRPr="00B05F2F" w:rsidR="007C5FA7">
        <w:rPr>
          <w:rFonts w:ascii="Verdana" w:hAnsi="Verdana"/>
          <w:sz w:val="20"/>
        </w:rPr>
        <w:t xml:space="preserve"> regering verwacht “dat het huidige wetsvoorstel een bijdrage zal leveren aan de noodzakelijke verbetering van de informatiehuishouding van de rijksoverheid.”</w:t>
      </w:r>
      <w:r w:rsidR="007C5FA7">
        <w:rPr>
          <w:rFonts w:ascii="Verdana" w:hAnsi="Verdana"/>
          <w:sz w:val="20"/>
        </w:rPr>
        <w:t xml:space="preserve"> </w:t>
      </w:r>
      <w:r w:rsidRPr="00B05F2F" w:rsidR="007C5FA7">
        <w:rPr>
          <w:rFonts w:ascii="Verdana" w:hAnsi="Verdana"/>
          <w:sz w:val="20"/>
        </w:rPr>
        <w:t>(MvT p. 4)</w:t>
      </w:r>
      <w:r w:rsidR="007C5FA7">
        <w:rPr>
          <w:rFonts w:ascii="Verdana" w:hAnsi="Verdana"/>
          <w:sz w:val="20"/>
        </w:rPr>
        <w:t>.</w:t>
      </w:r>
      <w:r w:rsidRPr="00B05F2F" w:rsidR="007C5FA7">
        <w:rPr>
          <w:rFonts w:ascii="Verdana" w:hAnsi="Verdana"/>
          <w:sz w:val="20"/>
        </w:rPr>
        <w:t xml:space="preserve"> </w:t>
      </w:r>
      <w:r w:rsidR="007C5FA7">
        <w:rPr>
          <w:rFonts w:ascii="Verdana" w:hAnsi="Verdana"/>
          <w:sz w:val="20"/>
        </w:rPr>
        <w:t xml:space="preserve">Tegelijkertijd wordt gesteld dat </w:t>
      </w:r>
      <w:r w:rsidRPr="00B05F2F" w:rsidR="007C5FA7">
        <w:rPr>
          <w:rFonts w:ascii="Verdana" w:hAnsi="Verdana"/>
          <w:sz w:val="20"/>
        </w:rPr>
        <w:t>“</w:t>
      </w:r>
      <w:r w:rsidR="007C5FA7">
        <w:rPr>
          <w:rFonts w:ascii="Verdana" w:hAnsi="Verdana"/>
          <w:sz w:val="20"/>
        </w:rPr>
        <w:t>[d]</w:t>
      </w:r>
      <w:r w:rsidRPr="00B05F2F" w:rsidR="007C5FA7">
        <w:rPr>
          <w:rFonts w:ascii="Verdana" w:hAnsi="Verdana"/>
          <w:sz w:val="20"/>
        </w:rPr>
        <w:t>e mate waarin dit kans van slagen heeft, hangt niet alleen af van de herziene onderdelen en toelichting, maar ook van de implementatie en uitvoering tot en met het toezicht op de naleving.”</w:t>
      </w:r>
      <w:r w:rsidR="007C5FA7">
        <w:rPr>
          <w:rFonts w:ascii="Verdana" w:hAnsi="Verdana"/>
          <w:sz w:val="20"/>
        </w:rPr>
        <w:t xml:space="preserve"> Juist vanwege deze terechte opmerking is het </w:t>
      </w:r>
      <w:r w:rsidR="00C150A6">
        <w:rPr>
          <w:rFonts w:ascii="Verdana" w:hAnsi="Verdana"/>
          <w:sz w:val="20"/>
        </w:rPr>
        <w:t xml:space="preserve">des te opmerkelijker </w:t>
      </w:r>
      <w:r w:rsidR="007C5FA7">
        <w:rPr>
          <w:rFonts w:ascii="Verdana" w:hAnsi="Verdana"/>
          <w:sz w:val="20"/>
        </w:rPr>
        <w:t xml:space="preserve">dat het wetsvoorstel </w:t>
      </w:r>
      <w:r w:rsidR="00C150A6">
        <w:rPr>
          <w:rFonts w:ascii="Verdana" w:hAnsi="Verdana"/>
          <w:sz w:val="20"/>
        </w:rPr>
        <w:t>niet mede door de minister van BZK wordt ingediend.</w:t>
      </w:r>
      <w:r w:rsidRPr="00B05F2F" w:rsidR="007C5FA7">
        <w:rPr>
          <w:rFonts w:ascii="Verdana" w:hAnsi="Verdana"/>
          <w:sz w:val="20"/>
        </w:rPr>
        <w:t xml:space="preserve"> </w:t>
      </w:r>
      <w:r w:rsidR="00C150A6">
        <w:rPr>
          <w:rFonts w:ascii="Verdana" w:hAnsi="Verdana"/>
          <w:sz w:val="20"/>
        </w:rPr>
        <w:t>D</w:t>
      </w:r>
      <w:r w:rsidRPr="00B05F2F" w:rsidR="007C5FA7">
        <w:rPr>
          <w:rFonts w:ascii="Verdana" w:hAnsi="Verdana"/>
          <w:sz w:val="20"/>
        </w:rPr>
        <w:t xml:space="preserve">e verantwoordelijkheid van de Minister van OCW </w:t>
      </w:r>
      <w:r w:rsidR="00C150A6">
        <w:rPr>
          <w:rFonts w:ascii="Verdana" w:hAnsi="Verdana"/>
          <w:sz w:val="20"/>
        </w:rPr>
        <w:t xml:space="preserve">strekt zich immers </w:t>
      </w:r>
      <w:r w:rsidRPr="00B05F2F" w:rsidR="007C5FA7">
        <w:rPr>
          <w:rFonts w:ascii="Verdana" w:hAnsi="Verdana"/>
          <w:sz w:val="20"/>
        </w:rPr>
        <w:t>niet uit tot alle aspecten van het archiefbeleid.</w:t>
      </w:r>
      <w:r w:rsidR="007A0DD2">
        <w:rPr>
          <w:rFonts w:ascii="Verdana" w:hAnsi="Verdana"/>
          <w:sz w:val="20"/>
        </w:rPr>
        <w:t xml:space="preserve"> </w:t>
      </w:r>
      <w:r w:rsidRPr="00B05F2F" w:rsidR="007C5FA7">
        <w:rPr>
          <w:rFonts w:ascii="Verdana" w:hAnsi="Verdana"/>
          <w:sz w:val="20"/>
        </w:rPr>
        <w:t>(</w:t>
      </w:r>
      <w:proofErr w:type="spellStart"/>
      <w:r w:rsidRPr="00B05F2F" w:rsidR="007C5FA7">
        <w:rPr>
          <w:rFonts w:ascii="Verdana" w:hAnsi="Verdana"/>
          <w:sz w:val="20"/>
        </w:rPr>
        <w:t>MvT</w:t>
      </w:r>
      <w:proofErr w:type="spellEnd"/>
      <w:r w:rsidRPr="00B05F2F" w:rsidR="007C5FA7">
        <w:rPr>
          <w:rFonts w:ascii="Verdana" w:hAnsi="Verdana"/>
          <w:sz w:val="20"/>
        </w:rPr>
        <w:t>, p. 8)</w:t>
      </w:r>
      <w:r w:rsidR="007C5FA7">
        <w:rPr>
          <w:rFonts w:ascii="Verdana" w:hAnsi="Verdana"/>
          <w:sz w:val="20"/>
        </w:rPr>
        <w:t>.</w:t>
      </w:r>
      <w:r w:rsidRPr="00B05F2F" w:rsidR="007C5FA7">
        <w:rPr>
          <w:rFonts w:ascii="Verdana" w:hAnsi="Verdana"/>
          <w:sz w:val="20"/>
        </w:rPr>
        <w:t xml:space="preserve"> </w:t>
      </w:r>
      <w:r w:rsidR="000D6D7D">
        <w:rPr>
          <w:rFonts w:ascii="Verdana" w:hAnsi="Verdana"/>
          <w:sz w:val="20"/>
        </w:rPr>
        <w:t>Daar</w:t>
      </w:r>
      <w:r w:rsidR="0055112A">
        <w:rPr>
          <w:rFonts w:ascii="Verdana" w:hAnsi="Verdana"/>
          <w:sz w:val="20"/>
        </w:rPr>
        <w:t>bij</w:t>
      </w:r>
      <w:r w:rsidR="000D6D7D">
        <w:rPr>
          <w:rFonts w:ascii="Verdana" w:hAnsi="Verdana"/>
          <w:sz w:val="20"/>
        </w:rPr>
        <w:t xml:space="preserve"> is</w:t>
      </w:r>
      <w:r w:rsidR="0055112A">
        <w:rPr>
          <w:rFonts w:ascii="Verdana" w:hAnsi="Verdana"/>
          <w:sz w:val="20"/>
        </w:rPr>
        <w:t xml:space="preserve"> en blijft</w:t>
      </w:r>
      <w:r w:rsidR="000D6D7D">
        <w:rPr>
          <w:rFonts w:ascii="Verdana" w:hAnsi="Verdana"/>
          <w:sz w:val="20"/>
        </w:rPr>
        <w:t xml:space="preserve"> het toezicht op </w:t>
      </w:r>
      <w:r w:rsidR="0055112A">
        <w:rPr>
          <w:rFonts w:ascii="Verdana" w:hAnsi="Verdana"/>
          <w:sz w:val="20"/>
        </w:rPr>
        <w:t>de</w:t>
      </w:r>
      <w:r w:rsidR="00E41954">
        <w:rPr>
          <w:rFonts w:ascii="Verdana" w:hAnsi="Verdana"/>
          <w:sz w:val="20"/>
        </w:rPr>
        <w:t xml:space="preserve"> </w:t>
      </w:r>
      <w:r w:rsidR="0055112A">
        <w:rPr>
          <w:rFonts w:ascii="Verdana" w:hAnsi="Verdana"/>
          <w:sz w:val="20"/>
        </w:rPr>
        <w:t>kwaliteit van archivering</w:t>
      </w:r>
      <w:r w:rsidR="000D6D7D">
        <w:rPr>
          <w:rFonts w:ascii="Verdana" w:hAnsi="Verdana"/>
          <w:sz w:val="20"/>
        </w:rPr>
        <w:t xml:space="preserve"> </w:t>
      </w:r>
      <w:r w:rsidR="0055112A">
        <w:rPr>
          <w:rFonts w:ascii="Verdana" w:hAnsi="Verdana"/>
          <w:sz w:val="20"/>
        </w:rPr>
        <w:t xml:space="preserve">in relatie tot </w:t>
      </w:r>
      <w:r w:rsidR="000D6D7D">
        <w:rPr>
          <w:rFonts w:ascii="Verdana" w:hAnsi="Verdana"/>
          <w:sz w:val="20"/>
        </w:rPr>
        <w:t>de informatiehuishouding van de overheid</w:t>
      </w:r>
      <w:r w:rsidR="0055112A">
        <w:rPr>
          <w:rFonts w:ascii="Verdana" w:hAnsi="Verdana"/>
          <w:sz w:val="20"/>
        </w:rPr>
        <w:t xml:space="preserve"> </w:t>
      </w:r>
      <w:r w:rsidR="000D6D7D">
        <w:rPr>
          <w:rFonts w:ascii="Verdana" w:hAnsi="Verdana"/>
          <w:sz w:val="20"/>
        </w:rPr>
        <w:t xml:space="preserve">een versnipperde </w:t>
      </w:r>
      <w:r w:rsidR="0055112A">
        <w:rPr>
          <w:rFonts w:ascii="Verdana" w:hAnsi="Verdana"/>
          <w:sz w:val="20"/>
        </w:rPr>
        <w:t xml:space="preserve">en tandeloze </w:t>
      </w:r>
      <w:r w:rsidR="000D6D7D">
        <w:rPr>
          <w:rFonts w:ascii="Verdana" w:hAnsi="Verdana"/>
          <w:sz w:val="20"/>
        </w:rPr>
        <w:t>aangelegenheid</w:t>
      </w:r>
      <w:r w:rsidR="0055112A">
        <w:rPr>
          <w:rFonts w:ascii="Verdana" w:hAnsi="Verdana"/>
          <w:sz w:val="20"/>
        </w:rPr>
        <w:t>.</w:t>
      </w:r>
    </w:p>
    <w:p w:rsidR="00BE715C" w:rsidP="00BE715C" w:rsidRDefault="00FC23D9" w14:paraId="77DAC47F" w14:textId="72138B5F">
      <w:pPr>
        <w:rPr>
          <w:rFonts w:ascii="Verdana" w:hAnsi="Verdana"/>
          <w:sz w:val="20"/>
        </w:rPr>
      </w:pPr>
      <w:r>
        <w:rPr>
          <w:rFonts w:ascii="Verdana" w:hAnsi="Verdana"/>
          <w:sz w:val="20"/>
        </w:rPr>
        <w:t xml:space="preserve">Opvallend is ook dat in de bijdrage die de </w:t>
      </w:r>
      <w:r w:rsidR="00BE715C">
        <w:rPr>
          <w:rFonts w:ascii="Verdana" w:hAnsi="Verdana"/>
          <w:sz w:val="20"/>
        </w:rPr>
        <w:t xml:space="preserve">Archiefwet </w:t>
      </w:r>
      <w:r>
        <w:rPr>
          <w:rFonts w:ascii="Verdana" w:hAnsi="Verdana"/>
          <w:sz w:val="20"/>
        </w:rPr>
        <w:t xml:space="preserve">kan leveren </w:t>
      </w:r>
      <w:r w:rsidR="00BE715C">
        <w:rPr>
          <w:rFonts w:ascii="Verdana" w:hAnsi="Verdana"/>
          <w:sz w:val="20"/>
        </w:rPr>
        <w:t xml:space="preserve">aan de kwaliteit van de informatiehuishouding </w:t>
      </w:r>
      <w:r w:rsidR="007A0DD2">
        <w:rPr>
          <w:rFonts w:ascii="Verdana" w:hAnsi="Verdana"/>
          <w:sz w:val="20"/>
        </w:rPr>
        <w:t xml:space="preserve">voornamelijk naar de informatiehuishouding van de rijksoverheid </w:t>
      </w:r>
      <w:r w:rsidR="007A0DD2">
        <w:rPr>
          <w:rFonts w:ascii="Verdana" w:hAnsi="Verdana"/>
          <w:sz w:val="20"/>
        </w:rPr>
        <w:lastRenderedPageBreak/>
        <w:t>wordt gekeken</w:t>
      </w:r>
      <w:r w:rsidR="00BE715C">
        <w:rPr>
          <w:rFonts w:ascii="Verdana" w:hAnsi="Verdana"/>
          <w:sz w:val="20"/>
        </w:rPr>
        <w:t>. H</w:t>
      </w:r>
      <w:r w:rsidR="007A0DD2">
        <w:rPr>
          <w:rFonts w:ascii="Verdana" w:hAnsi="Verdana"/>
          <w:sz w:val="20"/>
        </w:rPr>
        <w:t>et is geen</w:t>
      </w:r>
      <w:r w:rsidR="00BE715C">
        <w:rPr>
          <w:rFonts w:ascii="Verdana" w:hAnsi="Verdana"/>
          <w:sz w:val="20"/>
        </w:rPr>
        <w:t xml:space="preserve"> vraagstuk dat zich beperkt tot de rijksoverheid</w:t>
      </w:r>
      <w:r w:rsidR="007A0DD2">
        <w:rPr>
          <w:rFonts w:ascii="Verdana" w:hAnsi="Verdana"/>
          <w:sz w:val="20"/>
        </w:rPr>
        <w:t xml:space="preserve"> en de </w:t>
      </w:r>
      <w:r w:rsidR="00BE715C">
        <w:rPr>
          <w:rFonts w:ascii="Verdana" w:hAnsi="Verdana"/>
          <w:sz w:val="20"/>
        </w:rPr>
        <w:t xml:space="preserve">Archiefwet is geen wet die zich beperkt tot de rijksoverheid.  </w:t>
      </w:r>
    </w:p>
    <w:p w:rsidR="005F19F3" w:rsidRDefault="005106B2" w14:paraId="6A1A948D" w14:textId="01D5DDD2">
      <w:pPr>
        <w:rPr>
          <w:rFonts w:ascii="Verdana" w:hAnsi="Verdana"/>
          <w:sz w:val="20"/>
        </w:rPr>
      </w:pPr>
      <w:r>
        <w:rPr>
          <w:rFonts w:ascii="Verdana" w:hAnsi="Verdana"/>
          <w:i/>
          <w:iCs/>
          <w:sz w:val="20"/>
        </w:rPr>
        <w:t>Met betrekking tot s</w:t>
      </w:r>
      <w:r w:rsidR="00F310F7">
        <w:rPr>
          <w:rFonts w:ascii="Verdana" w:hAnsi="Verdana"/>
          <w:i/>
          <w:iCs/>
          <w:sz w:val="20"/>
        </w:rPr>
        <w:t xml:space="preserve">electiebesluiten: </w:t>
      </w:r>
      <w:r w:rsidRPr="00B05F2F" w:rsidR="00F310F7">
        <w:rPr>
          <w:rFonts w:ascii="Verdana" w:hAnsi="Verdana"/>
          <w:sz w:val="20"/>
        </w:rPr>
        <w:t xml:space="preserve">Het voornemen is “om in het nieuwe Archiefbesluit de toepassing van de uniforme openbare voorbereidingsprocedure </w:t>
      </w:r>
      <w:r w:rsidR="00F310F7">
        <w:rPr>
          <w:rFonts w:ascii="Verdana" w:hAnsi="Verdana"/>
          <w:sz w:val="20"/>
        </w:rPr>
        <w:t xml:space="preserve">ten aanzien selectiebesluiten </w:t>
      </w:r>
      <w:r w:rsidRPr="00B05F2F" w:rsidR="00F310F7">
        <w:rPr>
          <w:rFonts w:ascii="Verdana" w:hAnsi="Verdana"/>
          <w:sz w:val="20"/>
        </w:rPr>
        <w:t xml:space="preserve">te doen vervallen: dit betekent dat concept-selectiebesluiten niet langer gedurende zes weken ter inzage worden gelegd voor eventuele zienswijzen.” </w:t>
      </w:r>
      <w:r w:rsidR="00F310F7">
        <w:rPr>
          <w:rFonts w:ascii="Verdana" w:hAnsi="Verdana"/>
          <w:sz w:val="20"/>
        </w:rPr>
        <w:t>(</w:t>
      </w:r>
      <w:proofErr w:type="spellStart"/>
      <w:r w:rsidR="00F310F7">
        <w:rPr>
          <w:rFonts w:ascii="Verdana" w:hAnsi="Verdana"/>
          <w:sz w:val="20"/>
        </w:rPr>
        <w:t>MvT</w:t>
      </w:r>
      <w:proofErr w:type="spellEnd"/>
      <w:r w:rsidR="00F310F7">
        <w:rPr>
          <w:rFonts w:ascii="Verdana" w:hAnsi="Verdana"/>
          <w:sz w:val="20"/>
        </w:rPr>
        <w:t xml:space="preserve">, p. 25) </w:t>
      </w:r>
      <w:r w:rsidRPr="00B05F2F" w:rsidR="00F310F7">
        <w:rPr>
          <w:rFonts w:ascii="Verdana" w:hAnsi="Verdana"/>
          <w:sz w:val="20"/>
        </w:rPr>
        <w:t xml:space="preserve">Daarmee verdwijnt de burger uit beeld. De </w:t>
      </w:r>
      <w:proofErr w:type="spellStart"/>
      <w:r w:rsidRPr="00B05F2F" w:rsidR="00F310F7">
        <w:rPr>
          <w:rFonts w:ascii="Verdana" w:hAnsi="Verdana"/>
          <w:sz w:val="20"/>
        </w:rPr>
        <w:t>MvT</w:t>
      </w:r>
      <w:proofErr w:type="spellEnd"/>
      <w:r w:rsidRPr="00B05F2F" w:rsidR="00F310F7">
        <w:rPr>
          <w:rFonts w:ascii="Verdana" w:hAnsi="Verdana"/>
          <w:sz w:val="20"/>
        </w:rPr>
        <w:t xml:space="preserve"> wijst erop dat een selectiebesluit vatbaar is voor bezwaar en beroep, maar de </w:t>
      </w:r>
      <w:proofErr w:type="spellStart"/>
      <w:r w:rsidRPr="00B05F2F" w:rsidR="00F310F7">
        <w:rPr>
          <w:rFonts w:ascii="Verdana" w:hAnsi="Verdana"/>
          <w:sz w:val="20"/>
        </w:rPr>
        <w:t>Awb</w:t>
      </w:r>
      <w:proofErr w:type="spellEnd"/>
      <w:r w:rsidRPr="00B05F2F" w:rsidR="00F310F7">
        <w:rPr>
          <w:rFonts w:ascii="Verdana" w:hAnsi="Verdana"/>
          <w:sz w:val="20"/>
        </w:rPr>
        <w:t xml:space="preserve"> en de rechtspraak</w:t>
      </w:r>
      <w:r w:rsidRPr="00B05F2F" w:rsidR="00F310F7">
        <w:rPr>
          <w:rStyle w:val="Voetnootmarkering"/>
          <w:rFonts w:ascii="Verdana" w:hAnsi="Verdana"/>
          <w:sz w:val="20"/>
        </w:rPr>
        <w:footnoteReference w:id="1"/>
      </w:r>
      <w:r w:rsidRPr="00B05F2F" w:rsidR="00F310F7">
        <w:rPr>
          <w:rFonts w:ascii="Verdana" w:hAnsi="Verdana"/>
          <w:sz w:val="20"/>
        </w:rPr>
        <w:t xml:space="preserve"> hebben de kring van “belanghebbenden” zodanig ingeperkt dat alleen een burger wiens belang “in voldoende mate te onderscheiden [valt] van dat van gebruikers en potentiële gebruikers” met bezwaar en beroep wordt ontvangen. </w:t>
      </w:r>
    </w:p>
    <w:p w:rsidRPr="00197287" w:rsidR="00C37DA4" w:rsidP="00197287" w:rsidRDefault="007A0DD2" w14:paraId="37E4C4F9" w14:textId="66E85557">
      <w:pPr>
        <w:pStyle w:val="Lijstalinea"/>
        <w:numPr>
          <w:ilvl w:val="0"/>
          <w:numId w:val="1"/>
        </w:numPr>
        <w:rPr>
          <w:rFonts w:ascii="Verdana" w:hAnsi="Verdana"/>
          <w:b/>
          <w:bCs/>
          <w:sz w:val="20"/>
        </w:rPr>
      </w:pPr>
      <w:r w:rsidRPr="00197287">
        <w:rPr>
          <w:rFonts w:ascii="Verdana" w:hAnsi="Verdana"/>
          <w:b/>
          <w:bCs/>
          <w:sz w:val="20"/>
        </w:rPr>
        <w:t>Voorstel van wet</w:t>
      </w:r>
      <w:r w:rsidRPr="00197287" w:rsidR="005F19F3">
        <w:rPr>
          <w:rFonts w:ascii="Verdana" w:hAnsi="Verdana"/>
          <w:b/>
          <w:bCs/>
          <w:sz w:val="20"/>
        </w:rPr>
        <w:t xml:space="preserve"> in relatie tot openbaarheid.</w:t>
      </w:r>
      <w:r w:rsidRPr="00197287" w:rsidR="0074150C">
        <w:rPr>
          <w:rFonts w:ascii="Verdana" w:hAnsi="Verdana"/>
          <w:b/>
          <w:bCs/>
          <w:sz w:val="20"/>
        </w:rPr>
        <w:t xml:space="preserve"> </w:t>
      </w:r>
      <w:r w:rsidRPr="00197287" w:rsidR="00B118E5">
        <w:rPr>
          <w:rFonts w:ascii="Verdana" w:hAnsi="Verdana"/>
          <w:b/>
          <w:bCs/>
          <w:sz w:val="20"/>
        </w:rPr>
        <w:t xml:space="preserve"> </w:t>
      </w:r>
    </w:p>
    <w:p w:rsidR="00197287" w:rsidP="00197287" w:rsidRDefault="00197287" w14:paraId="35C1CD28" w14:textId="623C4EBC">
      <w:pPr>
        <w:pStyle w:val="Lijstalinea"/>
        <w:rPr>
          <w:rFonts w:ascii="Verdana" w:hAnsi="Verdana"/>
          <w:b/>
          <w:bCs/>
          <w:sz w:val="20"/>
        </w:rPr>
      </w:pPr>
    </w:p>
    <w:p w:rsidRPr="00F95D91" w:rsidR="00197287" w:rsidP="000C6930" w:rsidRDefault="00CE67B1" w14:paraId="3EA5656D" w14:textId="5146EDD3">
      <w:pPr>
        <w:pStyle w:val="Lijstalinea"/>
        <w:rPr>
          <w:rFonts w:ascii="Verdana" w:hAnsi="Verdana"/>
          <w:i/>
          <w:iCs/>
          <w:sz w:val="20"/>
        </w:rPr>
      </w:pPr>
      <w:r w:rsidRPr="00F95D91">
        <w:rPr>
          <w:rFonts w:ascii="Verdana" w:hAnsi="Verdana"/>
          <w:i/>
          <w:iCs/>
          <w:sz w:val="20"/>
        </w:rPr>
        <w:t>Het</w:t>
      </w:r>
      <w:r w:rsidRPr="00F95D91" w:rsidR="00197287">
        <w:rPr>
          <w:rFonts w:ascii="Verdana" w:hAnsi="Verdana"/>
          <w:i/>
          <w:iCs/>
          <w:sz w:val="20"/>
        </w:rPr>
        <w:t xml:space="preserve"> voorstel </w:t>
      </w:r>
      <w:r w:rsidRPr="00F95D91">
        <w:rPr>
          <w:rFonts w:ascii="Verdana" w:hAnsi="Verdana"/>
          <w:i/>
          <w:iCs/>
          <w:sz w:val="20"/>
        </w:rPr>
        <w:t xml:space="preserve">van wet is op verschillende onderdelen onvoldoende om de openbaarheid van overheidsdocumenten te </w:t>
      </w:r>
      <w:r w:rsidRPr="00F95D91" w:rsidR="004C5DB7">
        <w:rPr>
          <w:rFonts w:ascii="Verdana" w:hAnsi="Verdana"/>
          <w:i/>
          <w:iCs/>
          <w:sz w:val="20"/>
        </w:rPr>
        <w:t>garanderen</w:t>
      </w:r>
      <w:r w:rsidRPr="00F95D91" w:rsidR="003949EA">
        <w:rPr>
          <w:rFonts w:ascii="Verdana" w:hAnsi="Verdana"/>
          <w:i/>
          <w:iCs/>
          <w:sz w:val="20"/>
        </w:rPr>
        <w:t>: 15 beperkingsgronden</w:t>
      </w:r>
      <w:r w:rsidRPr="00F95D91" w:rsidR="00A22225">
        <w:rPr>
          <w:rFonts w:ascii="Verdana" w:hAnsi="Verdana"/>
          <w:i/>
          <w:iCs/>
          <w:sz w:val="20"/>
        </w:rPr>
        <w:t>;</w:t>
      </w:r>
      <w:r w:rsidRPr="00F95D91" w:rsidR="003949EA">
        <w:rPr>
          <w:rFonts w:ascii="Verdana" w:hAnsi="Verdana"/>
          <w:i/>
          <w:iCs/>
          <w:sz w:val="20"/>
        </w:rPr>
        <w:t xml:space="preserve"> geen garanties op </w:t>
      </w:r>
      <w:proofErr w:type="spellStart"/>
      <w:r w:rsidRPr="00F95D91" w:rsidR="003949EA">
        <w:rPr>
          <w:rFonts w:ascii="Verdana" w:hAnsi="Verdana"/>
          <w:i/>
          <w:iCs/>
          <w:sz w:val="20"/>
        </w:rPr>
        <w:t>archiefwettelijke</w:t>
      </w:r>
      <w:proofErr w:type="spellEnd"/>
      <w:r w:rsidRPr="00F95D91" w:rsidR="003949EA">
        <w:rPr>
          <w:rFonts w:ascii="Verdana" w:hAnsi="Verdana"/>
          <w:i/>
          <w:iCs/>
          <w:sz w:val="20"/>
        </w:rPr>
        <w:t xml:space="preserve"> inzage indien ontheffing op overbrenging wordt gegeven</w:t>
      </w:r>
      <w:r w:rsidRPr="00F95D91" w:rsidR="00A22225">
        <w:rPr>
          <w:rFonts w:ascii="Verdana" w:hAnsi="Verdana"/>
          <w:i/>
          <w:iCs/>
          <w:sz w:val="20"/>
        </w:rPr>
        <w:t xml:space="preserve">; geen maximum </w:t>
      </w:r>
      <w:r w:rsidRPr="00F95D91" w:rsidR="0019688E">
        <w:rPr>
          <w:rFonts w:ascii="Verdana" w:hAnsi="Verdana"/>
          <w:i/>
          <w:iCs/>
          <w:sz w:val="20"/>
        </w:rPr>
        <w:t xml:space="preserve">gesteld </w:t>
      </w:r>
      <w:r w:rsidRPr="00F95D91" w:rsidR="00A22225">
        <w:rPr>
          <w:rFonts w:ascii="Verdana" w:hAnsi="Verdana"/>
          <w:i/>
          <w:iCs/>
          <w:sz w:val="20"/>
        </w:rPr>
        <w:t xml:space="preserve">aan het aantal keren dat overbrenging kan worden opgeschort; vrijblijvende en uitvoeringstechnisch problematische mogelijkheid om </w:t>
      </w:r>
      <w:r w:rsidRPr="00F95D91" w:rsidR="000C6930">
        <w:rPr>
          <w:rFonts w:ascii="Verdana" w:hAnsi="Verdana"/>
          <w:i/>
          <w:iCs/>
          <w:sz w:val="20"/>
        </w:rPr>
        <w:t>op andere wijze dan via inzage informatie te verstrekken na overbrenging.</w:t>
      </w:r>
      <w:r w:rsidRPr="00F95D91" w:rsidR="00A22225">
        <w:rPr>
          <w:rFonts w:ascii="Verdana" w:hAnsi="Verdana"/>
          <w:i/>
          <w:iCs/>
          <w:sz w:val="20"/>
        </w:rPr>
        <w:t xml:space="preserve"> </w:t>
      </w:r>
      <w:r w:rsidRPr="00F95D91">
        <w:rPr>
          <w:rFonts w:ascii="Verdana" w:hAnsi="Verdana"/>
          <w:i/>
          <w:iCs/>
          <w:sz w:val="20"/>
        </w:rPr>
        <w:t xml:space="preserve"> </w:t>
      </w:r>
    </w:p>
    <w:p w:rsidR="00545983" w:rsidP="00C37DA4" w:rsidRDefault="00F5695F" w14:paraId="1A5263A6" w14:textId="00E1CECC">
      <w:pPr>
        <w:rPr>
          <w:rFonts w:ascii="Verdana" w:hAnsi="Verdana"/>
          <w:sz w:val="20"/>
        </w:rPr>
      </w:pPr>
      <w:r w:rsidRPr="00F5695F">
        <w:rPr>
          <w:rFonts w:ascii="Verdana" w:hAnsi="Verdana"/>
          <w:sz w:val="20"/>
        </w:rPr>
        <w:t>Het uitgangspunt</w:t>
      </w:r>
      <w:r>
        <w:rPr>
          <w:rFonts w:ascii="Verdana" w:hAnsi="Verdana"/>
          <w:sz w:val="20"/>
        </w:rPr>
        <w:t xml:space="preserve"> en daarmee het maatschappelijke belang van de archiefwet is dat </w:t>
      </w:r>
      <w:r w:rsidR="00545983">
        <w:rPr>
          <w:rFonts w:ascii="Verdana" w:hAnsi="Verdana"/>
          <w:sz w:val="20"/>
        </w:rPr>
        <w:t xml:space="preserve">deze wet regelt dat </w:t>
      </w:r>
      <w:r>
        <w:rPr>
          <w:rFonts w:ascii="Verdana" w:hAnsi="Verdana"/>
          <w:sz w:val="20"/>
        </w:rPr>
        <w:t xml:space="preserve">documenten na </w:t>
      </w:r>
      <w:r w:rsidR="00545983">
        <w:rPr>
          <w:rFonts w:ascii="Verdana" w:hAnsi="Verdana"/>
          <w:sz w:val="20"/>
        </w:rPr>
        <w:t xml:space="preserve">overbrenging openbaar zijn (art 7.1). Echter, </w:t>
      </w:r>
      <w:r w:rsidR="00CE44A9">
        <w:rPr>
          <w:rFonts w:ascii="Verdana" w:hAnsi="Verdana"/>
          <w:sz w:val="20"/>
        </w:rPr>
        <w:t xml:space="preserve">het voorstel van wet kent </w:t>
      </w:r>
      <w:r w:rsidRPr="00152F41" w:rsidR="00CE44A9">
        <w:rPr>
          <w:rFonts w:ascii="Verdana" w:hAnsi="Verdana"/>
          <w:b/>
          <w:bCs/>
          <w:sz w:val="20"/>
        </w:rPr>
        <w:t xml:space="preserve">vijftien </w:t>
      </w:r>
      <w:r w:rsidR="00CE44A9">
        <w:rPr>
          <w:rFonts w:ascii="Verdana" w:hAnsi="Verdana"/>
          <w:sz w:val="20"/>
        </w:rPr>
        <w:t xml:space="preserve">gronden om de openbaarheid bij overbrenging voor een bepaalde tijd te beperken (dat zijn onder de </w:t>
      </w:r>
      <w:r w:rsidR="00C24091">
        <w:rPr>
          <w:rFonts w:ascii="Verdana" w:hAnsi="Verdana"/>
          <w:sz w:val="20"/>
        </w:rPr>
        <w:t xml:space="preserve">huidige </w:t>
      </w:r>
      <w:r w:rsidR="00CE44A9">
        <w:rPr>
          <w:rFonts w:ascii="Verdana" w:hAnsi="Verdana"/>
          <w:sz w:val="20"/>
        </w:rPr>
        <w:t xml:space="preserve">Archiefwet 1995 </w:t>
      </w:r>
      <w:r w:rsidRPr="00152F41" w:rsidR="00CE44A9">
        <w:rPr>
          <w:rFonts w:ascii="Verdana" w:hAnsi="Verdana"/>
          <w:b/>
          <w:bCs/>
          <w:sz w:val="20"/>
        </w:rPr>
        <w:t xml:space="preserve">drie </w:t>
      </w:r>
      <w:r w:rsidR="00CE44A9">
        <w:rPr>
          <w:rFonts w:ascii="Verdana" w:hAnsi="Verdana"/>
          <w:sz w:val="20"/>
        </w:rPr>
        <w:t>gronden).</w:t>
      </w:r>
    </w:p>
    <w:p w:rsidR="006843DB" w:rsidP="00C37DA4" w:rsidRDefault="00C37DA4" w14:paraId="76AB2D70" w14:textId="48006ACF">
      <w:pPr>
        <w:rPr>
          <w:rFonts w:ascii="Verdana" w:hAnsi="Verdana"/>
          <w:sz w:val="20"/>
        </w:rPr>
      </w:pPr>
      <w:r w:rsidRPr="00B05F2F">
        <w:rPr>
          <w:rFonts w:ascii="Verdana" w:hAnsi="Verdana"/>
          <w:sz w:val="20"/>
        </w:rPr>
        <w:t>Dit is meer dan slechts een “optisch verschil” (</w:t>
      </w:r>
      <w:proofErr w:type="spellStart"/>
      <w:r w:rsidRPr="00B05F2F">
        <w:rPr>
          <w:rFonts w:ascii="Verdana" w:hAnsi="Verdana"/>
          <w:sz w:val="20"/>
        </w:rPr>
        <w:t>MvT</w:t>
      </w:r>
      <w:proofErr w:type="spellEnd"/>
      <w:r w:rsidRPr="00B05F2F">
        <w:rPr>
          <w:rFonts w:ascii="Verdana" w:hAnsi="Verdana"/>
          <w:sz w:val="20"/>
        </w:rPr>
        <w:t>, p. 31) en meer dan slechts “een nadere specificering van de gronden voor openbaarheids-beperking”</w:t>
      </w:r>
      <w:r w:rsidR="00C24091">
        <w:rPr>
          <w:rFonts w:ascii="Verdana" w:hAnsi="Verdana"/>
          <w:sz w:val="20"/>
        </w:rPr>
        <w:t xml:space="preserve"> </w:t>
      </w:r>
      <w:r w:rsidRPr="00B05F2F">
        <w:rPr>
          <w:rFonts w:ascii="Verdana" w:hAnsi="Verdana"/>
          <w:sz w:val="20"/>
        </w:rPr>
        <w:t>(</w:t>
      </w:r>
      <w:proofErr w:type="spellStart"/>
      <w:r w:rsidRPr="00B05F2F">
        <w:rPr>
          <w:rFonts w:ascii="Verdana" w:hAnsi="Verdana"/>
          <w:sz w:val="20"/>
        </w:rPr>
        <w:t>MvT</w:t>
      </w:r>
      <w:proofErr w:type="spellEnd"/>
      <w:r w:rsidRPr="00B05F2F">
        <w:rPr>
          <w:rFonts w:ascii="Verdana" w:hAnsi="Verdana"/>
          <w:sz w:val="20"/>
        </w:rPr>
        <w:t xml:space="preserve">, p. 89). De vijftien gronden zijn ontleend aan de </w:t>
      </w:r>
      <w:proofErr w:type="spellStart"/>
      <w:r w:rsidRPr="00B05F2F">
        <w:rPr>
          <w:rFonts w:ascii="Verdana" w:hAnsi="Verdana"/>
          <w:sz w:val="20"/>
        </w:rPr>
        <w:t>Woo</w:t>
      </w:r>
      <w:proofErr w:type="spellEnd"/>
      <w:r w:rsidRPr="00B05F2F">
        <w:rPr>
          <w:rFonts w:ascii="Verdana" w:hAnsi="Verdana"/>
          <w:sz w:val="20"/>
        </w:rPr>
        <w:t xml:space="preserve"> waarvan het openbaarheidsregim</w:t>
      </w:r>
      <w:r w:rsidR="00152F41">
        <w:rPr>
          <w:rFonts w:ascii="Verdana" w:hAnsi="Verdana"/>
          <w:sz w:val="20"/>
        </w:rPr>
        <w:t>e</w:t>
      </w:r>
      <w:r w:rsidRPr="00B05F2F">
        <w:rPr>
          <w:rFonts w:ascii="Verdana" w:hAnsi="Verdana"/>
          <w:sz w:val="20"/>
        </w:rPr>
        <w:t xml:space="preserve"> afwijkt van dat van het wetsvoorstel (documenten- versus informatiestelsel). Bij toepassing van het </w:t>
      </w:r>
      <w:proofErr w:type="spellStart"/>
      <w:r w:rsidRPr="00B05F2F">
        <w:rPr>
          <w:rFonts w:ascii="Verdana" w:hAnsi="Verdana"/>
          <w:sz w:val="20"/>
        </w:rPr>
        <w:t>Woo</w:t>
      </w:r>
      <w:proofErr w:type="spellEnd"/>
      <w:r w:rsidRPr="00B05F2F">
        <w:rPr>
          <w:rFonts w:ascii="Verdana" w:hAnsi="Verdana"/>
          <w:sz w:val="20"/>
        </w:rPr>
        <w:t xml:space="preserve"> regim</w:t>
      </w:r>
      <w:r w:rsidR="00105ED1">
        <w:rPr>
          <w:rFonts w:ascii="Verdana" w:hAnsi="Verdana"/>
          <w:sz w:val="20"/>
        </w:rPr>
        <w:t>e</w:t>
      </w:r>
      <w:r w:rsidRPr="00B05F2F">
        <w:rPr>
          <w:rFonts w:ascii="Verdana" w:hAnsi="Verdana"/>
          <w:sz w:val="20"/>
        </w:rPr>
        <w:t xml:space="preserve"> gelden andere belangen dan die van de archiefwet: immers overheidsorganen “houden bij de inrichting van hun informatiebeheer ook rekening met andere dan de in artikel 1.3 genoemde belangen en hanteren andere beleidsprioriteiten (</w:t>
      </w:r>
      <w:proofErr w:type="spellStart"/>
      <w:r w:rsidRPr="00B05F2F">
        <w:rPr>
          <w:rFonts w:ascii="Verdana" w:hAnsi="Verdana"/>
          <w:sz w:val="20"/>
        </w:rPr>
        <w:t>MvT</w:t>
      </w:r>
      <w:proofErr w:type="spellEnd"/>
      <w:r w:rsidRPr="00B05F2F">
        <w:rPr>
          <w:rFonts w:ascii="Verdana" w:hAnsi="Verdana"/>
          <w:sz w:val="20"/>
        </w:rPr>
        <w:t xml:space="preserve">, p. 18). “Het opleggen van eventuele beperkingen aan de openbaarheid van documenten is onder de </w:t>
      </w:r>
      <w:proofErr w:type="spellStart"/>
      <w:r w:rsidRPr="00B05F2F">
        <w:rPr>
          <w:rFonts w:ascii="Verdana" w:hAnsi="Verdana"/>
          <w:sz w:val="20"/>
        </w:rPr>
        <w:t>Woo</w:t>
      </w:r>
      <w:proofErr w:type="spellEnd"/>
      <w:r w:rsidRPr="00B05F2F">
        <w:rPr>
          <w:rFonts w:ascii="Verdana" w:hAnsi="Verdana"/>
          <w:sz w:val="20"/>
        </w:rPr>
        <w:t xml:space="preserve"> dan ook </w:t>
      </w:r>
      <w:r w:rsidRPr="00B05F2F">
        <w:rPr>
          <w:rFonts w:ascii="Verdana" w:hAnsi="Verdana"/>
          <w:b/>
          <w:bCs/>
          <w:sz w:val="20"/>
        </w:rPr>
        <w:t>aan een andere dynamiek onderhevig</w:t>
      </w:r>
      <w:r w:rsidRPr="00B05F2F">
        <w:rPr>
          <w:rFonts w:ascii="Verdana" w:hAnsi="Verdana"/>
          <w:sz w:val="20"/>
        </w:rPr>
        <w:t xml:space="preserve"> dan onder de Archiefwet</w:t>
      </w:r>
      <w:r w:rsidR="005330BB">
        <w:rPr>
          <w:rFonts w:ascii="Verdana" w:hAnsi="Verdana"/>
          <w:sz w:val="20"/>
        </w:rPr>
        <w:t xml:space="preserve">”. </w:t>
      </w:r>
      <w:r w:rsidRPr="00B05F2F">
        <w:rPr>
          <w:rFonts w:ascii="Verdana" w:hAnsi="Verdana"/>
          <w:sz w:val="20"/>
        </w:rPr>
        <w:t>(</w:t>
      </w:r>
      <w:proofErr w:type="spellStart"/>
      <w:r w:rsidRPr="00B05F2F">
        <w:rPr>
          <w:rFonts w:ascii="Verdana" w:hAnsi="Verdana"/>
          <w:sz w:val="20"/>
        </w:rPr>
        <w:t>MvT</w:t>
      </w:r>
      <w:proofErr w:type="spellEnd"/>
      <w:r w:rsidRPr="00B05F2F">
        <w:rPr>
          <w:rFonts w:ascii="Verdana" w:hAnsi="Verdana"/>
          <w:sz w:val="20"/>
        </w:rPr>
        <w:t xml:space="preserve">, p. 32, zie ook p. 46 e.v.). Het gevaar bestaat dat overheidsorganen bij de overbrenging van hun documenten de bestaande (op de </w:t>
      </w:r>
      <w:proofErr w:type="spellStart"/>
      <w:r w:rsidRPr="00B05F2F">
        <w:rPr>
          <w:rFonts w:ascii="Verdana" w:hAnsi="Verdana"/>
          <w:sz w:val="20"/>
        </w:rPr>
        <w:t>Woo</w:t>
      </w:r>
      <w:proofErr w:type="spellEnd"/>
      <w:r w:rsidRPr="00B05F2F">
        <w:rPr>
          <w:rFonts w:ascii="Verdana" w:hAnsi="Verdana"/>
          <w:sz w:val="20"/>
        </w:rPr>
        <w:t xml:space="preserve"> berustende) beperkingen gemakshalve laten bestaan en daarmede die “andere dynamiek” naar het terrein van de archiefwet brengen. De motiveringsplicht van artikel 7.3, tweede lid, is beperkt tot de </w:t>
      </w:r>
      <w:r w:rsidR="00556F80">
        <w:rPr>
          <w:rFonts w:ascii="Verdana" w:hAnsi="Verdana"/>
          <w:sz w:val="20"/>
        </w:rPr>
        <w:t xml:space="preserve">in de art 7.2 genoemde </w:t>
      </w:r>
      <w:r w:rsidRPr="00B05F2F">
        <w:rPr>
          <w:rFonts w:ascii="Verdana" w:hAnsi="Verdana"/>
          <w:sz w:val="20"/>
        </w:rPr>
        <w:t xml:space="preserve">gronden. </w:t>
      </w:r>
    </w:p>
    <w:p w:rsidRPr="00495C0B" w:rsidR="00C37DA4" w:rsidP="005F19F3" w:rsidRDefault="006843DB" w14:paraId="7DAC4117" w14:textId="0767DD7C">
      <w:pPr>
        <w:rPr>
          <w:rFonts w:ascii="Verdana" w:hAnsi="Verdana"/>
          <w:sz w:val="20"/>
        </w:rPr>
      </w:pPr>
      <w:r>
        <w:rPr>
          <w:rFonts w:ascii="Verdana" w:hAnsi="Verdana"/>
          <w:sz w:val="20"/>
        </w:rPr>
        <w:t xml:space="preserve">Gesteld wordt dat inzage in documenten onder het voorstel van wet de reguliere manier blijft om toegang te geven. </w:t>
      </w:r>
      <w:r w:rsidR="006C56F9">
        <w:rPr>
          <w:rFonts w:ascii="Verdana" w:hAnsi="Verdana"/>
          <w:sz w:val="20"/>
        </w:rPr>
        <w:t xml:space="preserve">Echter om te voorkomen dat de openbaarheid </w:t>
      </w:r>
      <w:r w:rsidRPr="006C56F9" w:rsidR="006C56F9">
        <w:rPr>
          <w:rFonts w:ascii="Verdana" w:hAnsi="Verdana"/>
          <w:b/>
          <w:bCs/>
          <w:sz w:val="20"/>
        </w:rPr>
        <w:t>na</w:t>
      </w:r>
      <w:r w:rsidR="006C56F9">
        <w:rPr>
          <w:rFonts w:ascii="Verdana" w:hAnsi="Verdana"/>
          <w:sz w:val="20"/>
        </w:rPr>
        <w:t xml:space="preserve"> </w:t>
      </w:r>
      <w:r w:rsidRPr="006C56F9" w:rsidR="006C56F9">
        <w:rPr>
          <w:rFonts w:ascii="Verdana" w:hAnsi="Verdana"/>
          <w:b/>
          <w:bCs/>
          <w:sz w:val="20"/>
        </w:rPr>
        <w:t xml:space="preserve">overbrenging </w:t>
      </w:r>
      <w:r w:rsidRPr="006C56F9" w:rsidR="006C56F9">
        <w:rPr>
          <w:rFonts w:ascii="Verdana" w:hAnsi="Verdana"/>
          <w:sz w:val="20"/>
        </w:rPr>
        <w:t>i</w:t>
      </w:r>
      <w:r w:rsidR="006C56F9">
        <w:rPr>
          <w:rFonts w:ascii="Verdana" w:hAnsi="Verdana"/>
          <w:sz w:val="20"/>
        </w:rPr>
        <w:t>n sommige gevallen minder wordt dan deze was voor overbrenging</w:t>
      </w:r>
      <w:r w:rsidR="009E50B6">
        <w:rPr>
          <w:rFonts w:ascii="Verdana" w:hAnsi="Verdana"/>
          <w:sz w:val="20"/>
        </w:rPr>
        <w:t>, kan informatie ook verstrekt worden in een andere vorm dan inzage.</w:t>
      </w:r>
      <w:r w:rsidR="006C56F9">
        <w:rPr>
          <w:rFonts w:ascii="Verdana" w:hAnsi="Verdana"/>
          <w:sz w:val="20"/>
        </w:rPr>
        <w:t xml:space="preserve"> </w:t>
      </w:r>
      <w:r>
        <w:rPr>
          <w:rFonts w:ascii="Verdana" w:hAnsi="Verdana"/>
          <w:sz w:val="20"/>
        </w:rPr>
        <w:t xml:space="preserve">De archivaris hoeft </w:t>
      </w:r>
      <w:r w:rsidR="009E50B6">
        <w:rPr>
          <w:rFonts w:ascii="Verdana" w:hAnsi="Verdana"/>
          <w:sz w:val="20"/>
        </w:rPr>
        <w:t xml:space="preserve">echter </w:t>
      </w:r>
      <w:r>
        <w:rPr>
          <w:rFonts w:ascii="Verdana" w:hAnsi="Verdana"/>
          <w:sz w:val="20"/>
        </w:rPr>
        <w:t>enkel te onderzoeken of informatie in een andere vorm (bijv. gelakte kopieën) kan worden verstrekt</w:t>
      </w:r>
      <w:r w:rsidR="00556F80">
        <w:rPr>
          <w:rFonts w:ascii="Verdana" w:hAnsi="Verdana"/>
          <w:sz w:val="20"/>
        </w:rPr>
        <w:t xml:space="preserve"> en</w:t>
      </w:r>
      <w:r w:rsidRPr="009E50B6" w:rsidR="009E50B6">
        <w:rPr>
          <w:rFonts w:ascii="Verdana" w:hAnsi="Verdana" w:eastAsia="Times New Roman" w:cs="Times New Roman"/>
          <w:sz w:val="18"/>
          <w:szCs w:val="18"/>
          <w:lang w:eastAsia="nl-NL"/>
        </w:rPr>
        <w:t xml:space="preserve"> </w:t>
      </w:r>
      <w:r w:rsidR="009E50B6">
        <w:rPr>
          <w:rFonts w:ascii="Verdana" w:hAnsi="Verdana" w:eastAsia="Times New Roman" w:cs="Times New Roman"/>
          <w:sz w:val="18"/>
          <w:szCs w:val="18"/>
          <w:lang w:eastAsia="nl-NL"/>
        </w:rPr>
        <w:t>“</w:t>
      </w:r>
      <w:r w:rsidR="00556F80">
        <w:rPr>
          <w:rFonts w:ascii="Verdana" w:hAnsi="Verdana"/>
          <w:sz w:val="20"/>
        </w:rPr>
        <w:t>[a]</w:t>
      </w:r>
      <w:proofErr w:type="spellStart"/>
      <w:r w:rsidRPr="009E50B6" w:rsidR="009E50B6">
        <w:rPr>
          <w:rFonts w:ascii="Verdana" w:hAnsi="Verdana"/>
          <w:sz w:val="20"/>
        </w:rPr>
        <w:t>ls</w:t>
      </w:r>
      <w:proofErr w:type="spellEnd"/>
      <w:r w:rsidRPr="009E50B6" w:rsidR="009E50B6">
        <w:rPr>
          <w:rFonts w:ascii="Verdana" w:hAnsi="Verdana"/>
          <w:sz w:val="20"/>
        </w:rPr>
        <w:t xml:space="preserve"> het verstrekken van de informatie in een andere vorm een onevenredige inspanning vergt in relatie tot het belang van de verzoeker om die informatie te verkrijgen, is de archivaris niet gehouden dit te doen.</w:t>
      </w:r>
      <w:r w:rsidR="009E50B6">
        <w:rPr>
          <w:rFonts w:ascii="Verdana" w:hAnsi="Verdana"/>
          <w:sz w:val="20"/>
        </w:rPr>
        <w:t>” (</w:t>
      </w:r>
      <w:proofErr w:type="spellStart"/>
      <w:r w:rsidR="009E50B6">
        <w:rPr>
          <w:rFonts w:ascii="Verdana" w:hAnsi="Verdana"/>
          <w:sz w:val="20"/>
        </w:rPr>
        <w:t>MvT</w:t>
      </w:r>
      <w:proofErr w:type="spellEnd"/>
      <w:r w:rsidR="00495C0B">
        <w:rPr>
          <w:rFonts w:ascii="Verdana" w:hAnsi="Verdana"/>
          <w:sz w:val="20"/>
        </w:rPr>
        <w:t>, p. 33)</w:t>
      </w:r>
      <w:r w:rsidRPr="009E50B6" w:rsidR="009E50B6">
        <w:rPr>
          <w:rFonts w:ascii="Verdana" w:hAnsi="Verdana"/>
          <w:sz w:val="20"/>
        </w:rPr>
        <w:t xml:space="preserve"> </w:t>
      </w:r>
      <w:r w:rsidR="00495C0B">
        <w:rPr>
          <w:rFonts w:ascii="Verdana" w:hAnsi="Verdana"/>
          <w:sz w:val="20"/>
        </w:rPr>
        <w:lastRenderedPageBreak/>
        <w:t xml:space="preserve">Daarmee is het een nogal </w:t>
      </w:r>
      <w:r>
        <w:rPr>
          <w:rFonts w:ascii="Verdana" w:hAnsi="Verdana"/>
          <w:sz w:val="20"/>
        </w:rPr>
        <w:t xml:space="preserve">vrijblijvende optie </w:t>
      </w:r>
      <w:r w:rsidR="00556F80">
        <w:rPr>
          <w:rFonts w:ascii="Verdana" w:hAnsi="Verdana"/>
          <w:sz w:val="20"/>
        </w:rPr>
        <w:t>die</w:t>
      </w:r>
      <w:r w:rsidR="00495C0B">
        <w:rPr>
          <w:rFonts w:ascii="Verdana" w:hAnsi="Verdana"/>
          <w:sz w:val="20"/>
        </w:rPr>
        <w:t xml:space="preserve"> hoe dan ook</w:t>
      </w:r>
      <w:r>
        <w:rPr>
          <w:rFonts w:ascii="Verdana" w:hAnsi="Verdana"/>
          <w:sz w:val="20"/>
        </w:rPr>
        <w:t xml:space="preserve"> uitvoeringstechnisch buitengewoon problematisch</w:t>
      </w:r>
      <w:r w:rsidR="00556F80">
        <w:rPr>
          <w:rFonts w:ascii="Verdana" w:hAnsi="Verdana"/>
          <w:sz w:val="20"/>
        </w:rPr>
        <w:t xml:space="preserve"> is</w:t>
      </w:r>
      <w:r>
        <w:rPr>
          <w:rFonts w:ascii="Verdana" w:hAnsi="Verdana"/>
          <w:sz w:val="20"/>
        </w:rPr>
        <w:t xml:space="preserve">. </w:t>
      </w:r>
    </w:p>
    <w:p w:rsidR="005F19F3" w:rsidP="005F19F3" w:rsidRDefault="005F19F3" w14:paraId="04EB82A8" w14:textId="2D88CADD">
      <w:pPr>
        <w:rPr>
          <w:rFonts w:ascii="Verdana" w:hAnsi="Verdana"/>
          <w:sz w:val="20"/>
        </w:rPr>
      </w:pPr>
      <w:r w:rsidRPr="00B05F2F">
        <w:rPr>
          <w:rFonts w:ascii="Verdana" w:hAnsi="Verdana"/>
          <w:i/>
          <w:iCs/>
          <w:sz w:val="20"/>
        </w:rPr>
        <w:t>Ontheffing overbrengingsverplichtingen (bewaren bij de bron)</w:t>
      </w:r>
      <w:r w:rsidRPr="00B05F2F">
        <w:rPr>
          <w:rFonts w:ascii="Verdana" w:hAnsi="Verdana"/>
          <w:sz w:val="20"/>
        </w:rPr>
        <w:t xml:space="preserve"> (</w:t>
      </w:r>
      <w:proofErr w:type="spellStart"/>
      <w:r w:rsidRPr="00B05F2F">
        <w:rPr>
          <w:rFonts w:ascii="Verdana" w:hAnsi="Verdana"/>
          <w:sz w:val="20"/>
        </w:rPr>
        <w:t>MvT</w:t>
      </w:r>
      <w:proofErr w:type="spellEnd"/>
      <w:r w:rsidRPr="00B05F2F">
        <w:rPr>
          <w:rFonts w:ascii="Verdana" w:hAnsi="Verdana"/>
          <w:sz w:val="20"/>
        </w:rPr>
        <w:t>, p. 28 e.v., 86). Bestanden waarvoor deze ontheffing is verleend vallen niet onder het openbaarheidsregim</w:t>
      </w:r>
      <w:r>
        <w:rPr>
          <w:rFonts w:ascii="Verdana" w:hAnsi="Verdana"/>
          <w:sz w:val="20"/>
        </w:rPr>
        <w:t>e</w:t>
      </w:r>
      <w:r w:rsidRPr="00B05F2F">
        <w:rPr>
          <w:rFonts w:ascii="Verdana" w:hAnsi="Verdana"/>
          <w:sz w:val="20"/>
        </w:rPr>
        <w:t xml:space="preserve"> van de Archiefwet (documentenstelsel) </w:t>
      </w:r>
      <w:r>
        <w:rPr>
          <w:rFonts w:ascii="Verdana" w:hAnsi="Verdana"/>
          <w:sz w:val="20"/>
        </w:rPr>
        <w:t xml:space="preserve">maar </w:t>
      </w:r>
      <w:r w:rsidRPr="00B05F2F">
        <w:rPr>
          <w:rFonts w:ascii="Verdana" w:hAnsi="Verdana"/>
          <w:sz w:val="20"/>
        </w:rPr>
        <w:t xml:space="preserve">onder de </w:t>
      </w:r>
      <w:proofErr w:type="spellStart"/>
      <w:r w:rsidRPr="00B05F2F">
        <w:rPr>
          <w:rFonts w:ascii="Verdana" w:hAnsi="Verdana"/>
          <w:sz w:val="20"/>
        </w:rPr>
        <w:t>Woo</w:t>
      </w:r>
      <w:proofErr w:type="spellEnd"/>
      <w:r w:rsidRPr="00B05F2F">
        <w:rPr>
          <w:rFonts w:ascii="Verdana" w:hAnsi="Verdana"/>
          <w:sz w:val="20"/>
        </w:rPr>
        <w:t xml:space="preserve"> (informatiestelsel) (zie </w:t>
      </w:r>
      <w:proofErr w:type="spellStart"/>
      <w:r w:rsidRPr="00B05F2F">
        <w:rPr>
          <w:rFonts w:ascii="Verdana" w:hAnsi="Verdana"/>
          <w:sz w:val="20"/>
        </w:rPr>
        <w:t>MvT</w:t>
      </w:r>
      <w:proofErr w:type="spellEnd"/>
      <w:r w:rsidRPr="00B05F2F">
        <w:rPr>
          <w:rFonts w:ascii="Verdana" w:hAnsi="Verdana"/>
          <w:sz w:val="20"/>
        </w:rPr>
        <w:t xml:space="preserve">, p. 46-47) of een specifiek openbaarheidsregime. Bij of krachtens algemene maatregel van bestuur </w:t>
      </w:r>
      <w:r w:rsidRPr="00B05F2F">
        <w:rPr>
          <w:rFonts w:ascii="Verdana" w:hAnsi="Verdana"/>
          <w:i/>
          <w:iCs/>
          <w:sz w:val="20"/>
        </w:rPr>
        <w:t>kunnen</w:t>
      </w:r>
      <w:r w:rsidRPr="00B05F2F">
        <w:rPr>
          <w:rFonts w:ascii="Verdana" w:hAnsi="Verdana"/>
          <w:sz w:val="20"/>
        </w:rPr>
        <w:t xml:space="preserve"> nadere regels worden gesteld“</w:t>
      </w:r>
      <w:r w:rsidR="00556F80">
        <w:rPr>
          <w:rFonts w:ascii="Verdana" w:hAnsi="Verdana"/>
          <w:sz w:val="20"/>
        </w:rPr>
        <w:t xml:space="preserve"> </w:t>
      </w:r>
      <w:r w:rsidRPr="00B05F2F">
        <w:rPr>
          <w:rFonts w:ascii="Verdana" w:hAnsi="Verdana"/>
          <w:sz w:val="20"/>
        </w:rPr>
        <w:t xml:space="preserve">voor de door het verantwoordelijk overheidsorgaan te treffen adequate voorzieningen voor de blijvende bewaring en beschikbaarstelling van de documenten (te denken valt aan voorschriften omtrent duurzame toegankelijkheid, </w:t>
      </w:r>
      <w:r w:rsidRPr="00B05F2F">
        <w:rPr>
          <w:rFonts w:ascii="Verdana" w:hAnsi="Verdana"/>
          <w:i/>
          <w:iCs/>
          <w:sz w:val="20"/>
        </w:rPr>
        <w:t>openbaarheid</w:t>
      </w:r>
      <w:r w:rsidRPr="00B05F2F">
        <w:rPr>
          <w:rFonts w:ascii="Verdana" w:hAnsi="Verdana"/>
          <w:sz w:val="20"/>
        </w:rPr>
        <w:t xml:space="preserve">, online publicatie, </w:t>
      </w:r>
      <w:r w:rsidRPr="00B05F2F">
        <w:rPr>
          <w:rFonts w:ascii="Verdana" w:hAnsi="Verdana"/>
          <w:i/>
          <w:iCs/>
          <w:sz w:val="20"/>
        </w:rPr>
        <w:t>inzage en hulp op virtuele of fysieke studiezaal</w:t>
      </w:r>
      <w:r w:rsidRPr="00B05F2F">
        <w:rPr>
          <w:rFonts w:ascii="Verdana" w:hAnsi="Verdana"/>
          <w:sz w:val="20"/>
        </w:rPr>
        <w:t xml:space="preserve">). </w:t>
      </w:r>
      <w:r>
        <w:rPr>
          <w:rFonts w:ascii="Verdana" w:hAnsi="Verdana"/>
          <w:sz w:val="20"/>
        </w:rPr>
        <w:t>D</w:t>
      </w:r>
      <w:r w:rsidRPr="00B05F2F">
        <w:rPr>
          <w:rFonts w:ascii="Verdana" w:hAnsi="Verdana"/>
          <w:sz w:val="20"/>
        </w:rPr>
        <w:t xml:space="preserve">e openbaarheid </w:t>
      </w:r>
      <w:r>
        <w:rPr>
          <w:rFonts w:ascii="Verdana" w:hAnsi="Verdana"/>
          <w:sz w:val="20"/>
        </w:rPr>
        <w:t>zou</w:t>
      </w:r>
      <w:r w:rsidRPr="00B05F2F">
        <w:rPr>
          <w:rFonts w:ascii="Verdana" w:hAnsi="Verdana"/>
          <w:sz w:val="20"/>
        </w:rPr>
        <w:t xml:space="preserve"> </w:t>
      </w:r>
      <w:r w:rsidR="004104AB">
        <w:rPr>
          <w:rFonts w:ascii="Verdana" w:hAnsi="Verdana"/>
          <w:sz w:val="20"/>
        </w:rPr>
        <w:t xml:space="preserve">echter </w:t>
      </w:r>
      <w:r w:rsidRPr="00B05F2F">
        <w:rPr>
          <w:rFonts w:ascii="Verdana" w:hAnsi="Verdana"/>
          <w:sz w:val="20"/>
        </w:rPr>
        <w:t xml:space="preserve">in de wet verankerd </w:t>
      </w:r>
      <w:r>
        <w:rPr>
          <w:rFonts w:ascii="Verdana" w:hAnsi="Verdana"/>
          <w:sz w:val="20"/>
        </w:rPr>
        <w:t xml:space="preserve">moeten </w:t>
      </w:r>
      <w:r w:rsidRPr="00B05F2F">
        <w:rPr>
          <w:rFonts w:ascii="Verdana" w:hAnsi="Verdana"/>
          <w:sz w:val="20"/>
        </w:rPr>
        <w:t xml:space="preserve">worden om te voorkomen dat de ontheffing van de overbrenging de burger het </w:t>
      </w:r>
      <w:proofErr w:type="spellStart"/>
      <w:r w:rsidRPr="00B05F2F">
        <w:rPr>
          <w:rFonts w:ascii="Verdana" w:hAnsi="Verdana"/>
          <w:sz w:val="20"/>
        </w:rPr>
        <w:t>archiefwettelijke</w:t>
      </w:r>
      <w:proofErr w:type="spellEnd"/>
      <w:r w:rsidRPr="00B05F2F">
        <w:rPr>
          <w:rFonts w:ascii="Verdana" w:hAnsi="Verdana"/>
          <w:sz w:val="20"/>
        </w:rPr>
        <w:t xml:space="preserve"> recht op toegang doet verliezen</w:t>
      </w:r>
      <w:r w:rsidR="00C37DA4">
        <w:rPr>
          <w:rFonts w:ascii="Verdana" w:hAnsi="Verdana"/>
          <w:sz w:val="20"/>
        </w:rPr>
        <w:t>.</w:t>
      </w:r>
      <w:r>
        <w:rPr>
          <w:rFonts w:ascii="Verdana" w:hAnsi="Verdana"/>
          <w:sz w:val="20"/>
        </w:rPr>
        <w:t xml:space="preserve"> </w:t>
      </w:r>
    </w:p>
    <w:p w:rsidR="00C37DA4" w:rsidP="005F19F3" w:rsidRDefault="00C37DA4" w14:paraId="5D291A51" w14:textId="04AB6555">
      <w:pPr>
        <w:rPr>
          <w:rFonts w:ascii="Verdana" w:hAnsi="Verdana"/>
          <w:sz w:val="20"/>
        </w:rPr>
      </w:pPr>
      <w:r>
        <w:rPr>
          <w:rFonts w:ascii="Verdana" w:hAnsi="Verdana"/>
          <w:sz w:val="20"/>
        </w:rPr>
        <w:t xml:space="preserve">In het verlengde hiervan: </w:t>
      </w:r>
      <w:r w:rsidRPr="00D370FB">
        <w:rPr>
          <w:rFonts w:ascii="Verdana" w:hAnsi="Verdana"/>
          <w:i/>
          <w:iCs/>
          <w:sz w:val="20"/>
        </w:rPr>
        <w:t>Opschorten overbrengingstermijn</w:t>
      </w:r>
      <w:r>
        <w:rPr>
          <w:rFonts w:ascii="Verdana" w:hAnsi="Verdana"/>
          <w:sz w:val="20"/>
        </w:rPr>
        <w:t xml:space="preserve"> (art 5.5): indien documenten nog veelvuldig door een overheidsorgaan worden gebruikt of geraadpleegd kan het verantwoordelijke overheidsorgaan de overbrenging opschorten. Een machtiging daartoe wordt verleend voor een periode van tien jaar die, indien documenten na die termijn nog steeds nodig zijn, </w:t>
      </w:r>
      <w:r w:rsidRPr="005D4E53">
        <w:rPr>
          <w:rFonts w:ascii="Verdana" w:hAnsi="Verdana"/>
          <w:i/>
          <w:iCs/>
          <w:sz w:val="20"/>
        </w:rPr>
        <w:t>telkens</w:t>
      </w:r>
      <w:r>
        <w:rPr>
          <w:rFonts w:ascii="Verdana" w:hAnsi="Verdana"/>
          <w:sz w:val="20"/>
        </w:rPr>
        <w:t xml:space="preserve"> met een periode van tien jaar verlengd kunnen worden. Aan het aantal keren dat de overbrengingstermijn kan worden opgeschort, wordt geen maximum gesteld. </w:t>
      </w:r>
      <w:r w:rsidR="004104AB">
        <w:rPr>
          <w:rFonts w:ascii="Verdana" w:hAnsi="Verdana"/>
          <w:sz w:val="20"/>
        </w:rPr>
        <w:t>Dit zet de deur open voor het tot in lengte van jaren uitstellen van het</w:t>
      </w:r>
      <w:r>
        <w:rPr>
          <w:rFonts w:ascii="Verdana" w:hAnsi="Verdana"/>
          <w:sz w:val="20"/>
        </w:rPr>
        <w:t xml:space="preserve"> </w:t>
      </w:r>
      <w:proofErr w:type="spellStart"/>
      <w:r>
        <w:rPr>
          <w:rFonts w:ascii="Verdana" w:hAnsi="Verdana"/>
          <w:sz w:val="20"/>
        </w:rPr>
        <w:t>archiefwettelijke</w:t>
      </w:r>
      <w:proofErr w:type="spellEnd"/>
      <w:r>
        <w:rPr>
          <w:rFonts w:ascii="Verdana" w:hAnsi="Verdana"/>
          <w:sz w:val="20"/>
        </w:rPr>
        <w:t xml:space="preserve"> recht op toegang tot de documenten?  </w:t>
      </w:r>
    </w:p>
    <w:p w:rsidRPr="004C5DB7" w:rsidR="00D17177" w:rsidP="004C5DB7" w:rsidRDefault="00D17177" w14:paraId="7E6F4EA5" w14:textId="3D5503EA">
      <w:pPr>
        <w:pStyle w:val="Lijstalinea"/>
        <w:numPr>
          <w:ilvl w:val="0"/>
          <w:numId w:val="1"/>
        </w:numPr>
        <w:rPr>
          <w:rFonts w:ascii="Verdana" w:hAnsi="Verdana"/>
          <w:b/>
          <w:bCs/>
          <w:sz w:val="20"/>
        </w:rPr>
      </w:pPr>
      <w:r w:rsidRPr="004C5DB7">
        <w:rPr>
          <w:rFonts w:ascii="Verdana" w:hAnsi="Verdana"/>
          <w:b/>
          <w:bCs/>
          <w:sz w:val="20"/>
        </w:rPr>
        <w:t>Deskundigheid archivarissen</w:t>
      </w:r>
    </w:p>
    <w:p w:rsidR="004C5DB7" w:rsidP="004C5DB7" w:rsidRDefault="004C5DB7" w14:paraId="06F342C4" w14:textId="6E29D0D5">
      <w:pPr>
        <w:pStyle w:val="Lijstalinea"/>
        <w:rPr>
          <w:rFonts w:ascii="Verdana" w:hAnsi="Verdana"/>
          <w:b/>
          <w:bCs/>
          <w:sz w:val="20"/>
        </w:rPr>
      </w:pPr>
    </w:p>
    <w:p w:rsidRPr="00F95D91" w:rsidR="004C5DB7" w:rsidP="004C5DB7" w:rsidRDefault="008312CF" w14:paraId="553D68C6" w14:textId="29F06C89">
      <w:pPr>
        <w:pStyle w:val="Lijstalinea"/>
        <w:rPr>
          <w:rFonts w:ascii="Verdana" w:hAnsi="Verdana"/>
          <w:i/>
          <w:iCs/>
          <w:sz w:val="20"/>
        </w:rPr>
      </w:pPr>
      <w:r w:rsidRPr="00F95D91">
        <w:rPr>
          <w:rFonts w:ascii="Verdana" w:hAnsi="Verdana"/>
          <w:i/>
          <w:iCs/>
          <w:sz w:val="20"/>
        </w:rPr>
        <w:t>Het loslaten van deskundigheidseisen voor specifieke functies in dit domein is gezien de toenemende complexiteit van de informatiehuishouding van de overheid</w:t>
      </w:r>
      <w:r w:rsidRPr="00F95D91" w:rsidR="008E1EB3">
        <w:rPr>
          <w:rFonts w:ascii="Verdana" w:hAnsi="Verdana"/>
          <w:i/>
          <w:iCs/>
          <w:sz w:val="20"/>
        </w:rPr>
        <w:t xml:space="preserve"> en de verwachtingen van burgers en volksvertegenwoordigers om over betrouwbare informatie te kunnen beschikken</w:t>
      </w:r>
      <w:r w:rsidRPr="00F95D91">
        <w:rPr>
          <w:rFonts w:ascii="Verdana" w:hAnsi="Verdana"/>
          <w:i/>
          <w:iCs/>
          <w:sz w:val="20"/>
        </w:rPr>
        <w:t xml:space="preserve"> </w:t>
      </w:r>
      <w:r w:rsidRPr="00F95D91" w:rsidR="008E1EB3">
        <w:rPr>
          <w:rFonts w:ascii="Verdana" w:hAnsi="Verdana"/>
          <w:i/>
          <w:iCs/>
          <w:sz w:val="20"/>
        </w:rPr>
        <w:t>een risicovol besluit en moeilijk te begrijpen.</w:t>
      </w:r>
      <w:r w:rsidRPr="00F95D91">
        <w:rPr>
          <w:rFonts w:ascii="Verdana" w:hAnsi="Verdana"/>
          <w:i/>
          <w:iCs/>
          <w:sz w:val="20"/>
        </w:rPr>
        <w:t xml:space="preserve"> </w:t>
      </w:r>
      <w:r w:rsidRPr="00F95D91" w:rsidR="0019688E">
        <w:rPr>
          <w:rFonts w:ascii="Verdana" w:hAnsi="Verdana"/>
          <w:i/>
          <w:iCs/>
          <w:sz w:val="20"/>
        </w:rPr>
        <w:t xml:space="preserve"> </w:t>
      </w:r>
    </w:p>
    <w:p w:rsidR="00D17177" w:rsidP="00D17177" w:rsidRDefault="00D17177" w14:paraId="57706340" w14:textId="33CC1102">
      <w:pPr>
        <w:rPr>
          <w:rFonts w:ascii="Verdana" w:hAnsi="Verdana"/>
          <w:sz w:val="20"/>
        </w:rPr>
      </w:pPr>
      <w:r w:rsidRPr="00B05F2F">
        <w:rPr>
          <w:rFonts w:ascii="Verdana" w:hAnsi="Verdana"/>
          <w:i/>
          <w:iCs/>
          <w:sz w:val="20"/>
        </w:rPr>
        <w:t>Deskundige archivarissen</w:t>
      </w:r>
      <w:r w:rsidRPr="00B05F2F">
        <w:rPr>
          <w:rFonts w:ascii="Verdana" w:hAnsi="Verdana"/>
          <w:sz w:val="20"/>
        </w:rPr>
        <w:t>. De Archiefwet 1995 vereist een diploma archivistiek voor het vervullen van de functie van archivaris of archiefinspecteur. De diploma-eis komt met deze nieuwe archiefwet te vervallen. (</w:t>
      </w:r>
      <w:proofErr w:type="spellStart"/>
      <w:r w:rsidRPr="00B05F2F">
        <w:rPr>
          <w:rFonts w:ascii="Verdana" w:hAnsi="Verdana"/>
          <w:sz w:val="20"/>
        </w:rPr>
        <w:t>MvT</w:t>
      </w:r>
      <w:proofErr w:type="spellEnd"/>
      <w:r w:rsidRPr="00B05F2F">
        <w:rPr>
          <w:rFonts w:ascii="Verdana" w:hAnsi="Verdana"/>
          <w:sz w:val="20"/>
        </w:rPr>
        <w:t xml:space="preserve">, p. 39, 88). Dit wetsvoorstel stelt ook </w:t>
      </w:r>
      <w:r w:rsidR="004104AB">
        <w:rPr>
          <w:rFonts w:ascii="Verdana" w:hAnsi="Verdana"/>
          <w:sz w:val="20"/>
        </w:rPr>
        <w:t xml:space="preserve">voor </w:t>
      </w:r>
      <w:r w:rsidRPr="00B05F2F">
        <w:rPr>
          <w:rFonts w:ascii="Verdana" w:hAnsi="Verdana"/>
          <w:sz w:val="20"/>
        </w:rPr>
        <w:t>“om voor provincies, gemeenten en waterschappen het benoemen van een archivaris verplicht te stellen</w:t>
      </w:r>
      <w:r w:rsidR="004104AB">
        <w:rPr>
          <w:rFonts w:ascii="Verdana" w:hAnsi="Verdana"/>
          <w:sz w:val="20"/>
        </w:rPr>
        <w:t>”</w:t>
      </w:r>
      <w:r w:rsidRPr="00B05F2F">
        <w:rPr>
          <w:rFonts w:ascii="Verdana" w:hAnsi="Verdana"/>
          <w:sz w:val="20"/>
        </w:rPr>
        <w:t xml:space="preserve"> (waarbij de diploma-eis voor de archivaris vervalt).(</w:t>
      </w:r>
      <w:proofErr w:type="spellStart"/>
      <w:r w:rsidRPr="00B05F2F">
        <w:rPr>
          <w:rFonts w:ascii="Verdana" w:hAnsi="Verdana"/>
          <w:sz w:val="20"/>
        </w:rPr>
        <w:t>MvT</w:t>
      </w:r>
      <w:proofErr w:type="spellEnd"/>
      <w:r w:rsidRPr="00B05F2F">
        <w:rPr>
          <w:rFonts w:ascii="Verdana" w:hAnsi="Verdana"/>
          <w:sz w:val="20"/>
        </w:rPr>
        <w:t>, p. 12, 88). Volgens het voorstel (artikel 6.3, vierde lid) moet een archivaris worden “aangewezen in elk geval op grond van zijn professionele kwaliteiten, in het bijzonder zijn deskundigheid op het gebied van de wetgeving en de praktijk inzake archivistiek, alsmede zijn vermogen de taken te vervullen die voortvloeien uit het bepaalde bij of krachtens deze wet.”</w:t>
      </w:r>
      <w:r w:rsidR="00C83188">
        <w:rPr>
          <w:rFonts w:ascii="Verdana" w:hAnsi="Verdana"/>
          <w:sz w:val="20"/>
        </w:rPr>
        <w:t>(Art 6.3, lid 4).</w:t>
      </w:r>
      <w:r w:rsidRPr="00B05F2F">
        <w:rPr>
          <w:rFonts w:ascii="Verdana" w:hAnsi="Verdana"/>
          <w:sz w:val="20"/>
        </w:rPr>
        <w:t xml:space="preserve"> “Door vertegenwoordigers uit de sector is wel voorgesteld om de diploma-eis te vervangen door een deskundigheidseis die is gekoppeld aan een certificeringseis.”(</w:t>
      </w:r>
      <w:proofErr w:type="spellStart"/>
      <w:r w:rsidRPr="00B05F2F">
        <w:rPr>
          <w:rFonts w:ascii="Verdana" w:hAnsi="Verdana"/>
          <w:sz w:val="20"/>
        </w:rPr>
        <w:t>MvT</w:t>
      </w:r>
      <w:proofErr w:type="spellEnd"/>
      <w:r w:rsidRPr="00B05F2F">
        <w:rPr>
          <w:rFonts w:ascii="Verdana" w:hAnsi="Verdana"/>
          <w:sz w:val="20"/>
        </w:rPr>
        <w:t>, p. 40). Hiervan is echter afgezien (</w:t>
      </w:r>
      <w:proofErr w:type="spellStart"/>
      <w:r w:rsidRPr="00B05F2F">
        <w:rPr>
          <w:rFonts w:ascii="Verdana" w:hAnsi="Verdana"/>
          <w:sz w:val="20"/>
        </w:rPr>
        <w:t>MvT</w:t>
      </w:r>
      <w:proofErr w:type="spellEnd"/>
      <w:r w:rsidRPr="00B05F2F">
        <w:rPr>
          <w:rFonts w:ascii="Verdana" w:hAnsi="Verdana"/>
          <w:sz w:val="20"/>
        </w:rPr>
        <w:t>, p. 40-41).</w:t>
      </w:r>
      <w:r>
        <w:rPr>
          <w:rFonts w:ascii="Verdana" w:hAnsi="Verdana"/>
          <w:sz w:val="20"/>
        </w:rPr>
        <w:t xml:space="preserve"> </w:t>
      </w:r>
      <w:r w:rsidR="00026C04">
        <w:rPr>
          <w:rFonts w:ascii="Verdana" w:hAnsi="Verdana"/>
          <w:sz w:val="20"/>
        </w:rPr>
        <w:t>G</w:t>
      </w:r>
      <w:r>
        <w:rPr>
          <w:rFonts w:ascii="Verdana" w:hAnsi="Verdana"/>
          <w:sz w:val="20"/>
        </w:rPr>
        <w:t>ezien de behoefte om de informatiehuishouding van de overheid</w:t>
      </w:r>
      <w:r w:rsidR="00026C04">
        <w:rPr>
          <w:rFonts w:ascii="Verdana" w:hAnsi="Verdana"/>
          <w:sz w:val="20"/>
        </w:rPr>
        <w:t xml:space="preserve"> te versterken, </w:t>
      </w:r>
      <w:r w:rsidR="002D628C">
        <w:rPr>
          <w:rFonts w:ascii="Verdana" w:hAnsi="Verdana"/>
          <w:sz w:val="20"/>
        </w:rPr>
        <w:t xml:space="preserve">en </w:t>
      </w:r>
      <w:r w:rsidR="00026C04">
        <w:rPr>
          <w:rFonts w:ascii="Verdana" w:hAnsi="Verdana"/>
          <w:sz w:val="20"/>
        </w:rPr>
        <w:t>wetende dat</w:t>
      </w:r>
      <w:r w:rsidR="002D628C">
        <w:rPr>
          <w:rFonts w:ascii="Verdana" w:hAnsi="Verdana"/>
          <w:sz w:val="20"/>
        </w:rPr>
        <w:t xml:space="preserve"> de complexiteit ervan groot is,</w:t>
      </w:r>
      <w:r>
        <w:rPr>
          <w:rFonts w:ascii="Verdana" w:hAnsi="Verdana"/>
          <w:sz w:val="20"/>
        </w:rPr>
        <w:t xml:space="preserve"> </w:t>
      </w:r>
      <w:r w:rsidR="00C83188">
        <w:rPr>
          <w:rFonts w:ascii="Verdana" w:hAnsi="Verdana"/>
          <w:sz w:val="20"/>
        </w:rPr>
        <w:t xml:space="preserve">is het onbegrijpelijk dat diplomering en/of </w:t>
      </w:r>
      <w:r>
        <w:rPr>
          <w:rFonts w:ascii="Verdana" w:hAnsi="Verdana"/>
          <w:sz w:val="20"/>
        </w:rPr>
        <w:t>deskundigheidseisen</w:t>
      </w:r>
      <w:r w:rsidR="00C83188">
        <w:rPr>
          <w:rFonts w:ascii="Verdana" w:hAnsi="Verdana"/>
          <w:sz w:val="20"/>
        </w:rPr>
        <w:t xml:space="preserve"> </w:t>
      </w:r>
      <w:r w:rsidR="004104AB">
        <w:rPr>
          <w:rFonts w:ascii="Verdana" w:hAnsi="Verdana"/>
          <w:sz w:val="20"/>
        </w:rPr>
        <w:t xml:space="preserve">geheel </w:t>
      </w:r>
      <w:r w:rsidR="00C83188">
        <w:rPr>
          <w:rFonts w:ascii="Verdana" w:hAnsi="Verdana"/>
          <w:sz w:val="20"/>
        </w:rPr>
        <w:t>vervallen</w:t>
      </w:r>
      <w:r w:rsidR="001E63E7">
        <w:rPr>
          <w:rFonts w:ascii="Verdana" w:hAnsi="Verdana"/>
          <w:sz w:val="20"/>
        </w:rPr>
        <w:t>.</w:t>
      </w:r>
      <w:r w:rsidR="00C83188">
        <w:rPr>
          <w:rFonts w:ascii="Verdana" w:hAnsi="Verdana"/>
          <w:sz w:val="20"/>
        </w:rPr>
        <w:t xml:space="preserve"> </w:t>
      </w:r>
      <w:r w:rsidR="00D1707F">
        <w:rPr>
          <w:rFonts w:ascii="Verdana" w:hAnsi="Verdana"/>
          <w:sz w:val="20"/>
        </w:rPr>
        <w:t>H</w:t>
      </w:r>
      <w:r w:rsidR="00C83188">
        <w:rPr>
          <w:rFonts w:ascii="Verdana" w:hAnsi="Verdana"/>
          <w:sz w:val="20"/>
        </w:rPr>
        <w:t xml:space="preserve">et in de </w:t>
      </w:r>
      <w:proofErr w:type="spellStart"/>
      <w:r w:rsidR="00C83188">
        <w:rPr>
          <w:rFonts w:ascii="Verdana" w:hAnsi="Verdana"/>
          <w:sz w:val="20"/>
        </w:rPr>
        <w:t>MvT</w:t>
      </w:r>
      <w:proofErr w:type="spellEnd"/>
      <w:r w:rsidR="00C83188">
        <w:rPr>
          <w:rFonts w:ascii="Verdana" w:hAnsi="Verdana"/>
          <w:sz w:val="20"/>
        </w:rPr>
        <w:t xml:space="preserve"> gestelde dat</w:t>
      </w:r>
      <w:r>
        <w:rPr>
          <w:rFonts w:ascii="Verdana" w:hAnsi="Verdana"/>
          <w:sz w:val="20"/>
        </w:rPr>
        <w:t xml:space="preserve"> </w:t>
      </w:r>
      <w:r w:rsidRPr="00026C04" w:rsidR="00026C04">
        <w:rPr>
          <w:rFonts w:ascii="Verdana" w:hAnsi="Verdana"/>
          <w:sz w:val="20"/>
        </w:rPr>
        <w:t xml:space="preserve">“het door het wegvallen van de diploma-eis eenvoudiger </w:t>
      </w:r>
      <w:r w:rsidR="00C83188">
        <w:rPr>
          <w:rFonts w:ascii="Verdana" w:hAnsi="Verdana"/>
          <w:sz w:val="20"/>
        </w:rPr>
        <w:t xml:space="preserve">(wordt) </w:t>
      </w:r>
      <w:r w:rsidRPr="00026C04" w:rsidR="00026C04">
        <w:rPr>
          <w:rFonts w:ascii="Verdana" w:hAnsi="Verdana"/>
          <w:sz w:val="20"/>
        </w:rPr>
        <w:t>om de taak in de organisatie te beleggen en kan geconcentreerd worden op (</w:t>
      </w:r>
      <w:r w:rsidRPr="00026C04" w:rsidR="00026C04">
        <w:rPr>
          <w:rFonts w:ascii="Verdana" w:hAnsi="Verdana"/>
          <w:i/>
          <w:iCs/>
          <w:sz w:val="20"/>
        </w:rPr>
        <w:t>potentiële)</w:t>
      </w:r>
      <w:r w:rsidRPr="00026C04" w:rsidR="00026C04">
        <w:rPr>
          <w:rFonts w:ascii="Verdana" w:hAnsi="Verdana"/>
          <w:sz w:val="20"/>
        </w:rPr>
        <w:t xml:space="preserve"> geschiktheid, bekwaamheid en kennis.”</w:t>
      </w:r>
      <w:r w:rsidR="00026C04">
        <w:rPr>
          <w:rFonts w:ascii="Verdana" w:hAnsi="Verdana"/>
          <w:sz w:val="20"/>
        </w:rPr>
        <w:t xml:space="preserve"> </w:t>
      </w:r>
      <w:r w:rsidRPr="00026C04" w:rsidR="00026C04">
        <w:rPr>
          <w:rFonts w:ascii="Verdana" w:hAnsi="Verdana"/>
          <w:sz w:val="20"/>
        </w:rPr>
        <w:t>(</w:t>
      </w:r>
      <w:proofErr w:type="spellStart"/>
      <w:r w:rsidRPr="00026C04" w:rsidR="00026C04">
        <w:rPr>
          <w:rFonts w:ascii="Verdana" w:hAnsi="Verdana"/>
          <w:sz w:val="20"/>
        </w:rPr>
        <w:t>MvT</w:t>
      </w:r>
      <w:proofErr w:type="spellEnd"/>
      <w:r w:rsidRPr="00026C04" w:rsidR="00026C04">
        <w:rPr>
          <w:rFonts w:ascii="Verdana" w:hAnsi="Verdana"/>
          <w:sz w:val="20"/>
        </w:rPr>
        <w:t>, p. 61)</w:t>
      </w:r>
      <w:r w:rsidR="00D1707F">
        <w:rPr>
          <w:rFonts w:ascii="Verdana" w:hAnsi="Verdana"/>
          <w:sz w:val="20"/>
        </w:rPr>
        <w:t xml:space="preserve"> stelt bepaald niet gerust</w:t>
      </w:r>
      <w:r w:rsidR="00026C04">
        <w:rPr>
          <w:rFonts w:ascii="Verdana" w:hAnsi="Verdana"/>
          <w:sz w:val="20"/>
        </w:rPr>
        <w:t xml:space="preserve">. </w:t>
      </w:r>
    </w:p>
    <w:p w:rsidR="00192FC7" w:rsidRDefault="00192FC7" w14:paraId="74CB5532" w14:textId="3E5B2F85">
      <w:pPr>
        <w:rPr>
          <w:rFonts w:ascii="Verdana" w:hAnsi="Verdana"/>
          <w:sz w:val="20"/>
        </w:rPr>
      </w:pPr>
    </w:p>
    <w:p w:rsidR="007E7D7A" w:rsidRDefault="007E7D7A" w14:paraId="4B3AD048" w14:textId="0DE46814">
      <w:pPr>
        <w:rPr>
          <w:rFonts w:ascii="Verdana" w:hAnsi="Verdana"/>
          <w:sz w:val="20"/>
        </w:rPr>
      </w:pPr>
      <w:r>
        <w:rPr>
          <w:rFonts w:ascii="Verdana" w:hAnsi="Verdana"/>
          <w:sz w:val="20"/>
        </w:rPr>
        <w:t xml:space="preserve">Charles </w:t>
      </w:r>
      <w:proofErr w:type="spellStart"/>
      <w:r>
        <w:rPr>
          <w:rFonts w:ascii="Verdana" w:hAnsi="Verdana"/>
          <w:sz w:val="20"/>
        </w:rPr>
        <w:t>Jeurgens</w:t>
      </w:r>
      <w:proofErr w:type="spellEnd"/>
      <w:r>
        <w:rPr>
          <w:rFonts w:ascii="Verdana" w:hAnsi="Verdana"/>
          <w:sz w:val="20"/>
        </w:rPr>
        <w:t>, hoogleraar archiefwetenschap UvA</w:t>
      </w:r>
    </w:p>
    <w:p w:rsidRPr="00B05F2F" w:rsidR="007E7D7A" w:rsidRDefault="007E7D7A" w14:paraId="0E7986A9" w14:textId="6EEC2A3F">
      <w:pPr>
        <w:rPr>
          <w:rFonts w:ascii="Verdana" w:hAnsi="Verdana"/>
          <w:sz w:val="20"/>
        </w:rPr>
      </w:pPr>
      <w:r>
        <w:rPr>
          <w:rFonts w:ascii="Verdana" w:hAnsi="Verdana"/>
          <w:sz w:val="20"/>
        </w:rPr>
        <w:t>Eric Ketelaar, em. hoogleraar archiefwetenschap UvA</w:t>
      </w:r>
    </w:p>
    <w:sectPr w:rsidRPr="00B05F2F" w:rsidR="007E7D7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46C11" w14:textId="77777777" w:rsidR="00B95CE1" w:rsidRDefault="00B95CE1" w:rsidP="00602D11">
      <w:pPr>
        <w:spacing w:after="0" w:line="240" w:lineRule="auto"/>
      </w:pPr>
      <w:r>
        <w:separator/>
      </w:r>
    </w:p>
  </w:endnote>
  <w:endnote w:type="continuationSeparator" w:id="0">
    <w:p w14:paraId="5D4A3AD5" w14:textId="77777777" w:rsidR="00B95CE1" w:rsidRDefault="00B95CE1" w:rsidP="00602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16C69" w14:textId="77777777" w:rsidR="00B95CE1" w:rsidRDefault="00B95CE1" w:rsidP="00602D11">
      <w:pPr>
        <w:spacing w:after="0" w:line="240" w:lineRule="auto"/>
      </w:pPr>
      <w:r>
        <w:separator/>
      </w:r>
    </w:p>
  </w:footnote>
  <w:footnote w:type="continuationSeparator" w:id="0">
    <w:p w14:paraId="6D1820E8" w14:textId="77777777" w:rsidR="00B95CE1" w:rsidRDefault="00B95CE1" w:rsidP="00602D11">
      <w:pPr>
        <w:spacing w:after="0" w:line="240" w:lineRule="auto"/>
      </w:pPr>
      <w:r>
        <w:continuationSeparator/>
      </w:r>
    </w:p>
  </w:footnote>
  <w:footnote w:id="1">
    <w:p w14:paraId="1BC8940E" w14:textId="609D4169" w:rsidR="00F310F7" w:rsidRDefault="00F310F7" w:rsidP="00F310F7">
      <w:pPr>
        <w:pStyle w:val="Voetnoottekst"/>
      </w:pPr>
      <w:r>
        <w:rPr>
          <w:rStyle w:val="Voetnootmarkering"/>
        </w:rPr>
        <w:footnoteRef/>
      </w:r>
      <w:r>
        <w:t xml:space="preserve"> Raad van State 3 mei 2017, ECLI:NL:RVS:20</w:t>
      </w:r>
      <w:r w:rsidR="00B74FA4">
        <w:t>1</w:t>
      </w:r>
      <w:r>
        <w:t>7:1177.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7F0ED9"/>
    <w:multiLevelType w:val="hybridMultilevel"/>
    <w:tmpl w:val="C8944A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0NDY1MTIxMjc2NDBR0lEKTi0uzszPAykwrAUAh0h+PywAAAA="/>
  </w:docVars>
  <w:rsids>
    <w:rsidRoot w:val="00602D11"/>
    <w:rsid w:val="00026C04"/>
    <w:rsid w:val="00092E81"/>
    <w:rsid w:val="000A4C1A"/>
    <w:rsid w:val="000C6930"/>
    <w:rsid w:val="000D6D7D"/>
    <w:rsid w:val="00105ED1"/>
    <w:rsid w:val="00114CD8"/>
    <w:rsid w:val="00133FBC"/>
    <w:rsid w:val="00152F41"/>
    <w:rsid w:val="00183AC4"/>
    <w:rsid w:val="00192FC7"/>
    <w:rsid w:val="0019688E"/>
    <w:rsid w:val="00197287"/>
    <w:rsid w:val="001C7E8C"/>
    <w:rsid w:val="001E63E7"/>
    <w:rsid w:val="001F338D"/>
    <w:rsid w:val="0020100A"/>
    <w:rsid w:val="00225A45"/>
    <w:rsid w:val="00284D45"/>
    <w:rsid w:val="002D628C"/>
    <w:rsid w:val="003949EA"/>
    <w:rsid w:val="003A68D0"/>
    <w:rsid w:val="003C35D6"/>
    <w:rsid w:val="003C728A"/>
    <w:rsid w:val="00406325"/>
    <w:rsid w:val="004104AB"/>
    <w:rsid w:val="0043404C"/>
    <w:rsid w:val="0044463D"/>
    <w:rsid w:val="00495C0B"/>
    <w:rsid w:val="004C5DB7"/>
    <w:rsid w:val="004D4D9C"/>
    <w:rsid w:val="004F2825"/>
    <w:rsid w:val="00503AD7"/>
    <w:rsid w:val="005106B2"/>
    <w:rsid w:val="005330BB"/>
    <w:rsid w:val="00545983"/>
    <w:rsid w:val="0055112A"/>
    <w:rsid w:val="0055145F"/>
    <w:rsid w:val="00556F80"/>
    <w:rsid w:val="00570D22"/>
    <w:rsid w:val="0058486E"/>
    <w:rsid w:val="00585CB6"/>
    <w:rsid w:val="005D4E53"/>
    <w:rsid w:val="005F07F8"/>
    <w:rsid w:val="005F19F3"/>
    <w:rsid w:val="00602D11"/>
    <w:rsid w:val="0062776A"/>
    <w:rsid w:val="006843DB"/>
    <w:rsid w:val="006932E5"/>
    <w:rsid w:val="006B0848"/>
    <w:rsid w:val="006C56F9"/>
    <w:rsid w:val="0074150C"/>
    <w:rsid w:val="007A0DD2"/>
    <w:rsid w:val="007C5FA7"/>
    <w:rsid w:val="007E21F5"/>
    <w:rsid w:val="007E7D7A"/>
    <w:rsid w:val="007F18CF"/>
    <w:rsid w:val="007F245E"/>
    <w:rsid w:val="00810F31"/>
    <w:rsid w:val="008267FD"/>
    <w:rsid w:val="008312CF"/>
    <w:rsid w:val="00860506"/>
    <w:rsid w:val="0089699F"/>
    <w:rsid w:val="00897335"/>
    <w:rsid w:val="008C52AD"/>
    <w:rsid w:val="008D4C92"/>
    <w:rsid w:val="008E1EB3"/>
    <w:rsid w:val="00914E21"/>
    <w:rsid w:val="009A76EB"/>
    <w:rsid w:val="009E41CC"/>
    <w:rsid w:val="009E50B6"/>
    <w:rsid w:val="00A10BD1"/>
    <w:rsid w:val="00A22225"/>
    <w:rsid w:val="00A50157"/>
    <w:rsid w:val="00A95664"/>
    <w:rsid w:val="00B05F2F"/>
    <w:rsid w:val="00B118E5"/>
    <w:rsid w:val="00B11B6E"/>
    <w:rsid w:val="00B35174"/>
    <w:rsid w:val="00B74FA4"/>
    <w:rsid w:val="00B77B28"/>
    <w:rsid w:val="00B95CE1"/>
    <w:rsid w:val="00BA724A"/>
    <w:rsid w:val="00BB50CD"/>
    <w:rsid w:val="00BD1BDB"/>
    <w:rsid w:val="00BE715C"/>
    <w:rsid w:val="00C13EB8"/>
    <w:rsid w:val="00C150A6"/>
    <w:rsid w:val="00C24091"/>
    <w:rsid w:val="00C2490C"/>
    <w:rsid w:val="00C37DA4"/>
    <w:rsid w:val="00C60E25"/>
    <w:rsid w:val="00C64110"/>
    <w:rsid w:val="00C83188"/>
    <w:rsid w:val="00C84950"/>
    <w:rsid w:val="00CE44A9"/>
    <w:rsid w:val="00CE67B1"/>
    <w:rsid w:val="00CF1992"/>
    <w:rsid w:val="00D1707F"/>
    <w:rsid w:val="00D17177"/>
    <w:rsid w:val="00D279F9"/>
    <w:rsid w:val="00D35392"/>
    <w:rsid w:val="00D370FB"/>
    <w:rsid w:val="00D62B64"/>
    <w:rsid w:val="00DB1CC1"/>
    <w:rsid w:val="00E17417"/>
    <w:rsid w:val="00E208A3"/>
    <w:rsid w:val="00E36D0A"/>
    <w:rsid w:val="00E41954"/>
    <w:rsid w:val="00E47003"/>
    <w:rsid w:val="00E71B08"/>
    <w:rsid w:val="00F004AA"/>
    <w:rsid w:val="00F07839"/>
    <w:rsid w:val="00F310F7"/>
    <w:rsid w:val="00F5695F"/>
    <w:rsid w:val="00F95D91"/>
    <w:rsid w:val="00FB4DC5"/>
    <w:rsid w:val="00FC23D9"/>
    <w:rsid w:val="00FD63B4"/>
    <w:rsid w:val="00FF2E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5CC0"/>
  <w15:chartTrackingRefBased/>
  <w15:docId w15:val="{06A721B9-D1D2-479F-B51A-28D042ED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602D1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02D11"/>
    <w:rPr>
      <w:sz w:val="20"/>
      <w:szCs w:val="20"/>
    </w:rPr>
  </w:style>
  <w:style w:type="character" w:styleId="Voetnootmarkering">
    <w:name w:val="footnote reference"/>
    <w:basedOn w:val="Standaardalinea-lettertype"/>
    <w:uiPriority w:val="99"/>
    <w:semiHidden/>
    <w:unhideWhenUsed/>
    <w:rsid w:val="00602D11"/>
    <w:rPr>
      <w:vertAlign w:val="superscript"/>
    </w:rPr>
  </w:style>
  <w:style w:type="paragraph" w:styleId="Revisie">
    <w:name w:val="Revision"/>
    <w:hidden/>
    <w:uiPriority w:val="99"/>
    <w:semiHidden/>
    <w:rsid w:val="00BA724A"/>
    <w:pPr>
      <w:spacing w:after="0" w:line="240" w:lineRule="auto"/>
    </w:pPr>
  </w:style>
  <w:style w:type="paragraph" w:styleId="Normaalweb">
    <w:name w:val="Normal (Web)"/>
    <w:basedOn w:val="Standaard"/>
    <w:uiPriority w:val="99"/>
    <w:semiHidden/>
    <w:unhideWhenUsed/>
    <w:rsid w:val="00914E21"/>
    <w:rPr>
      <w:rFonts w:ascii="Times New Roman" w:hAnsi="Times New Roman" w:cs="Times New Roman"/>
      <w:sz w:val="24"/>
      <w:szCs w:val="24"/>
    </w:rPr>
  </w:style>
  <w:style w:type="paragraph" w:styleId="Lijstalinea">
    <w:name w:val="List Paragraph"/>
    <w:basedOn w:val="Standaard"/>
    <w:uiPriority w:val="34"/>
    <w:qFormat/>
    <w:rsid w:val="00C64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602244">
      <w:bodyDiv w:val="1"/>
      <w:marLeft w:val="0"/>
      <w:marRight w:val="0"/>
      <w:marTop w:val="0"/>
      <w:marBottom w:val="0"/>
      <w:divBdr>
        <w:top w:val="none" w:sz="0" w:space="0" w:color="auto"/>
        <w:left w:val="none" w:sz="0" w:space="0" w:color="auto"/>
        <w:bottom w:val="none" w:sz="0" w:space="0" w:color="auto"/>
        <w:right w:val="none" w:sz="0" w:space="0" w:color="auto"/>
      </w:divBdr>
    </w:div>
    <w:div w:id="818229759">
      <w:bodyDiv w:val="1"/>
      <w:marLeft w:val="0"/>
      <w:marRight w:val="0"/>
      <w:marTop w:val="0"/>
      <w:marBottom w:val="0"/>
      <w:divBdr>
        <w:top w:val="none" w:sz="0" w:space="0" w:color="auto"/>
        <w:left w:val="none" w:sz="0" w:space="0" w:color="auto"/>
        <w:bottom w:val="none" w:sz="0" w:space="0" w:color="auto"/>
        <w:right w:val="none" w:sz="0" w:space="0" w:color="auto"/>
      </w:divBdr>
      <w:divsChild>
        <w:div w:id="1640646899">
          <w:marLeft w:val="0"/>
          <w:marRight w:val="0"/>
          <w:marTop w:val="0"/>
          <w:marBottom w:val="0"/>
          <w:divBdr>
            <w:top w:val="none" w:sz="0" w:space="0" w:color="auto"/>
            <w:left w:val="none" w:sz="0" w:space="0" w:color="auto"/>
            <w:bottom w:val="none" w:sz="0" w:space="0" w:color="auto"/>
            <w:right w:val="none" w:sz="0" w:space="0" w:color="auto"/>
          </w:divBdr>
          <w:divsChild>
            <w:div w:id="1436516133">
              <w:marLeft w:val="0"/>
              <w:marRight w:val="0"/>
              <w:marTop w:val="0"/>
              <w:marBottom w:val="0"/>
              <w:divBdr>
                <w:top w:val="none" w:sz="0" w:space="0" w:color="auto"/>
                <w:left w:val="none" w:sz="0" w:space="0" w:color="auto"/>
                <w:bottom w:val="none" w:sz="0" w:space="0" w:color="auto"/>
                <w:right w:val="none" w:sz="0" w:space="0" w:color="auto"/>
              </w:divBdr>
              <w:divsChild>
                <w:div w:id="153684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484223">
      <w:bodyDiv w:val="1"/>
      <w:marLeft w:val="0"/>
      <w:marRight w:val="0"/>
      <w:marTop w:val="0"/>
      <w:marBottom w:val="0"/>
      <w:divBdr>
        <w:top w:val="none" w:sz="0" w:space="0" w:color="auto"/>
        <w:left w:val="none" w:sz="0" w:space="0" w:color="auto"/>
        <w:bottom w:val="none" w:sz="0" w:space="0" w:color="auto"/>
        <w:right w:val="none" w:sz="0" w:space="0" w:color="auto"/>
      </w:divBdr>
      <w:divsChild>
        <w:div w:id="1570387189">
          <w:marLeft w:val="0"/>
          <w:marRight w:val="0"/>
          <w:marTop w:val="0"/>
          <w:marBottom w:val="0"/>
          <w:divBdr>
            <w:top w:val="none" w:sz="0" w:space="0" w:color="auto"/>
            <w:left w:val="none" w:sz="0" w:space="0" w:color="auto"/>
            <w:bottom w:val="none" w:sz="0" w:space="0" w:color="auto"/>
            <w:right w:val="none" w:sz="0" w:space="0" w:color="auto"/>
          </w:divBdr>
          <w:divsChild>
            <w:div w:id="1784304808">
              <w:marLeft w:val="0"/>
              <w:marRight w:val="0"/>
              <w:marTop w:val="0"/>
              <w:marBottom w:val="0"/>
              <w:divBdr>
                <w:top w:val="none" w:sz="0" w:space="0" w:color="auto"/>
                <w:left w:val="none" w:sz="0" w:space="0" w:color="auto"/>
                <w:bottom w:val="none" w:sz="0" w:space="0" w:color="auto"/>
                <w:right w:val="none" w:sz="0" w:space="0" w:color="auto"/>
              </w:divBdr>
              <w:divsChild>
                <w:div w:id="4959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2224">
      <w:bodyDiv w:val="1"/>
      <w:marLeft w:val="0"/>
      <w:marRight w:val="0"/>
      <w:marTop w:val="0"/>
      <w:marBottom w:val="0"/>
      <w:divBdr>
        <w:top w:val="none" w:sz="0" w:space="0" w:color="auto"/>
        <w:left w:val="none" w:sz="0" w:space="0" w:color="auto"/>
        <w:bottom w:val="none" w:sz="0" w:space="0" w:color="auto"/>
        <w:right w:val="none" w:sz="0" w:space="0" w:color="auto"/>
      </w:divBdr>
    </w:div>
    <w:div w:id="1358776780">
      <w:bodyDiv w:val="1"/>
      <w:marLeft w:val="0"/>
      <w:marRight w:val="0"/>
      <w:marTop w:val="0"/>
      <w:marBottom w:val="0"/>
      <w:divBdr>
        <w:top w:val="none" w:sz="0" w:space="0" w:color="auto"/>
        <w:left w:val="none" w:sz="0" w:space="0" w:color="auto"/>
        <w:bottom w:val="none" w:sz="0" w:space="0" w:color="auto"/>
        <w:right w:val="none" w:sz="0" w:space="0" w:color="auto"/>
      </w:divBdr>
      <w:divsChild>
        <w:div w:id="1512333694">
          <w:marLeft w:val="0"/>
          <w:marRight w:val="0"/>
          <w:marTop w:val="0"/>
          <w:marBottom w:val="0"/>
          <w:divBdr>
            <w:top w:val="none" w:sz="0" w:space="0" w:color="auto"/>
            <w:left w:val="none" w:sz="0" w:space="0" w:color="auto"/>
            <w:bottom w:val="none" w:sz="0" w:space="0" w:color="auto"/>
            <w:right w:val="none" w:sz="0" w:space="0" w:color="auto"/>
          </w:divBdr>
          <w:divsChild>
            <w:div w:id="281234349">
              <w:marLeft w:val="0"/>
              <w:marRight w:val="0"/>
              <w:marTop w:val="0"/>
              <w:marBottom w:val="0"/>
              <w:divBdr>
                <w:top w:val="none" w:sz="0" w:space="0" w:color="auto"/>
                <w:left w:val="none" w:sz="0" w:space="0" w:color="auto"/>
                <w:bottom w:val="none" w:sz="0" w:space="0" w:color="auto"/>
                <w:right w:val="none" w:sz="0" w:space="0" w:color="auto"/>
              </w:divBdr>
              <w:divsChild>
                <w:div w:id="174182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54440">
      <w:bodyDiv w:val="1"/>
      <w:marLeft w:val="0"/>
      <w:marRight w:val="0"/>
      <w:marTop w:val="0"/>
      <w:marBottom w:val="0"/>
      <w:divBdr>
        <w:top w:val="none" w:sz="0" w:space="0" w:color="auto"/>
        <w:left w:val="none" w:sz="0" w:space="0" w:color="auto"/>
        <w:bottom w:val="none" w:sz="0" w:space="0" w:color="auto"/>
        <w:right w:val="none" w:sz="0" w:space="0" w:color="auto"/>
      </w:divBdr>
      <w:divsChild>
        <w:div w:id="1120150839">
          <w:marLeft w:val="0"/>
          <w:marRight w:val="0"/>
          <w:marTop w:val="0"/>
          <w:marBottom w:val="0"/>
          <w:divBdr>
            <w:top w:val="none" w:sz="0" w:space="0" w:color="auto"/>
            <w:left w:val="none" w:sz="0" w:space="0" w:color="auto"/>
            <w:bottom w:val="none" w:sz="0" w:space="0" w:color="auto"/>
            <w:right w:val="none" w:sz="0" w:space="0" w:color="auto"/>
          </w:divBdr>
          <w:divsChild>
            <w:div w:id="1619407183">
              <w:marLeft w:val="0"/>
              <w:marRight w:val="0"/>
              <w:marTop w:val="0"/>
              <w:marBottom w:val="0"/>
              <w:divBdr>
                <w:top w:val="none" w:sz="0" w:space="0" w:color="auto"/>
                <w:left w:val="none" w:sz="0" w:space="0" w:color="auto"/>
                <w:bottom w:val="none" w:sz="0" w:space="0" w:color="auto"/>
                <w:right w:val="none" w:sz="0" w:space="0" w:color="auto"/>
              </w:divBdr>
              <w:divsChild>
                <w:div w:id="4267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66077">
      <w:bodyDiv w:val="1"/>
      <w:marLeft w:val="0"/>
      <w:marRight w:val="0"/>
      <w:marTop w:val="0"/>
      <w:marBottom w:val="0"/>
      <w:divBdr>
        <w:top w:val="none" w:sz="0" w:space="0" w:color="auto"/>
        <w:left w:val="none" w:sz="0" w:space="0" w:color="auto"/>
        <w:bottom w:val="none" w:sz="0" w:space="0" w:color="auto"/>
        <w:right w:val="none" w:sz="0" w:space="0" w:color="auto"/>
      </w:divBdr>
      <w:divsChild>
        <w:div w:id="447698128">
          <w:marLeft w:val="0"/>
          <w:marRight w:val="0"/>
          <w:marTop w:val="0"/>
          <w:marBottom w:val="0"/>
          <w:divBdr>
            <w:top w:val="none" w:sz="0" w:space="0" w:color="auto"/>
            <w:left w:val="none" w:sz="0" w:space="0" w:color="auto"/>
            <w:bottom w:val="none" w:sz="0" w:space="0" w:color="auto"/>
            <w:right w:val="none" w:sz="0" w:space="0" w:color="auto"/>
          </w:divBdr>
          <w:divsChild>
            <w:div w:id="333185752">
              <w:marLeft w:val="0"/>
              <w:marRight w:val="0"/>
              <w:marTop w:val="0"/>
              <w:marBottom w:val="0"/>
              <w:divBdr>
                <w:top w:val="none" w:sz="0" w:space="0" w:color="auto"/>
                <w:left w:val="none" w:sz="0" w:space="0" w:color="auto"/>
                <w:bottom w:val="none" w:sz="0" w:space="0" w:color="auto"/>
                <w:right w:val="none" w:sz="0" w:space="0" w:color="auto"/>
              </w:divBdr>
              <w:divsChild>
                <w:div w:id="162190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1596</ap:Words>
  <ap:Characters>8784</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2022-02-18T09:08:00.0000000Z</dcterms:created>
  <dcterms:modified xsi:type="dcterms:W3CDTF">2022-02-18T09:08:00.0000000Z</dcterms:modified>
  <version/>
  <category/>
</coreProperties>
</file>