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W04.21.0282/I/K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A3A45" w:rsidRDefault="004242DA">
              <w:r>
                <w:t>Bij Kabinetsmissive van 13 september 2021, no.2020002307, heeft Uwe Majesteit, op voordracht van de Staatssecretaris van Binnenlandse Zaken en Koninkrijksrelaties, bij de Afdeling advisering van de Raad van State ter overweging aanhangig gemaakt de nota van wijziging bij de Rijkswet houdende regels omtrent de instelling van het Caribisch orgaan voor hervorming en ontwikkeling (Rijkswet Caribisch orgaan voor hervorming en ontwikkeling).</w:t>
              </w:r>
            </w:p>
          </w:sdtContent>
        </w:sdt>
        <w:p w:rsidR="0071031E" w:rsidRDefault="0071031E"/>
        <w:sdt>
          <w:sdtPr>
            <w:alias w:val="VrijeTekst1"/>
            <w:tag w:val="VrijeTekst1"/>
            <w:id w:val="-437221631"/>
            <w:lock w:val="sdtLocked"/>
          </w:sdtPr>
          <w:sdtEndPr/>
          <w:sdtContent>
            <w:p w:rsidR="000A29D5" w:rsidP="000A29D5" w:rsidRDefault="004242DA">
              <w:r>
                <w:t>De nota van wijziging wijzigt het voorstel van Rijkswet houdende regels omtrent de instelling van het Caribisch orgaan voor hervorming en ontwikkeling (Rijkswet COHO).</w:t>
              </w:r>
              <w:r>
                <w:rPr>
                  <w:rStyle w:val="Voetnootmarkering"/>
                </w:rPr>
                <w:footnoteReference w:id="1"/>
              </w:r>
              <w:r>
                <w:t xml:space="preserve"> Deze strekt ertoe dat het College financieel toezicht Curaçao en Sint Maarten, onderscheidenlijk het College Aruba financieel toezicht (hierna gezamenlijk: C(A)ft) van elk land beoordeelt of de begroting van enig jaar een verantwoorde budgettaire vertaling bevat van de afgesproken activiteiten in het kader van de voor dat jaar vast te stellen uitvoeringsagenda’s. Voorts beoordeelt het C(A)ft of de begroting geen onderdelen bevat die in strijd zijn met de doelstellingen van het landspakket en of de in een begroting opgenomen geldleningen afdoende zijn om de uit te voeren projecten programma’s en maatregelen in het kader van de uitvoeringsagenda’s te kunnen financieren en deze aanwending niet in strijd is met de doelstellingen van het landspakket.</w:t>
              </w:r>
            </w:p>
            <w:p w:rsidR="000A29D5" w:rsidP="000A29D5" w:rsidRDefault="00CD455B"/>
            <w:p w:rsidR="000A29D5" w:rsidP="000A29D5" w:rsidRDefault="004242DA">
              <w:pPr>
                <w:rPr>
                  <w:bCs/>
                </w:rPr>
              </w:pPr>
              <w:r>
                <w:t xml:space="preserve">De Afdeling advisering van de Raad van State wijst op de taakverdeling tussen het COHO en het C(A)ft ingevolge </w:t>
              </w:r>
              <w:r>
                <w:rPr>
                  <w:bCs/>
                </w:rPr>
                <w:t>de Rijkswet financieel toezicht Curaçao en Sint Maarten (</w:t>
              </w:r>
              <w:proofErr w:type="spellStart"/>
              <w:r>
                <w:rPr>
                  <w:bCs/>
                </w:rPr>
                <w:t>Rft</w:t>
              </w:r>
              <w:proofErr w:type="spellEnd"/>
              <w:r>
                <w:rPr>
                  <w:bCs/>
                </w:rPr>
                <w:t xml:space="preserve">), de Landsverordening Aruba financieel toezicht en twee protocollen (hierna gezamenlijk: </w:t>
              </w:r>
              <w:proofErr w:type="spellStart"/>
              <w:r>
                <w:rPr>
                  <w:bCs/>
                </w:rPr>
                <w:t>LAft</w:t>
              </w:r>
              <w:proofErr w:type="spellEnd"/>
              <w:r>
                <w:rPr>
                  <w:bCs/>
                </w:rPr>
                <w:t>)</w:t>
              </w:r>
              <w:r>
                <w:rPr>
                  <w:rStyle w:val="Voetnootmarkering"/>
                  <w:bCs/>
                </w:rPr>
                <w:footnoteReference w:id="2"/>
              </w:r>
              <w:r>
                <w:rPr>
                  <w:bCs/>
                </w:rPr>
                <w:t xml:space="preserve"> en de Rijkswet COHO. Zij maakt enkele opmerkingen over de opzet van de nota van wijziging in het licht van deze taakverdeling. In dit verband wijst zij er in het bijzonder op dat de voorgestelde rol van de Rijksministerraad inbreuk maakt op de toedeling van verantwoordelijkheden aan en het probleem-eigenaarschap van de landen. </w:t>
              </w:r>
            </w:p>
            <w:p w:rsidR="00F30773" w:rsidP="000A29D5" w:rsidRDefault="00CD455B">
              <w:pPr>
                <w:rPr>
                  <w:bCs/>
                </w:rPr>
              </w:pPr>
            </w:p>
            <w:p w:rsidR="000A29D5" w:rsidP="000A29D5" w:rsidRDefault="004242DA">
              <w:r>
                <w:rPr>
                  <w:bCs/>
                </w:rPr>
                <w:t>Voorts wijst zij op het belang van afstemming tussen het C(A)ft en het COHO. Zo kan het behulpzaam zijn dat het C(A)ft in een vroeg stadium beziet wat de gevolgen van door het COHO met de landen ontwikkelde voornemens zijn op de begrotingen. In het door COHO en C(A)ft vast te stellen samenwerkingsprotocol kan aan die afstemming vorm en inhoud worden gegeven.</w:t>
              </w:r>
            </w:p>
            <w:p w:rsidR="000A29D5" w:rsidP="000A29D5" w:rsidRDefault="00CD455B"/>
            <w:p w:rsidR="000A29D5" w:rsidP="000A29D5" w:rsidRDefault="004242DA">
              <w:r>
                <w:t xml:space="preserve">In verband met deze opmerkingen adviseert de Afdeling de nota van wijziging aan te passen. </w:t>
              </w:r>
            </w:p>
            <w:p w:rsidR="000A29D5" w:rsidP="000A29D5" w:rsidRDefault="00CD455B"/>
            <w:p w:rsidR="000A29D5" w:rsidP="000A29D5" w:rsidRDefault="004242DA">
              <w:r>
                <w:t>1.</w:t>
              </w:r>
              <w:r>
                <w:tab/>
              </w:r>
              <w:r>
                <w:rPr>
                  <w:u w:val="single"/>
                </w:rPr>
                <w:t>Inleiding</w:t>
              </w:r>
            </w:p>
            <w:p w:rsidR="000A29D5" w:rsidP="000A29D5" w:rsidRDefault="00CD455B"/>
            <w:p w:rsidRPr="00D34B8E" w:rsidR="000A29D5" w:rsidP="000A29D5" w:rsidRDefault="004242DA">
              <w:pPr>
                <w:rPr>
                  <w:i/>
                  <w:iCs/>
                </w:rPr>
              </w:pPr>
              <w:r>
                <w:t>a.</w:t>
              </w:r>
              <w:r>
                <w:tab/>
              </w:r>
              <w:r>
                <w:rPr>
                  <w:i/>
                  <w:iCs/>
                </w:rPr>
                <w:t>Nota van wijziging</w:t>
              </w:r>
            </w:p>
            <w:p w:rsidR="000A29D5" w:rsidP="000A29D5" w:rsidRDefault="004242DA">
              <w:r>
                <w:t>De nota van wijziging regelt dat het C(A)ft van elk land beoordeelt of de begroting van enig jaar een verantwoorde budgettaire vertaling bevat van de afgesproken activiteiten in het kader van de voor dat jaar vast te stellen uitvoeringsagenda’s en geen onderdelen bevat die in strijd zijn met de doelstellingen van het landspakket.</w:t>
              </w:r>
              <w:r>
                <w:rPr>
                  <w:rStyle w:val="Voetnootmarkering"/>
                </w:rPr>
                <w:footnoteReference w:id="3"/>
              </w:r>
            </w:p>
            <w:p w:rsidR="000A29D5" w:rsidP="000A29D5" w:rsidRDefault="00CD455B"/>
            <w:p w:rsidR="000A29D5" w:rsidP="000A29D5" w:rsidRDefault="004242DA">
              <w:r>
                <w:t>Tevens regelt de nota van wijziging dat het C(A)ft van elk land beoordeelt of de in een begroting opgenomen geldleningen voor de kapitaaldienst afdoende zijn om de uit te voeren projecten, programma’s en maatregelen in het kader van de uitvoeringsagenda’s te kunnen financieren en deze aanwending niet in strijd is met de doelstellingen van het landspakket.</w:t>
              </w:r>
              <w:r>
                <w:rPr>
                  <w:rStyle w:val="Voetnootmarkering"/>
                </w:rPr>
                <w:footnoteReference w:id="4"/>
              </w:r>
            </w:p>
            <w:p w:rsidR="000A29D5" w:rsidP="000A29D5" w:rsidRDefault="004242DA">
              <w:r>
                <w:t xml:space="preserve"> </w:t>
              </w:r>
            </w:p>
            <w:p w:rsidR="000A29D5" w:rsidP="000A29D5" w:rsidRDefault="004242DA">
              <w:r>
                <w:t>Volgens de toelichting wordt hiermee een grondslag gecreëerd voor een verruiming van het begrotingstoezicht door het C(A)ft. Hiermee wordt beoogd te waarborgen dat de begrotingen van de Caribische landen een adequate budgettaire verwerking bevatten van de gevolgen van de uitvoering van de landspakketten. Daarmee moet het daadwerkelijk inzetten van middelen voor dat doel worden verzekerd, zodat de beoogde resultaten en hervormingen worden gerealiseerd. Een tweede reden voor het verruimen van het begrotingstoezicht door het C(A)ft is het realiseren van een heldere en werkbare afbakening tussen de bevoegdheden van het C(A)ft (toezicht op de begroting, niet op de inhoud van de hervormingen) en het COHO (toezicht op de hervormingen, niet op de vertaling ervan in de begroting).</w:t>
              </w:r>
            </w:p>
            <w:p w:rsidR="000A29D5" w:rsidP="000A29D5" w:rsidRDefault="00CD455B"/>
            <w:p w:rsidR="000A29D5" w:rsidP="000A29D5" w:rsidRDefault="004242DA">
              <w:r>
                <w:t>Volgens de toelichting is ervoor gekozen het verruimde begrotingstoezicht in de Rijkswet COHO op te nemen omdat het specifiek betrekking heeft op de budgettaire vertaling van de afgesproken hervormingen en maatregelen op grond van de Rijkswet COHO en omdat daarmee gemarkeerd wordt dat dit verruimde toezicht net als de Rijkswet COHO tijdelijk van aard is.</w:t>
              </w:r>
              <w:r>
                <w:rPr>
                  <w:rStyle w:val="Voetnootmarkering"/>
                </w:rPr>
                <w:footnoteReference w:id="5"/>
              </w:r>
            </w:p>
            <w:p w:rsidR="000A29D5" w:rsidP="000A29D5" w:rsidRDefault="00CD455B"/>
            <w:p w:rsidRPr="00D34B8E" w:rsidR="000A29D5" w:rsidP="000A29D5" w:rsidRDefault="004242DA">
              <w:pPr>
                <w:rPr>
                  <w:i/>
                  <w:iCs/>
                </w:rPr>
              </w:pPr>
              <w:r>
                <w:t>b.</w:t>
              </w:r>
              <w:r>
                <w:tab/>
              </w:r>
              <w:r w:rsidRPr="00D34B8E">
                <w:rPr>
                  <w:i/>
                  <w:iCs/>
                </w:rPr>
                <w:t>Verhouding Rijkswet financieel toezicht en Rijkswet COHO</w:t>
              </w:r>
            </w:p>
            <w:p w:rsidR="000A29D5" w:rsidP="000A29D5" w:rsidRDefault="004242DA">
              <w:r>
                <w:t xml:space="preserve">In de </w:t>
              </w:r>
              <w:proofErr w:type="spellStart"/>
              <w:r>
                <w:t>Rft</w:t>
              </w:r>
              <w:proofErr w:type="spellEnd"/>
              <w:r>
                <w:t xml:space="preserve"> en </w:t>
              </w:r>
              <w:proofErr w:type="spellStart"/>
              <w:r>
                <w:t>LAft</w:t>
              </w:r>
              <w:proofErr w:type="spellEnd"/>
              <w:r>
                <w:t xml:space="preserve"> is het toezicht op de overheidsfinanciën van de landen geregeld. Het C(A)ft houdt in dat verband toezicht op de naleving van de begrotingsnormen, zoals die in de </w:t>
              </w:r>
              <w:proofErr w:type="spellStart"/>
              <w:r>
                <w:t>Rft</w:t>
              </w:r>
              <w:proofErr w:type="spellEnd"/>
              <w:r>
                <w:t xml:space="preserve"> en </w:t>
              </w:r>
              <w:proofErr w:type="spellStart"/>
              <w:r>
                <w:t>LAft</w:t>
              </w:r>
              <w:proofErr w:type="spellEnd"/>
              <w:r>
                <w:t xml:space="preserve"> zijn neergelegd, toetst of is voldaan aan de voorwaarden voor het aangaan van leningen, rapporteert aan en adviseert de landen en houdt toezicht op het financiële beheer.</w:t>
              </w:r>
              <w:r>
                <w:rPr>
                  <w:rStyle w:val="Voetnootmarkering"/>
                </w:rPr>
                <w:footnoteReference w:id="6"/>
              </w:r>
              <w:r>
                <w:t xml:space="preserve"> Daartoe beoordeelt het C(A)ft onder andere de ontwerpbegrotingen en voornemens tot het aangaan van geldleningen. Indien het C(A)ft van oordeel is dat – kort gezegd - de normen van de </w:t>
              </w:r>
              <w:proofErr w:type="spellStart"/>
              <w:r>
                <w:t>Rft</w:t>
              </w:r>
              <w:proofErr w:type="spellEnd"/>
              <w:r>
                <w:t xml:space="preserve"> en </w:t>
              </w:r>
              <w:proofErr w:type="spellStart"/>
              <w:r>
                <w:t>LAft</w:t>
              </w:r>
              <w:proofErr w:type="spellEnd"/>
              <w:r>
                <w:t xml:space="preserve"> worden overschreden, informeert het </w:t>
              </w:r>
              <w:proofErr w:type="spellStart"/>
              <w:r>
                <w:t>Cft</w:t>
              </w:r>
              <w:proofErr w:type="spellEnd"/>
              <w:r>
                <w:t xml:space="preserve"> de Rijksministerraad hierover, die vervolgens kan besluiten ter zake een aanwijzing te geven aan het desbetreffende land.</w:t>
              </w:r>
              <w:r>
                <w:rPr>
                  <w:rStyle w:val="Voetnootmarkering"/>
                </w:rPr>
                <w:footnoteReference w:id="7"/>
              </w:r>
              <w:r>
                <w:t xml:space="preserve"> Tegen het besluit van de Rijksministerraad staat vervolgens kroonberoep open. </w:t>
              </w:r>
            </w:p>
            <w:p w:rsidR="000A29D5" w:rsidP="000A29D5" w:rsidRDefault="00CD455B"/>
            <w:p w:rsidR="000A29D5" w:rsidP="000A29D5" w:rsidRDefault="004242DA">
              <w:r>
                <w:lastRenderedPageBreak/>
                <w:t xml:space="preserve">Het toezicht in het kader van de </w:t>
              </w:r>
              <w:proofErr w:type="spellStart"/>
              <w:r>
                <w:t>Rft</w:t>
              </w:r>
              <w:proofErr w:type="spellEnd"/>
              <w:r>
                <w:t xml:space="preserve"> en </w:t>
              </w:r>
              <w:proofErr w:type="spellStart"/>
              <w:r>
                <w:t>LAft</w:t>
              </w:r>
              <w:proofErr w:type="spellEnd"/>
              <w:r>
                <w:t xml:space="preserve"> is gericht op de overheidsfinanciën van de landen. De verschillende beleidsvoornemens van de landen vinden hun weerslag in de begrotingen, waarop het C(A)ft toezicht houdt.</w:t>
              </w:r>
              <w:r>
                <w:rPr>
                  <w:rStyle w:val="Voetnootmarkering"/>
                </w:rPr>
                <w:footnoteReference w:id="8"/>
              </w:r>
              <w:r>
                <w:t xml:space="preserve"> Het toezicht richt zich niet op die beleidsvoornemens als zodanig (dat is aan de landen zelf) maar slechts op de weerslag daarvan op de overheidsfinanciën als geheel.</w:t>
              </w:r>
            </w:p>
            <w:p w:rsidR="000A29D5" w:rsidP="000A29D5" w:rsidRDefault="00CD455B"/>
            <w:p w:rsidR="000A29D5" w:rsidP="000A29D5" w:rsidRDefault="004242DA">
              <w:pPr>
                <w:rPr>
                  <w:bCs/>
                </w:rPr>
              </w:pPr>
              <w:r>
                <w:t xml:space="preserve">In de </w:t>
              </w:r>
              <w:r w:rsidRPr="006A63F2">
                <w:rPr>
                  <w:bCs/>
                </w:rPr>
                <w:t xml:space="preserve">Rijkswet </w:t>
              </w:r>
              <w:r>
                <w:rPr>
                  <w:bCs/>
                </w:rPr>
                <w:t xml:space="preserve">COHO gaat het, zoals blijkt uit de considerans, om </w:t>
              </w:r>
              <w:r w:rsidRPr="008B31F3">
                <w:rPr>
                  <w:bCs/>
                </w:rPr>
                <w:t>het doorvoeren van hervormingen van bestuurlijke aard, het realiseren van duurzame en houdbare overheidsfinanciën en het versterken van de weerbaarheid van de economie in deze landen</w:t>
              </w:r>
              <w:r>
                <w:rPr>
                  <w:bCs/>
                </w:rPr>
                <w:t>. Het COHO, dat voor dit doel wordt ingesteld, heeft als taak het</w:t>
              </w:r>
              <w:r w:rsidRPr="008B31F3">
                <w:rPr>
                  <w:bCs/>
                </w:rPr>
                <w:t xml:space="preserve"> ondersteunen van de ontwikkeling en uitvoering van projecten, programma’s en maatregelen</w:t>
              </w:r>
              <w:r>
                <w:rPr>
                  <w:bCs/>
                </w:rPr>
                <w:t xml:space="preserve">, en </w:t>
              </w:r>
              <w:r w:rsidRPr="008B31F3">
                <w:rPr>
                  <w:bCs/>
                </w:rPr>
                <w:t xml:space="preserve">het houden van toezicht op de voortgang </w:t>
              </w:r>
              <w:r>
                <w:rPr>
                  <w:bCs/>
                </w:rPr>
                <w:t>daarvan.</w:t>
              </w:r>
              <w:r>
                <w:rPr>
                  <w:rStyle w:val="Voetnootmarkering"/>
                  <w:bCs/>
                </w:rPr>
                <w:footnoteReference w:id="9"/>
              </w:r>
              <w:r>
                <w:rPr>
                  <w:bCs/>
                </w:rPr>
                <w:t xml:space="preserve"> Het beschikt daarvoor over verschillende bevoegdheden. Waar het gaat om de toezichtstaak kan het goedkeuring aan plannen van aanpak onthouden en steunverlening opschorten. Tegen deze beslissingen van het COHO staat kroonberoep open. </w:t>
              </w:r>
            </w:p>
            <w:p w:rsidR="000A29D5" w:rsidP="000A29D5" w:rsidRDefault="00CD455B">
              <w:pPr>
                <w:rPr>
                  <w:bCs/>
                </w:rPr>
              </w:pPr>
            </w:p>
            <w:p w:rsidR="000A29D5" w:rsidP="000A29D5" w:rsidRDefault="004242DA">
              <w:pPr>
                <w:rPr>
                  <w:bCs/>
                </w:rPr>
              </w:pPr>
              <w:r>
                <w:rPr>
                  <w:bCs/>
                </w:rPr>
                <w:t xml:space="preserve">In zekere zin is er sprake van complementariteit tussen de </w:t>
              </w:r>
              <w:proofErr w:type="spellStart"/>
              <w:r>
                <w:rPr>
                  <w:bCs/>
                </w:rPr>
                <w:t>Rft</w:t>
              </w:r>
              <w:proofErr w:type="spellEnd"/>
              <w:r>
                <w:rPr>
                  <w:bCs/>
                </w:rPr>
                <w:t xml:space="preserve"> en </w:t>
              </w:r>
              <w:proofErr w:type="spellStart"/>
              <w:r>
                <w:rPr>
                  <w:bCs/>
                </w:rPr>
                <w:t>LAft</w:t>
              </w:r>
              <w:proofErr w:type="spellEnd"/>
              <w:r>
                <w:rPr>
                  <w:bCs/>
                </w:rPr>
                <w:t xml:space="preserve"> en de Rijkswet COHO, en tussen het C(A)ft en het COHO. Het COHO houdt toezicht op de hervormingsmaatregelen, niet op de begroting als geheel, het C(A)ft houdt geen toezicht op de afzonderlijke hervormingsmaatregelen, maar wel op de vraag of het geheel, met inbegrip van de hervormingsmaatregelen, blijft binnen de geldende normen voor de overheidsfinanciën in de </w:t>
              </w:r>
              <w:proofErr w:type="spellStart"/>
              <w:r>
                <w:rPr>
                  <w:bCs/>
                </w:rPr>
                <w:t>Rft</w:t>
              </w:r>
              <w:proofErr w:type="spellEnd"/>
              <w:r>
                <w:rPr>
                  <w:bCs/>
                </w:rPr>
                <w:t xml:space="preserve"> en </w:t>
              </w:r>
              <w:proofErr w:type="spellStart"/>
              <w:r>
                <w:rPr>
                  <w:bCs/>
                </w:rPr>
                <w:t>LAft</w:t>
              </w:r>
              <w:proofErr w:type="spellEnd"/>
              <w:r>
                <w:rPr>
                  <w:bCs/>
                </w:rPr>
                <w:t>.</w:t>
              </w:r>
            </w:p>
            <w:p w:rsidR="000A29D5" w:rsidP="000A29D5" w:rsidRDefault="00CD455B">
              <w:pPr>
                <w:rPr>
                  <w:bCs/>
                </w:rPr>
              </w:pPr>
            </w:p>
            <w:p w:rsidR="000A29D5" w:rsidP="000A29D5" w:rsidRDefault="004242DA">
              <w:pPr>
                <w:rPr>
                  <w:bCs/>
                </w:rPr>
              </w:pPr>
              <w:r>
                <w:rPr>
                  <w:bCs/>
                </w:rPr>
                <w:t xml:space="preserve">Tegen de achtergrond van het voorgaande merkt de Afdeling het volgende op. </w:t>
              </w:r>
            </w:p>
            <w:p w:rsidR="000A29D5" w:rsidP="000A29D5" w:rsidRDefault="00CD455B">
              <w:pPr>
                <w:rPr>
                  <w:bCs/>
                </w:rPr>
              </w:pPr>
            </w:p>
            <w:p w:rsidRPr="00D34B8E" w:rsidR="000A29D5" w:rsidP="000A29D5" w:rsidRDefault="004242DA">
              <w:pPr>
                <w:rPr>
                  <w:bCs/>
                  <w:u w:val="single"/>
                </w:rPr>
              </w:pPr>
              <w:r>
                <w:rPr>
                  <w:bCs/>
                </w:rPr>
                <w:t>2</w:t>
              </w:r>
              <w:r w:rsidRPr="008B5695">
                <w:rPr>
                  <w:bCs/>
                </w:rPr>
                <w:t>.</w:t>
              </w:r>
              <w:r>
                <w:rPr>
                  <w:bCs/>
                </w:rPr>
                <w:tab/>
              </w:r>
              <w:r>
                <w:rPr>
                  <w:bCs/>
                  <w:u w:val="single"/>
                </w:rPr>
                <w:t>Begrotingstoezicht</w:t>
              </w:r>
            </w:p>
            <w:p w:rsidR="000A29D5" w:rsidP="000A29D5" w:rsidRDefault="00CD455B">
              <w:pPr>
                <w:rPr>
                  <w:bCs/>
                </w:rPr>
              </w:pPr>
            </w:p>
            <w:p w:rsidR="000A29D5" w:rsidP="000A29D5" w:rsidRDefault="004242DA">
              <w:pPr>
                <w:rPr>
                  <w:bCs/>
                </w:rPr>
              </w:pPr>
              <w:r>
                <w:rPr>
                  <w:bCs/>
                </w:rPr>
                <w:t xml:space="preserve">Zoals hiervoor kort geschetst heeft het C(A)ft onder andere als taak het houden van begrotingstoezicht. Daartoe beoordeelt het C(A)ft de ontwerpbegrotingen van de landen. Activiteiten die plaatsvinden in het kader van de Rijkswet COHO dienen hun weerslag te vinden in de ontwerpbegrotingen van de landen. De </w:t>
              </w:r>
              <w:proofErr w:type="spellStart"/>
              <w:r>
                <w:rPr>
                  <w:bCs/>
                </w:rPr>
                <w:t>Rft</w:t>
              </w:r>
              <w:proofErr w:type="spellEnd"/>
              <w:r>
                <w:rPr>
                  <w:bCs/>
                </w:rPr>
                <w:t xml:space="preserve"> en </w:t>
              </w:r>
              <w:proofErr w:type="spellStart"/>
              <w:r>
                <w:rPr>
                  <w:bCs/>
                </w:rPr>
                <w:t>LAft</w:t>
              </w:r>
              <w:proofErr w:type="spellEnd"/>
              <w:r>
                <w:rPr>
                  <w:bCs/>
                </w:rPr>
                <w:t xml:space="preserve"> voorzien in de instrumenten om te bewerkstelligen dat het C(A)ft in het kader van het begrotingstoezicht in staat is om te beoordelen of activiteiten die in het kader van de Rijkswet COHO in gang worden gezet, bezien in samenhang met hetgeen overigens zijn weerslag vindt in de ontwerpbegrotingen, per saldo passen binnen de door de </w:t>
              </w:r>
              <w:proofErr w:type="spellStart"/>
              <w:r>
                <w:rPr>
                  <w:bCs/>
                </w:rPr>
                <w:t>Rft</w:t>
              </w:r>
              <w:proofErr w:type="spellEnd"/>
              <w:r>
                <w:rPr>
                  <w:bCs/>
                </w:rPr>
                <w:t xml:space="preserve"> en de </w:t>
              </w:r>
              <w:proofErr w:type="spellStart"/>
              <w:r>
                <w:rPr>
                  <w:bCs/>
                </w:rPr>
                <w:t>LAft</w:t>
              </w:r>
              <w:proofErr w:type="spellEnd"/>
              <w:r>
                <w:rPr>
                  <w:bCs/>
                </w:rPr>
                <w:t xml:space="preserve"> gestelde grenzen. Daarbij beoordeelt het C(A)ft ook of in de begroting de noodzakelijke voorzieningen zijn opgenomen ten behoeve van de uitvoering van in het kader van de Rijkswet COHO overeengekomen activiteiten. Een nadere regeling is uit dat oogpunt bezien ook niet nodig.</w:t>
              </w:r>
            </w:p>
            <w:p w:rsidR="00480E3A" w:rsidP="000A29D5" w:rsidRDefault="00CD455B">
              <w:pPr>
                <w:rPr>
                  <w:bCs/>
                </w:rPr>
              </w:pPr>
            </w:p>
            <w:p w:rsidR="000A29D5" w:rsidP="000A29D5" w:rsidRDefault="004242DA">
              <w:pPr>
                <w:rPr>
                  <w:bCs/>
                </w:rPr>
              </w:pPr>
              <w:r>
                <w:rPr>
                  <w:bCs/>
                </w:rPr>
                <w:t xml:space="preserve">Voorts merkt de Afdeling in dit verband op dat er in de </w:t>
              </w:r>
              <w:proofErr w:type="spellStart"/>
              <w:r>
                <w:rPr>
                  <w:bCs/>
                </w:rPr>
                <w:t>Rft</w:t>
              </w:r>
              <w:proofErr w:type="spellEnd"/>
              <w:r>
                <w:rPr>
                  <w:bCs/>
                </w:rPr>
                <w:t xml:space="preserve"> en de </w:t>
              </w:r>
              <w:proofErr w:type="spellStart"/>
              <w:r>
                <w:rPr>
                  <w:bCs/>
                </w:rPr>
                <w:t>LAft</w:t>
              </w:r>
              <w:proofErr w:type="spellEnd"/>
              <w:r>
                <w:rPr>
                  <w:bCs/>
                </w:rPr>
                <w:t xml:space="preserve"> uitdrukkelijk voor is gekozen dat h</w:t>
              </w:r>
              <w:r w:rsidRPr="00CF7449">
                <w:rPr>
                  <w:bCs/>
                </w:rPr>
                <w:t>et C</w:t>
              </w:r>
              <w:r>
                <w:rPr>
                  <w:bCs/>
                </w:rPr>
                <w:t>(A)</w:t>
              </w:r>
              <w:r w:rsidRPr="00CF7449">
                <w:rPr>
                  <w:bCs/>
                </w:rPr>
                <w:t xml:space="preserve">ft uitsluitend </w:t>
              </w:r>
              <w:r>
                <w:rPr>
                  <w:bCs/>
                </w:rPr>
                <w:t xml:space="preserve">beoordeelt </w:t>
              </w:r>
              <w:r w:rsidRPr="00CF7449">
                <w:rPr>
                  <w:bCs/>
                </w:rPr>
                <w:t xml:space="preserve">op begrotingstechnische aspecten en zich niet </w:t>
              </w:r>
              <w:r>
                <w:rPr>
                  <w:bCs/>
                </w:rPr>
                <w:t xml:space="preserve">begeeft </w:t>
              </w:r>
              <w:r w:rsidRPr="00CF7449">
                <w:rPr>
                  <w:bCs/>
                </w:rPr>
                <w:t>in een beleidsmatige beoordeling van de begroting.</w:t>
              </w:r>
              <w:r>
                <w:rPr>
                  <w:rStyle w:val="Voetnootmarkering"/>
                  <w:bCs/>
                </w:rPr>
                <w:footnoteReference w:id="10"/>
              </w:r>
              <w:r>
                <w:rPr>
                  <w:bCs/>
                </w:rPr>
                <w:t xml:space="preserve"> De invoering van een beoordeling van afzonderlijke activiteiten past daar niet bij. </w:t>
              </w:r>
            </w:p>
            <w:p w:rsidR="000A29D5" w:rsidP="000A29D5" w:rsidRDefault="00CD455B">
              <w:pPr>
                <w:rPr>
                  <w:bCs/>
                </w:rPr>
              </w:pPr>
            </w:p>
            <w:p w:rsidR="000A29D5" w:rsidP="000A29D5" w:rsidRDefault="004242DA">
              <w:pPr>
                <w:rPr>
                  <w:bCs/>
                </w:rPr>
              </w:pPr>
              <w:r>
                <w:rPr>
                  <w:bCs/>
                </w:rPr>
                <w:t xml:space="preserve">Hetzelfde kan worden opgemerkt ten aanzien van leningen. De </w:t>
              </w:r>
              <w:proofErr w:type="spellStart"/>
              <w:r>
                <w:rPr>
                  <w:bCs/>
                </w:rPr>
                <w:t>Rft</w:t>
              </w:r>
              <w:proofErr w:type="spellEnd"/>
              <w:r>
                <w:rPr>
                  <w:bCs/>
                </w:rPr>
                <w:t xml:space="preserve"> en de </w:t>
              </w:r>
              <w:proofErr w:type="spellStart"/>
              <w:r>
                <w:rPr>
                  <w:bCs/>
                </w:rPr>
                <w:t>LAft</w:t>
              </w:r>
              <w:proofErr w:type="spellEnd"/>
              <w:r>
                <w:rPr>
                  <w:bCs/>
                </w:rPr>
                <w:t xml:space="preserve"> bevatten reeds een beoordelingskader voor het aangaan van leningen door de landen. Het C(A)ft beoordeelt in dat verband of met de leningen wordt voldaan aan de begrotingseisen en de eisen inzake financieel beheer van de </w:t>
              </w:r>
              <w:proofErr w:type="spellStart"/>
              <w:r>
                <w:rPr>
                  <w:bCs/>
                </w:rPr>
                <w:t>Rft</w:t>
              </w:r>
              <w:proofErr w:type="spellEnd"/>
              <w:r>
                <w:rPr>
                  <w:bCs/>
                </w:rPr>
                <w:t xml:space="preserve"> en de </w:t>
              </w:r>
              <w:proofErr w:type="spellStart"/>
              <w:r>
                <w:rPr>
                  <w:bCs/>
                </w:rPr>
                <w:t>LAft</w:t>
              </w:r>
              <w:proofErr w:type="spellEnd"/>
              <w:r>
                <w:rPr>
                  <w:bCs/>
                </w:rPr>
                <w:t xml:space="preserve">. Deze regels zijn ook van toepassing op leningen die worden aangegaan in het kader van de Rijkswet COHO. </w:t>
              </w:r>
            </w:p>
            <w:p w:rsidR="000A29D5" w:rsidP="000A29D5" w:rsidRDefault="00CD455B">
              <w:pPr>
                <w:rPr>
                  <w:bCs/>
                </w:rPr>
              </w:pPr>
            </w:p>
            <w:p w:rsidR="000A29D5" w:rsidP="000A29D5" w:rsidRDefault="004242DA">
              <w:pPr>
                <w:rPr>
                  <w:bCs/>
                </w:rPr>
              </w:pPr>
              <w:r>
                <w:rPr>
                  <w:bCs/>
                </w:rPr>
                <w:t xml:space="preserve">De Afdeling concludeert dat, indien en voor zover met de voorliggende nota van wijziging wordt beoogd om het C(A)ft in staat te stellen het begrotingstoezicht op grond van de </w:t>
              </w:r>
              <w:proofErr w:type="spellStart"/>
              <w:r>
                <w:rPr>
                  <w:bCs/>
                </w:rPr>
                <w:t>Rft</w:t>
              </w:r>
              <w:proofErr w:type="spellEnd"/>
              <w:r>
                <w:rPr>
                  <w:bCs/>
                </w:rPr>
                <w:t xml:space="preserve"> en </w:t>
              </w:r>
              <w:proofErr w:type="spellStart"/>
              <w:r>
                <w:rPr>
                  <w:bCs/>
                </w:rPr>
                <w:t>LAft</w:t>
              </w:r>
              <w:proofErr w:type="spellEnd"/>
              <w:r>
                <w:rPr>
                  <w:bCs/>
                </w:rPr>
                <w:t xml:space="preserve"> uit te oefenen ten aanzien van de activiteiten in het kader van de Rijkswet COHO, dergelijke voorzieningen niet nodig zijn. </w:t>
              </w:r>
              <w:r>
                <w:t xml:space="preserve">Beleidsmatige beoordeling van een begroting </w:t>
              </w:r>
              <w:r>
                <w:rPr>
                  <w:bCs/>
                </w:rPr>
                <w:t xml:space="preserve">acht de Afdeling in het kader van het begrotingstoezicht niet passend: het begrotingstoezicht is, zoals hiervoor reeds geschetst, gericht op de effecten van maatregelen op de begroting als geheel in het licht van de daarvoor in de </w:t>
              </w:r>
              <w:proofErr w:type="spellStart"/>
              <w:r>
                <w:rPr>
                  <w:bCs/>
                </w:rPr>
                <w:t>Rft</w:t>
              </w:r>
              <w:proofErr w:type="spellEnd"/>
              <w:r>
                <w:rPr>
                  <w:bCs/>
                </w:rPr>
                <w:t xml:space="preserve"> en </w:t>
              </w:r>
              <w:proofErr w:type="spellStart"/>
              <w:r>
                <w:rPr>
                  <w:bCs/>
                </w:rPr>
                <w:t>LAft</w:t>
              </w:r>
              <w:proofErr w:type="spellEnd"/>
              <w:r>
                <w:rPr>
                  <w:bCs/>
                </w:rPr>
                <w:t xml:space="preserve"> neergelegde begrotingsnormen, en niet op de desbetreffende maatregelen zelf.</w:t>
              </w:r>
              <w:r>
                <w:rPr>
                  <w:rStyle w:val="Voetnootmarkering"/>
                  <w:bCs/>
                </w:rPr>
                <w:footnoteReference w:id="11"/>
              </w:r>
            </w:p>
            <w:p w:rsidR="000A29D5" w:rsidP="000A29D5" w:rsidRDefault="00CD455B">
              <w:pPr>
                <w:rPr>
                  <w:bCs/>
                </w:rPr>
              </w:pPr>
            </w:p>
            <w:p w:rsidR="000A29D5" w:rsidP="000A29D5" w:rsidRDefault="004242DA">
              <w:pPr>
                <w:rPr>
                  <w:bCs/>
                </w:rPr>
              </w:pPr>
              <w:r>
                <w:rPr>
                  <w:bCs/>
                </w:rPr>
                <w:t>De Afdeling adviseert de nota van wijziging met inachtneming van het voorgaande aan te passen.</w:t>
              </w:r>
            </w:p>
            <w:p w:rsidR="000A29D5" w:rsidP="000A29D5" w:rsidRDefault="00CD455B">
              <w:pPr>
                <w:rPr>
                  <w:bCs/>
                </w:rPr>
              </w:pPr>
            </w:p>
            <w:p w:rsidR="000A29D5" w:rsidP="000A29D5" w:rsidRDefault="004242DA">
              <w:pPr>
                <w:rPr>
                  <w:bCs/>
                </w:rPr>
              </w:pPr>
              <w:r>
                <w:rPr>
                  <w:bCs/>
                </w:rPr>
                <w:t>3.</w:t>
              </w:r>
              <w:r>
                <w:rPr>
                  <w:bCs/>
                </w:rPr>
                <w:tab/>
              </w:r>
              <w:r>
                <w:rPr>
                  <w:bCs/>
                  <w:u w:val="single"/>
                </w:rPr>
                <w:t>Toetsing aan het landspakket</w:t>
              </w:r>
            </w:p>
            <w:p w:rsidR="000A29D5" w:rsidP="000A29D5" w:rsidRDefault="00CD455B">
              <w:pPr>
                <w:rPr>
                  <w:bCs/>
                </w:rPr>
              </w:pPr>
            </w:p>
            <w:p w:rsidR="000A29D5" w:rsidP="000A29D5" w:rsidRDefault="004242DA">
              <w:pPr>
                <w:rPr>
                  <w:bCs/>
                </w:rPr>
              </w:pPr>
              <w:r>
                <w:rPr>
                  <w:bCs/>
                </w:rPr>
                <w:t>Een tweede taak die in de nota van wijziging aan het C(A)ft wordt toebedeeld is het beoordelen of in de begroting elementen zijn opgenomen die het landspakket doorkruisen. Ook voor in de begroting opgenomen leningen toetst het C(A)ft of die wat hun aanwending betreft niet in strijd zijn met het landspakket.</w:t>
              </w:r>
            </w:p>
            <w:p w:rsidR="000A29D5" w:rsidP="000A29D5" w:rsidRDefault="00CD455B">
              <w:pPr>
                <w:rPr>
                  <w:bCs/>
                </w:rPr>
              </w:pPr>
            </w:p>
            <w:p w:rsidRPr="002F4D2E" w:rsidR="000A29D5" w:rsidP="000A29D5" w:rsidRDefault="004242DA">
              <w:pPr>
                <w:rPr>
                  <w:bCs/>
                  <w:i/>
                  <w:iCs/>
                  <w:lang w:val="en-GB"/>
                </w:rPr>
              </w:pPr>
              <w:r w:rsidRPr="002F4D2E">
                <w:rPr>
                  <w:bCs/>
                  <w:lang w:val="en-GB"/>
                </w:rPr>
                <w:t>a.</w:t>
              </w:r>
              <w:r w:rsidRPr="002F4D2E">
                <w:rPr>
                  <w:bCs/>
                  <w:lang w:val="en-GB"/>
                </w:rPr>
                <w:tab/>
              </w:r>
              <w:proofErr w:type="spellStart"/>
              <w:r w:rsidRPr="002F4D2E">
                <w:rPr>
                  <w:bCs/>
                  <w:i/>
                  <w:iCs/>
                  <w:lang w:val="en-GB"/>
                </w:rPr>
                <w:t>Afbakening</w:t>
              </w:r>
              <w:proofErr w:type="spellEnd"/>
              <w:r w:rsidRPr="002F4D2E">
                <w:rPr>
                  <w:bCs/>
                  <w:i/>
                  <w:iCs/>
                  <w:lang w:val="en-GB"/>
                </w:rPr>
                <w:t xml:space="preserve"> COHO en C(A</w:t>
              </w:r>
              <w:r>
                <w:rPr>
                  <w:bCs/>
                  <w:i/>
                  <w:iCs/>
                  <w:lang w:val="en-GB"/>
                </w:rPr>
                <w:t>)</w:t>
              </w:r>
              <w:proofErr w:type="spellStart"/>
              <w:r>
                <w:rPr>
                  <w:bCs/>
                  <w:i/>
                  <w:iCs/>
                  <w:lang w:val="en-GB"/>
                </w:rPr>
                <w:t>ft</w:t>
              </w:r>
              <w:proofErr w:type="spellEnd"/>
            </w:p>
            <w:p w:rsidR="00480E3A" w:rsidP="000A29D5" w:rsidRDefault="004242DA">
              <w:pPr>
                <w:rPr>
                  <w:bCs/>
                </w:rPr>
              </w:pPr>
              <w:r>
                <w:rPr>
                  <w:bCs/>
                </w:rPr>
                <w:t xml:space="preserve">De Afdeling merkt op dat het hier niet gaat om het hiervóór besproken reguliere begrotingstechnische toezicht maar om toetsing van de begroting aan (de doelstellingen van) het landspakket. Beoordeeld wordt of de in de begroting opgenomen elementen de uitvoering van het landspakket daadwerkelijk ondersteunen en die uitvoering niet tegenwerken. Daarmee wordt inhoudelijk getoetst of de in de begroting opgenomen elementen geschikt zijn voor de uitvoering van de landspakketten. </w:t>
              </w:r>
            </w:p>
            <w:p w:rsidR="00480E3A" w:rsidP="000A29D5" w:rsidRDefault="00CD455B">
              <w:pPr>
                <w:rPr>
                  <w:bCs/>
                </w:rPr>
              </w:pPr>
            </w:p>
            <w:p w:rsidR="004A3A45" w:rsidRDefault="004242DA">
              <w:pPr>
                <w:rPr>
                  <w:bCs/>
                </w:rPr>
              </w:pPr>
              <w:r>
                <w:rPr>
                  <w:bCs/>
                </w:rPr>
                <w:t>Dit betreft een beleidsmatige toets, die erop gericht is dat geschikte maatregelen voor de uitvoering van de landspakketten worden getroffen. Het heeft, over de band van de begroting, betrekking op het houden van toezicht op de voortgang van projecten, programma’s en maatregelen met betrekking tot de in een landspakket omschreven onderwerpen. Die taak is in de Rijkswet COHO evenwel aan het COHO toebedeeld.</w:t>
              </w:r>
              <w:r>
                <w:rPr>
                  <w:rStyle w:val="Voetnootmarkering"/>
                  <w:bCs/>
                </w:rPr>
                <w:footnoteReference w:id="12"/>
              </w:r>
              <w:r>
                <w:rPr>
                  <w:bCs/>
                </w:rPr>
                <w:t xml:space="preserve"> Een zelfstandige taak voor het C(A)ft, waarin de nota van wijziging voorziet, past hier niet bij. Een dergelijke taak leidt tot onduidelijkheid over de afbakening en tot overlap </w:t>
              </w:r>
              <w:r>
                <w:rPr>
                  <w:bCs/>
                </w:rPr>
                <w:lastRenderedPageBreak/>
                <w:t xml:space="preserve">van verantwoordelijkheden tussen COHO en C(A)ft. De Afdeling wijst daarbij op het volgende. </w:t>
              </w:r>
            </w:p>
            <w:p w:rsidR="000A29D5" w:rsidP="000A29D5" w:rsidRDefault="00CD455B">
              <w:pPr>
                <w:rPr>
                  <w:bCs/>
                </w:rPr>
              </w:pPr>
            </w:p>
            <w:p w:rsidR="000A29D5" w:rsidP="000A29D5" w:rsidRDefault="004242DA">
              <w:pPr>
                <w:rPr>
                  <w:bCs/>
                </w:rPr>
              </w:pPr>
              <w:r>
                <w:rPr>
                  <w:bCs/>
                </w:rPr>
                <w:t>Het COHO verstrekt in het kader van zijn toezichtstaak ieder halfjaar een uitvoeringsrapportage over de uitvoering van de verplichtingen die bij of krachtens de Rijkswet COHO op de landen rusten, aan de Minister van Binnenlandse Zaken en Koninkrijksrelaties (Minister van BZK) en aan de Minister van Algemene Zaken van elk land.</w:t>
              </w:r>
              <w:r>
                <w:rPr>
                  <w:rStyle w:val="Voetnootmarkering"/>
                  <w:bCs/>
                </w:rPr>
                <w:footnoteReference w:id="13"/>
              </w:r>
              <w:r>
                <w:rPr>
                  <w:bCs/>
                </w:rPr>
                <w:t xml:space="preserve"> </w:t>
              </w:r>
            </w:p>
            <w:p w:rsidR="000A29D5" w:rsidP="000A29D5" w:rsidRDefault="00CD455B">
              <w:pPr>
                <w:rPr>
                  <w:bCs/>
                </w:rPr>
              </w:pPr>
            </w:p>
            <w:p w:rsidR="000A29D5" w:rsidP="000A29D5" w:rsidRDefault="004242DA">
              <w:pPr>
                <w:rPr>
                  <w:bCs/>
                </w:rPr>
              </w:pPr>
              <w:r>
                <w:rPr>
                  <w:bCs/>
                </w:rPr>
                <w:t>Als een land zijn verplichtingen nakomt stelt de Minister van BZK periodiek financiële middelen ter beschikking. Die middelen kunnen worden verstrekt in de vorm van liquiditeitssteun ter dekking van in de begroting van een land opgenomen noodzakelijke uitgaven op de gewone dienst (een lening) en financiering van de werkzaamheden van het COHO.</w:t>
              </w:r>
              <w:r>
                <w:rPr>
                  <w:rStyle w:val="Voetnootmarkering"/>
                  <w:bCs/>
                </w:rPr>
                <w:footnoteReference w:id="14"/>
              </w:r>
            </w:p>
            <w:p w:rsidR="000A29D5" w:rsidP="000A29D5" w:rsidRDefault="00CD455B">
              <w:pPr>
                <w:rPr>
                  <w:bCs/>
                </w:rPr>
              </w:pPr>
            </w:p>
            <w:p w:rsidR="000A29D5" w:rsidP="000A29D5" w:rsidRDefault="004242DA">
              <w:pPr>
                <w:rPr>
                  <w:bCs/>
                </w:rPr>
              </w:pPr>
              <w:r>
                <w:rPr>
                  <w:bCs/>
                </w:rPr>
                <w:t>Het COHO kan steunverlening voor de ontwikkeling en uitvoering van de projecten, programma’s of maatregelen, geheel of gedeeltelijk opschorten als het betrokken overheidsorgaan projecten, programma’s of maatregelen niet tijdig uitvoert, niet op de overeengekomen wijze uitvoert of nalaat gegevens te verstrekken die het COHO nodig heeft voor de uitoefening van haar taken.</w:t>
              </w:r>
              <w:r>
                <w:rPr>
                  <w:rStyle w:val="Voetnootmarkering"/>
                  <w:bCs/>
                </w:rPr>
                <w:footnoteReference w:id="15"/>
              </w:r>
              <w:r>
                <w:rPr>
                  <w:bCs/>
                </w:rPr>
                <w:t xml:space="preserve"> Tegen een dergelijk besluit van het COHO staat voor de landen kroonberoep open.</w:t>
              </w:r>
              <w:r>
                <w:rPr>
                  <w:rStyle w:val="Voetnootmarkering"/>
                  <w:bCs/>
                </w:rPr>
                <w:footnoteReference w:id="16"/>
              </w:r>
              <w:r>
                <w:rPr>
                  <w:bCs/>
                </w:rPr>
                <w:t xml:space="preserve"> Met deze procedure berust de besluitvorming over het toekennen van middelen in verband met het al dan niet nakomen van de landspakketten bij het COHO en staat tegen die beslissingen rechtstreeks beroep open bij de Kroon. Die procedure is eenvoudig, helder en in tijd beperkt.</w:t>
              </w:r>
            </w:p>
            <w:p w:rsidR="000A29D5" w:rsidP="000A29D5" w:rsidRDefault="00CD455B">
              <w:pPr>
                <w:rPr>
                  <w:bCs/>
                </w:rPr>
              </w:pPr>
            </w:p>
            <w:p w:rsidR="000A29D5" w:rsidP="000A29D5" w:rsidRDefault="004242DA">
              <w:pPr>
                <w:rPr>
                  <w:bCs/>
                </w:rPr>
              </w:pPr>
              <w:r>
                <w:rPr>
                  <w:bCs/>
                </w:rPr>
                <w:t xml:space="preserve">Volgens de voorgestelde regeling in de nota van wijziging adviseert het C(A)ft ingeval het tot de conclusie komt dat met de voorgestelde begroting de afspraken in het landspakket niet worden nagekomen de Rijksministerraad. De Rijksministerraad kan vervolgens op grond van artikel 13 van de </w:t>
              </w:r>
              <w:proofErr w:type="spellStart"/>
              <w:r>
                <w:rPr>
                  <w:bCs/>
                </w:rPr>
                <w:t>Rft</w:t>
              </w:r>
              <w:proofErr w:type="spellEnd"/>
              <w:r>
                <w:rPr>
                  <w:bCs/>
                </w:rPr>
                <w:t xml:space="preserve"> of artikel 12 van de </w:t>
              </w:r>
              <w:proofErr w:type="spellStart"/>
              <w:r>
                <w:rPr>
                  <w:bCs/>
                </w:rPr>
                <w:t>LAft</w:t>
              </w:r>
              <w:proofErr w:type="spellEnd"/>
              <w:r>
                <w:rPr>
                  <w:bCs/>
                </w:rPr>
                <w:t xml:space="preserve"> besluiten tot het geven van een aanwijzing, waarna kroonberoep openstaat.</w:t>
              </w:r>
            </w:p>
            <w:p w:rsidR="000A29D5" w:rsidP="000A29D5" w:rsidRDefault="00CD455B">
              <w:pPr>
                <w:rPr>
                  <w:bCs/>
                </w:rPr>
              </w:pPr>
            </w:p>
            <w:p w:rsidR="000A29D5" w:rsidP="000A29D5" w:rsidRDefault="004242DA">
              <w:pPr>
                <w:rPr>
                  <w:bCs/>
                </w:rPr>
              </w:pPr>
              <w:r>
                <w:rPr>
                  <w:bCs/>
                </w:rPr>
                <w:t xml:space="preserve">Het gevolg is derhalve dat de in de nota van wijziging voorgestelde beoordeling van de begroting en geldleningen door het C(A)ft in het geval van het niet nakomen van de in het landspakket opgenomen afspraken, kan leiden tot het naast elkaar bestaan van twee verschillende besluitvormingstrajecten en daarbij behorende verschillende rechtsbeschermingstrajecten. De Afdeling acht dit onwenselijk. </w:t>
              </w:r>
            </w:p>
            <w:p w:rsidR="007119A5" w:rsidP="000A29D5" w:rsidRDefault="00CD455B">
              <w:pPr>
                <w:rPr>
                  <w:bCs/>
                </w:rPr>
              </w:pPr>
            </w:p>
            <w:p w:rsidR="000A29D5" w:rsidP="000A29D5" w:rsidRDefault="004242DA">
              <w:pPr>
                <w:rPr>
                  <w:bCs/>
                </w:rPr>
              </w:pPr>
              <w:r>
                <w:rPr>
                  <w:bCs/>
                </w:rPr>
                <w:t xml:space="preserve">Zij adviseert de nota van wijziging met inachtneming van het vorenstaande aan te passen. </w:t>
              </w:r>
            </w:p>
            <w:p w:rsidR="000A29D5" w:rsidP="000A29D5" w:rsidRDefault="00CD455B">
              <w:pPr>
                <w:rPr>
                  <w:bCs/>
                </w:rPr>
              </w:pPr>
            </w:p>
            <w:p w:rsidRPr="002F4D2E" w:rsidR="000A29D5" w:rsidP="000A29D5" w:rsidRDefault="004242DA">
              <w:pPr>
                <w:rPr>
                  <w:bCs/>
                  <w:i/>
                  <w:iCs/>
                </w:rPr>
              </w:pPr>
              <w:r>
                <w:rPr>
                  <w:bCs/>
                </w:rPr>
                <w:t>b.</w:t>
              </w:r>
              <w:r>
                <w:rPr>
                  <w:bCs/>
                </w:rPr>
                <w:tab/>
              </w:r>
              <w:r>
                <w:rPr>
                  <w:bCs/>
                  <w:i/>
                  <w:iCs/>
                </w:rPr>
                <w:t>Rijksministerraad</w:t>
              </w:r>
            </w:p>
            <w:p w:rsidR="000A29D5" w:rsidP="000A29D5" w:rsidRDefault="004242DA">
              <w:pPr>
                <w:rPr>
                  <w:bCs/>
                </w:rPr>
              </w:pPr>
              <w:r>
                <w:rPr>
                  <w:bCs/>
                </w:rPr>
                <w:t xml:space="preserve">De Afdeling wijst er voorts op dat met de gekozen opzet aan de Rijksministerraad de bevoegdheid wordt toegekend om, over de band van de begroting, aan de landen aanwijzingen te geven die zich de facto uitstrekken over het gehele palet van plannen </w:t>
              </w:r>
              <w:r>
                <w:rPr>
                  <w:bCs/>
                </w:rPr>
                <w:lastRenderedPageBreak/>
                <w:t>van aanpak, projecten en programma’s en maatregelen. De aanwijzing kan er immers toe strekken dat ten behoeve van uitvoering van door de Rijksministerraad genoemde plannen van aanpak, projecten en programma’s en maatregelen, middelen in de begroting moeten worden opgenomen. De keuze om plannen van aanpak, projecten en programma’s en maatregelen op te stellen en uit te voeren ligt daarmee de facto niet meer bij de landen. De aldus toegekende bevoegdheden maken daarmee inbreuk op de verantwoordelijkheden en het probleem-eigenaarschap van de landen en de bevoegdheden van het COHO.</w:t>
              </w:r>
              <w:r>
                <w:rPr>
                  <w:rStyle w:val="Voetnootmarkering"/>
                  <w:bCs/>
                </w:rPr>
                <w:footnoteReference w:id="17"/>
              </w:r>
              <w:r>
                <w:rPr>
                  <w:bCs/>
                </w:rPr>
                <w:t xml:space="preserve"> </w:t>
              </w:r>
            </w:p>
            <w:p w:rsidR="000A29D5" w:rsidP="000A29D5" w:rsidRDefault="004242DA">
              <w:pPr>
                <w:rPr>
                  <w:bCs/>
                </w:rPr>
              </w:pPr>
              <w:r>
                <w:rPr>
                  <w:bCs/>
                </w:rPr>
                <w:t>De Afdeling adviseert de nota van wijziging op dit punt aan te passen.</w:t>
              </w:r>
            </w:p>
            <w:p w:rsidR="000A29D5" w:rsidP="000A29D5" w:rsidRDefault="00CD455B">
              <w:pPr>
                <w:rPr>
                  <w:bCs/>
                </w:rPr>
              </w:pPr>
            </w:p>
            <w:p w:rsidR="000A29D5" w:rsidP="000A29D5" w:rsidRDefault="004242DA">
              <w:pPr>
                <w:rPr>
                  <w:bCs/>
                </w:rPr>
              </w:pPr>
              <w:r>
                <w:rPr>
                  <w:bCs/>
                </w:rPr>
                <w:t>4.</w:t>
              </w:r>
              <w:r>
                <w:rPr>
                  <w:bCs/>
                </w:rPr>
                <w:tab/>
              </w:r>
              <w:r>
                <w:rPr>
                  <w:bCs/>
                  <w:u w:val="single"/>
                </w:rPr>
                <w:t>Tot slot</w:t>
              </w:r>
            </w:p>
            <w:p w:rsidR="000A29D5" w:rsidP="000A29D5" w:rsidRDefault="00CD455B">
              <w:pPr>
                <w:rPr>
                  <w:bCs/>
                </w:rPr>
              </w:pPr>
            </w:p>
            <w:p w:rsidR="000A29D5" w:rsidP="000A29D5" w:rsidRDefault="004242DA">
              <w:pPr>
                <w:rPr>
                  <w:bCs/>
                </w:rPr>
              </w:pPr>
              <w:r>
                <w:rPr>
                  <w:bCs/>
                </w:rPr>
                <w:t xml:space="preserve">De Afdeling wijst tot slot nog op een tweetal vraagstukken. </w:t>
              </w:r>
            </w:p>
            <w:p w:rsidR="000A29D5" w:rsidP="000A29D5" w:rsidRDefault="00CD455B">
              <w:pPr>
                <w:rPr>
                  <w:bCs/>
                </w:rPr>
              </w:pPr>
            </w:p>
            <w:p w:rsidRPr="00D34B8E" w:rsidR="000A29D5" w:rsidP="000A29D5" w:rsidRDefault="004242DA">
              <w:pPr>
                <w:rPr>
                  <w:bCs/>
                  <w:i/>
                  <w:iCs/>
                </w:rPr>
              </w:pPr>
              <w:r w:rsidRPr="00B771BB">
                <w:rPr>
                  <w:bCs/>
                </w:rPr>
                <w:t>a.</w:t>
              </w:r>
              <w:r>
                <w:rPr>
                  <w:bCs/>
                </w:rPr>
                <w:tab/>
              </w:r>
              <w:r>
                <w:rPr>
                  <w:bCs/>
                  <w:i/>
                  <w:iCs/>
                </w:rPr>
                <w:t>Afstemming</w:t>
              </w:r>
            </w:p>
            <w:p w:rsidR="00480E3A" w:rsidP="000A29D5" w:rsidRDefault="004242DA">
              <w:pPr>
                <w:rPr>
                  <w:bCs/>
                </w:rPr>
              </w:pPr>
              <w:r>
                <w:rPr>
                  <w:bCs/>
                </w:rPr>
                <w:t xml:space="preserve">Hiervoor is al uiteengezet dat de activiteiten van het C(A)ft en het COHO in wezen complementair zijn aan elkaar: Het C(A)ft richt zich op de weerslag van alle activiteiten op de begrotingen, terwijl het COHO zich richt op de afzonderlijke activiteiten zelf. Het is belangrijk dat C(A)ft en COHO oog hebben voor elkaars verantwoordelijkheden en daarmee bij de uitvoering van hun activiteiten rekening houden. Zij kunnen elkaar immers versterken, maar ook verzwakken. </w:t>
              </w:r>
            </w:p>
            <w:p w:rsidR="00480E3A" w:rsidP="000A29D5" w:rsidRDefault="00CD455B">
              <w:pPr>
                <w:rPr>
                  <w:bCs/>
                </w:rPr>
              </w:pPr>
            </w:p>
            <w:p w:rsidR="000A29D5" w:rsidP="000A29D5" w:rsidRDefault="004242DA">
              <w:pPr>
                <w:rPr>
                  <w:bCs/>
                </w:rPr>
              </w:pPr>
              <w:r>
                <w:rPr>
                  <w:bCs/>
                </w:rPr>
                <w:t xml:space="preserve">Bij de uitleg en toepassing van de wetten is afstemming nodig om conflicterende uitleg van normen uit de Rijkswet COHO en de </w:t>
              </w:r>
              <w:proofErr w:type="spellStart"/>
              <w:r>
                <w:rPr>
                  <w:bCs/>
                </w:rPr>
                <w:t>Rft</w:t>
              </w:r>
              <w:proofErr w:type="spellEnd"/>
              <w:r>
                <w:rPr>
                  <w:bCs/>
                </w:rPr>
                <w:t xml:space="preserve"> en </w:t>
              </w:r>
              <w:proofErr w:type="spellStart"/>
              <w:r>
                <w:rPr>
                  <w:bCs/>
                </w:rPr>
                <w:t>LAft</w:t>
              </w:r>
              <w:proofErr w:type="spellEnd"/>
              <w:r>
                <w:rPr>
                  <w:bCs/>
                </w:rPr>
                <w:t xml:space="preserve"> te voorkomen. Ook moet worden voorkomen dat conflicten ontstaan indien bij de uitvoering van activiteiten in een te laat stadium blijkt dat per saldo de begrotingsnormen van de </w:t>
              </w:r>
              <w:proofErr w:type="spellStart"/>
              <w:r>
                <w:rPr>
                  <w:bCs/>
                </w:rPr>
                <w:t>Rft</w:t>
              </w:r>
              <w:proofErr w:type="spellEnd"/>
              <w:r>
                <w:rPr>
                  <w:bCs/>
                </w:rPr>
                <w:t xml:space="preserve"> of de </w:t>
              </w:r>
              <w:proofErr w:type="spellStart"/>
              <w:r>
                <w:rPr>
                  <w:bCs/>
                </w:rPr>
                <w:t>LAft</w:t>
              </w:r>
              <w:proofErr w:type="spellEnd"/>
              <w:r>
                <w:rPr>
                  <w:bCs/>
                </w:rPr>
                <w:t xml:space="preserve"> zullen worden overschreden.</w:t>
              </w:r>
            </w:p>
            <w:p w:rsidR="000A29D5" w:rsidP="000A29D5" w:rsidRDefault="00CD455B">
              <w:pPr>
                <w:rPr>
                  <w:bCs/>
                </w:rPr>
              </w:pPr>
            </w:p>
            <w:p w:rsidR="000A29D5" w:rsidP="000A29D5" w:rsidRDefault="004242DA">
              <w:pPr>
                <w:rPr>
                  <w:bCs/>
                </w:rPr>
              </w:pPr>
              <w:r>
                <w:rPr>
                  <w:bCs/>
                </w:rPr>
                <w:t>Dat vereist in de eerste plaats dat duidelijkheid bestaat over de plannen van aanpak, projecten en programma’s en maatregelen die worden ontwikkeld in het kader van de rijkswet COHO. Daarbij moet ook duidelijk zijn hoe ze worden gefinancierd. Dat betekent dat onder meer inzicht moet bestaan in de door de minister van BZK in de vorm van liquiditeitssteun te verstrekken middelen, alsmede de door het COHO ter beschikking te stellen middelen.</w:t>
              </w:r>
              <w:r>
                <w:rPr>
                  <w:rStyle w:val="Voetnootmarkering"/>
                  <w:bCs/>
                </w:rPr>
                <w:footnoteReference w:id="18"/>
              </w:r>
              <w:r>
                <w:rPr>
                  <w:bCs/>
                </w:rPr>
                <w:t xml:space="preserve"> Alleen dan kan in kaart worden gebracht wat de impact ervan op de begrotingen van de landen is en welke maatregelen eventueel moeten worden getroffen om te bewerkstelligen dat de begrotingsnormen van de </w:t>
              </w:r>
              <w:proofErr w:type="spellStart"/>
              <w:r>
                <w:rPr>
                  <w:bCs/>
                </w:rPr>
                <w:t>Rft</w:t>
              </w:r>
              <w:proofErr w:type="spellEnd"/>
              <w:r>
                <w:rPr>
                  <w:bCs/>
                </w:rPr>
                <w:t xml:space="preserve"> en de </w:t>
              </w:r>
              <w:proofErr w:type="spellStart"/>
              <w:r>
                <w:rPr>
                  <w:bCs/>
                </w:rPr>
                <w:t>LAft</w:t>
              </w:r>
              <w:proofErr w:type="spellEnd"/>
              <w:r>
                <w:rPr>
                  <w:bCs/>
                </w:rPr>
                <w:t xml:space="preserve"> zullen worden gerespecteerd. </w:t>
              </w:r>
            </w:p>
            <w:p w:rsidR="000A29D5" w:rsidP="000A29D5" w:rsidRDefault="00CD455B">
              <w:pPr>
                <w:rPr>
                  <w:bCs/>
                </w:rPr>
              </w:pPr>
            </w:p>
            <w:p w:rsidR="000A29D5" w:rsidP="000A29D5" w:rsidRDefault="004242DA">
              <w:pPr>
                <w:rPr>
                  <w:bCs/>
                </w:rPr>
              </w:pPr>
              <w:r>
                <w:rPr>
                  <w:bCs/>
                </w:rPr>
                <w:t>In de tweede plaats is een goede onderlinge informatievoorziening, afstemming en coördinatie tussen het COHO en het C(A)ft noodzakelijk.</w:t>
              </w:r>
            </w:p>
            <w:p w:rsidR="000A29D5" w:rsidP="000A29D5" w:rsidRDefault="004242DA">
              <w:pPr>
                <w:rPr>
                  <w:bCs/>
                </w:rPr>
              </w:pPr>
              <w:r>
                <w:rPr>
                  <w:bCs/>
                </w:rPr>
                <w:t>In de Rijkswet COHO is bepaald dat het COHO en het C(A)ft in het belang van een efficiënt en effectief uitoefenen van hun taken een samenwerkingsprotocol opstellen.</w:t>
              </w:r>
              <w:r>
                <w:rPr>
                  <w:rStyle w:val="Voetnootmarkering"/>
                  <w:bCs/>
                </w:rPr>
                <w:footnoteReference w:id="19"/>
              </w:r>
              <w:r>
                <w:rPr>
                  <w:bCs/>
                </w:rPr>
                <w:t xml:space="preserve"> In de toelichting staat in dit verband dat dit dient om te voorkomen dat COHO en C(A)ft </w:t>
              </w:r>
              <w:r>
                <w:rPr>
                  <w:bCs/>
                </w:rPr>
                <w:lastRenderedPageBreak/>
                <w:t>dusdanig in elkaars vaarwater komen dat dit een effectieve en efficiënte taakuitoefening belemmert in plaats van versterkt.</w:t>
              </w:r>
              <w:r>
                <w:rPr>
                  <w:rStyle w:val="Voetnootmarkering"/>
                  <w:bCs/>
                </w:rPr>
                <w:footnoteReference w:id="20"/>
              </w:r>
            </w:p>
            <w:p w:rsidR="000A29D5" w:rsidP="000A29D5" w:rsidRDefault="00CD455B">
              <w:pPr>
                <w:rPr>
                  <w:bCs/>
                </w:rPr>
              </w:pPr>
            </w:p>
            <w:p w:rsidR="000A29D5" w:rsidP="000A29D5" w:rsidRDefault="004242DA">
              <w:pPr>
                <w:rPr>
                  <w:bCs/>
                </w:rPr>
              </w:pPr>
              <w:r>
                <w:rPr>
                  <w:bCs/>
                </w:rPr>
                <w:t xml:space="preserve">In het licht van deze samenwerking kan het volgens de Afdeling behulpzaam zijn dat het C(A)ft, zoals ook nu al te doen gebruikelijk is bij beleidsvoornemens van de landen, in een vroeg stadium beziet welke gevolgen de door het COHO met de landen ontwikkelde voornemens hebben voor de begrotingen, en in voorkomend geval aangeeft wat nodig is om eventuele strijdigheid met die normen te voorkomen. Voor een dergelijke werkwijze is een samenwerkingsprotocol gewenst. </w:t>
              </w:r>
            </w:p>
            <w:p w:rsidR="000A29D5" w:rsidP="000A29D5" w:rsidRDefault="00CD455B">
              <w:pPr>
                <w:rPr>
                  <w:bCs/>
                </w:rPr>
              </w:pPr>
            </w:p>
            <w:p w:rsidRPr="00D34B8E" w:rsidR="000A29D5" w:rsidP="000A29D5" w:rsidRDefault="004242DA">
              <w:pPr>
                <w:rPr>
                  <w:bCs/>
                  <w:i/>
                  <w:iCs/>
                </w:rPr>
              </w:pPr>
              <w:r>
                <w:rPr>
                  <w:bCs/>
                </w:rPr>
                <w:t>b.</w:t>
              </w:r>
              <w:r>
                <w:rPr>
                  <w:bCs/>
                </w:rPr>
                <w:tab/>
              </w:r>
              <w:r>
                <w:rPr>
                  <w:bCs/>
                  <w:i/>
                  <w:iCs/>
                </w:rPr>
                <w:t>Inhoudelijke beoordeling financiële houdbaarheid voornemens</w:t>
              </w:r>
            </w:p>
            <w:p w:rsidR="000A29D5" w:rsidP="000A29D5" w:rsidRDefault="004242DA">
              <w:pPr>
                <w:rPr>
                  <w:bCs/>
                </w:rPr>
              </w:pPr>
              <w:r>
                <w:rPr>
                  <w:bCs/>
                </w:rPr>
                <w:t xml:space="preserve">Daarnaast begrijpt de Afdeling dat bij het ontwikkelen van activiteiten in het kader van de Rijkswet COHO behoefte bestaat aan inhoudelijke expertise om te kunnen beoordelen of beleidsvoornemens financieel voldoende zijn onderbouwd en haalbaar zijn. Indien de benodigde kennis daartoe bij het COHO of de landen in onvoldoende mate aanwezig zou zijn, kan het in de rede liggen daarvoor een externe partij aan te zoeken. Zo worden in Nederland bij voornemens voor projecten vaak maatschappelijke kosten-baten analyses verricht door het Centraal Planbureau. Aldus kan de kwaliteit van voorgenomen plannen van aanpak, projecten en programma’s en maatregelen worden verbeterd. </w:t>
              </w:r>
            </w:p>
            <w:p w:rsidR="000A29D5" w:rsidP="000A29D5" w:rsidRDefault="00CD455B">
              <w:pPr>
                <w:rPr>
                  <w:bCs/>
                </w:rPr>
              </w:pPr>
            </w:p>
            <w:p w:rsidR="000A29D5" w:rsidP="000A29D5" w:rsidRDefault="004242DA">
              <w:pPr>
                <w:rPr>
                  <w:bCs/>
                </w:rPr>
              </w:pPr>
              <w:r>
                <w:rPr>
                  <w:bCs/>
                </w:rPr>
                <w:t>De Afdeling merkt op dat in de Rijkswet COHO ook hiervoor reeds een voorziening is getroffen.</w:t>
              </w:r>
              <w:r>
                <w:rPr>
                  <w:rStyle w:val="Voetnootmarkering"/>
                  <w:bCs/>
                </w:rPr>
                <w:footnoteReference w:id="21"/>
              </w:r>
              <w:r>
                <w:rPr>
                  <w:bCs/>
                </w:rPr>
                <w:t xml:space="preserve"> Het COHO kan de samenwerking zoeken met internationale organisaties en met andere instellingen binnen het Koninkrijk. Desgewenst kunnen daartoe samenwerkingsprotocollen worden opgesteld. Een nadere wettelijke voorziening is hiervoor niet nodig.</w:t>
              </w:r>
            </w:p>
            <w:p w:rsidR="000A29D5" w:rsidP="000A29D5" w:rsidRDefault="00CD455B">
              <w:pPr>
                <w:rPr>
                  <w:bCs/>
                </w:rPr>
              </w:pPr>
            </w:p>
            <w:p w:rsidR="0031089B" w:rsidP="000A29D5" w:rsidRDefault="004242DA">
              <w:r>
                <w:rPr>
                  <w:bCs/>
                </w:rPr>
                <w:t>De Afdeling adviseert in de toelichting nader op voorgaande punten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A3A45" w:rsidRDefault="004242DA">
              <w:r>
                <w:t>De Afdeling advisering van de Raad van State van het Koninkrijk heeft een aantal  opmerkingen bij de nota van wijziging en adviseert daarmee rekening te houden  voordat dit bij de Tweede Kamer der Staten-Generaal wordt ingediend en aan de  Staten van Aruba, die van Curaçao en die van Sint Maarten wordt overgelegd.</w:t>
              </w:r>
              <w:r>
                <w:br/>
              </w:r>
              <w:r>
                <w:br/>
                <w:t>De vice-president van de Raad van State van het Koninkrijk,</w:t>
              </w:r>
            </w:p>
          </w:sdtContent>
        </w:sdt>
      </w:sdtContent>
    </w:sdt>
    <w:sectPr w:rsidR="004A3A45"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242DA" w:rsidP="005B3E03">
      <w:r>
        <w:separator/>
      </w:r>
    </w:p>
    <w:p w:rsidR="002D0ACF" w:rsidRDefault="00CD455B"/>
  </w:endnote>
  <w:endnote w:type="continuationSeparator" w:id="0">
    <w:p w:rsidR="00847094" w:rsidRDefault="004242DA" w:rsidP="005B3E03">
      <w:r>
        <w:continuationSeparator/>
      </w:r>
    </w:p>
    <w:p w:rsidR="002D0ACF" w:rsidRDefault="00CD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242DA" w:rsidP="005B3E03">
      <w:r>
        <w:separator/>
      </w:r>
    </w:p>
    <w:p w:rsidR="002D0ACF" w:rsidRDefault="00CD455B"/>
  </w:footnote>
  <w:footnote w:type="continuationSeparator" w:id="0">
    <w:p w:rsidR="00847094" w:rsidRDefault="004242DA" w:rsidP="005B3E03">
      <w:r>
        <w:continuationSeparator/>
      </w:r>
    </w:p>
    <w:p w:rsidR="002D0ACF" w:rsidRDefault="00CD455B"/>
  </w:footnote>
  <w:footnote w:id="1">
    <w:p w:rsidR="000A29D5" w:rsidRDefault="004242DA" w:rsidP="000A29D5">
      <w:pPr>
        <w:pStyle w:val="Voetnoottekst"/>
      </w:pPr>
      <w:r>
        <w:rPr>
          <w:rStyle w:val="Voetnootmarkering"/>
        </w:rPr>
        <w:footnoteRef/>
      </w:r>
      <w:r>
        <w:t xml:space="preserve"> </w:t>
      </w:r>
      <w:r>
        <w:tab/>
        <w:t xml:space="preserve">Zie de </w:t>
      </w:r>
      <w:r w:rsidRPr="007E72C3">
        <w:t>Geannoteerde besluitenlijst Rijksministerraad 3 september 2021</w:t>
      </w:r>
      <w:r>
        <w:t xml:space="preserve">, </w:t>
      </w:r>
      <w:r w:rsidRPr="007E72C3">
        <w:t>https://www.rijksoverheid.nl/documenten/vergaderstukken/2021/09/03/geannoteerde-besluitenlijst-rijksministerraad-3-september-2021</w:t>
      </w:r>
      <w:r>
        <w:t>.</w:t>
      </w:r>
    </w:p>
  </w:footnote>
  <w:footnote w:id="2">
    <w:p w:rsidR="000A29D5" w:rsidRDefault="004242DA" w:rsidP="000A29D5">
      <w:pPr>
        <w:pStyle w:val="Voetnoottekst"/>
      </w:pPr>
      <w:r>
        <w:rPr>
          <w:rStyle w:val="Voetnootmarkering"/>
        </w:rPr>
        <w:footnoteRef/>
      </w:r>
      <w:r>
        <w:t xml:space="preserve"> </w:t>
      </w:r>
      <w:r>
        <w:tab/>
      </w:r>
      <w:r w:rsidRPr="000E6B55">
        <w:rPr>
          <w:szCs w:val="18"/>
        </w:rPr>
        <w:t xml:space="preserve">Landsverordening van 31 augustus 2015 houdende tijdelijke regels met betrekking tot het onafhankelijke </w:t>
      </w:r>
      <w:r w:rsidRPr="000E6B55">
        <w:rPr>
          <w:rStyle w:val="Nadruk"/>
          <w:szCs w:val="18"/>
        </w:rPr>
        <w:t>toezicht</w:t>
      </w:r>
      <w:r w:rsidRPr="000E6B55">
        <w:rPr>
          <w:szCs w:val="18"/>
        </w:rPr>
        <w:t xml:space="preserve"> bij de totstandkoming en uitvoering van de begrotingen van het Land en daarmee samenhangende aangelegenheden, Afspraken tussen de regeringen van </w:t>
      </w:r>
      <w:r w:rsidRPr="000E6B55">
        <w:rPr>
          <w:rStyle w:val="Nadruk"/>
          <w:szCs w:val="18"/>
        </w:rPr>
        <w:t>Aruba</w:t>
      </w:r>
      <w:r w:rsidRPr="000E6B55">
        <w:rPr>
          <w:szCs w:val="18"/>
        </w:rPr>
        <w:t xml:space="preserve"> en Nederland over de openbare financiën van </w:t>
      </w:r>
      <w:r w:rsidRPr="000E6B55">
        <w:rPr>
          <w:rStyle w:val="Nadruk"/>
          <w:szCs w:val="18"/>
        </w:rPr>
        <w:t>Aruba</w:t>
      </w:r>
      <w:r w:rsidRPr="000E6B55">
        <w:rPr>
          <w:szCs w:val="18"/>
        </w:rPr>
        <w:t>, 2 mei 2015 (hierna: Protocol 2015), www.cft.cw/wetgeving/</w:t>
      </w:r>
      <w:r w:rsidRPr="000E6B55">
        <w:rPr>
          <w:rStyle w:val="Nadruk"/>
          <w:szCs w:val="18"/>
        </w:rPr>
        <w:t>aruba</w:t>
      </w:r>
      <w:r w:rsidRPr="000E6B55">
        <w:rPr>
          <w:szCs w:val="18"/>
        </w:rPr>
        <w:t xml:space="preserve"> en Protocol </w:t>
      </w:r>
      <w:r w:rsidRPr="000E6B55">
        <w:rPr>
          <w:rStyle w:val="Nadruk"/>
          <w:szCs w:val="18"/>
        </w:rPr>
        <w:t>Aruba</w:t>
      </w:r>
      <w:r w:rsidRPr="000E6B55">
        <w:rPr>
          <w:szCs w:val="18"/>
        </w:rPr>
        <w:t xml:space="preserve"> Nederland 2019-2021, 22 november 2018, Inkadering van het pad richting solide transparante en houdbare overheidsfinanciën van </w:t>
      </w:r>
      <w:r w:rsidRPr="000E6B55">
        <w:rPr>
          <w:rStyle w:val="Nadruk"/>
          <w:szCs w:val="18"/>
        </w:rPr>
        <w:t>Aruba</w:t>
      </w:r>
      <w:r w:rsidRPr="000E6B55">
        <w:rPr>
          <w:szCs w:val="18"/>
        </w:rPr>
        <w:t xml:space="preserve"> (hierna: Protocol 2019 2021), www.cft.cw/wetgeving/</w:t>
      </w:r>
      <w:r w:rsidRPr="000E6B55">
        <w:rPr>
          <w:rStyle w:val="Nadruk"/>
          <w:szCs w:val="18"/>
        </w:rPr>
        <w:t>aruba</w:t>
      </w:r>
      <w:r w:rsidRPr="000E6B55">
        <w:rPr>
          <w:szCs w:val="18"/>
        </w:rPr>
        <w:t>.</w:t>
      </w:r>
    </w:p>
  </w:footnote>
  <w:footnote w:id="3">
    <w:p w:rsidR="000A29D5" w:rsidRDefault="004242DA" w:rsidP="000A29D5">
      <w:pPr>
        <w:pStyle w:val="Voetnoottekst"/>
      </w:pPr>
      <w:r>
        <w:rPr>
          <w:rStyle w:val="Voetnootmarkering"/>
        </w:rPr>
        <w:footnoteRef/>
      </w:r>
      <w:r>
        <w:tab/>
        <w:t>Onderdeel B, voorgesteld artikel 33 van de Rijkswet COHO</w:t>
      </w:r>
    </w:p>
  </w:footnote>
  <w:footnote w:id="4">
    <w:p w:rsidR="000A29D5" w:rsidRDefault="004242DA" w:rsidP="000A29D5">
      <w:pPr>
        <w:pStyle w:val="Voetnoottekst"/>
      </w:pPr>
      <w:r>
        <w:rPr>
          <w:rStyle w:val="Voetnootmarkering"/>
        </w:rPr>
        <w:footnoteRef/>
      </w:r>
      <w:r>
        <w:tab/>
        <w:t>Onderdeel B, voorgesteld artikel 34 van de Rijkswet COHO</w:t>
      </w:r>
    </w:p>
  </w:footnote>
  <w:footnote w:id="5">
    <w:p w:rsidR="000A29D5" w:rsidRDefault="004242DA" w:rsidP="000A29D5">
      <w:pPr>
        <w:pStyle w:val="Voetnoottekst"/>
      </w:pPr>
      <w:r>
        <w:rPr>
          <w:rStyle w:val="Voetnootmarkering"/>
        </w:rPr>
        <w:footnoteRef/>
      </w:r>
      <w:r>
        <w:t xml:space="preserve"> </w:t>
      </w:r>
      <w:r>
        <w:tab/>
        <w:t>Toelichting, paragraaf 2.</w:t>
      </w:r>
    </w:p>
  </w:footnote>
  <w:footnote w:id="6">
    <w:p w:rsidR="000A29D5" w:rsidRDefault="004242DA" w:rsidP="000A29D5">
      <w:pPr>
        <w:pStyle w:val="Voetnoottekst"/>
      </w:pPr>
      <w:r>
        <w:rPr>
          <w:rStyle w:val="Voetnootmarkering"/>
        </w:rPr>
        <w:footnoteRef/>
      </w:r>
      <w:r>
        <w:tab/>
        <w:t xml:space="preserve">Artikel 4 van de </w:t>
      </w:r>
      <w:proofErr w:type="spellStart"/>
      <w:r>
        <w:t>Rft</w:t>
      </w:r>
      <w:proofErr w:type="spellEnd"/>
      <w:r>
        <w:t xml:space="preserve"> en artikel 2 van de </w:t>
      </w:r>
      <w:proofErr w:type="spellStart"/>
      <w:r>
        <w:t>LAft</w:t>
      </w:r>
      <w:proofErr w:type="spellEnd"/>
      <w:r>
        <w:t>.</w:t>
      </w:r>
    </w:p>
  </w:footnote>
  <w:footnote w:id="7">
    <w:p w:rsidR="000A29D5" w:rsidRDefault="004242DA" w:rsidP="000A29D5">
      <w:pPr>
        <w:pStyle w:val="Voetnoottekst"/>
      </w:pPr>
      <w:r>
        <w:rPr>
          <w:rStyle w:val="Voetnootmarkering"/>
        </w:rPr>
        <w:footnoteRef/>
      </w:r>
      <w:r>
        <w:tab/>
        <w:t xml:space="preserve">Zie bijvoorbeeld artikel 12 en artikel 13 (begrotingen) en artikel 16, elfde tot en met dertiende lid (leningen). </w:t>
      </w:r>
    </w:p>
  </w:footnote>
  <w:footnote w:id="8">
    <w:p w:rsidR="000A29D5" w:rsidRDefault="004242DA" w:rsidP="000A29D5">
      <w:pPr>
        <w:pStyle w:val="Voetnoottekst"/>
      </w:pPr>
      <w:r>
        <w:rPr>
          <w:rStyle w:val="Voetnootmarkering"/>
        </w:rPr>
        <w:footnoteRef/>
      </w:r>
      <w:r>
        <w:tab/>
        <w:t xml:space="preserve">Artikel 17 van de </w:t>
      </w:r>
      <w:proofErr w:type="spellStart"/>
      <w:r>
        <w:t>Rft</w:t>
      </w:r>
      <w:proofErr w:type="spellEnd"/>
      <w:r>
        <w:t xml:space="preserve"> en artikel 16 van de </w:t>
      </w:r>
      <w:proofErr w:type="spellStart"/>
      <w:r>
        <w:t>LAft</w:t>
      </w:r>
      <w:proofErr w:type="spellEnd"/>
    </w:p>
  </w:footnote>
  <w:footnote w:id="9">
    <w:p w:rsidR="000A29D5" w:rsidRDefault="004242DA" w:rsidP="000A29D5">
      <w:pPr>
        <w:pStyle w:val="Voetnoottekst"/>
      </w:pPr>
      <w:r>
        <w:rPr>
          <w:rStyle w:val="Voetnootmarkering"/>
        </w:rPr>
        <w:footnoteRef/>
      </w:r>
      <w:r>
        <w:tab/>
        <w:t xml:space="preserve">Artikel 4 van de Rijkswet </w:t>
      </w:r>
      <w:proofErr w:type="spellStart"/>
      <w:r>
        <w:t>Coho</w:t>
      </w:r>
      <w:proofErr w:type="spellEnd"/>
      <w:r>
        <w:t xml:space="preserve">. </w:t>
      </w:r>
    </w:p>
  </w:footnote>
  <w:footnote w:id="10">
    <w:p w:rsidR="000A29D5" w:rsidRDefault="004242DA" w:rsidP="00616825">
      <w:pPr>
        <w:pStyle w:val="Voetnoottekst"/>
      </w:pPr>
      <w:r>
        <w:rPr>
          <w:rStyle w:val="Voetnootmarkering"/>
        </w:rPr>
        <w:footnoteRef/>
      </w:r>
      <w:r>
        <w:tab/>
      </w:r>
      <w:r w:rsidRPr="00CF7449">
        <w:rPr>
          <w:bCs/>
        </w:rPr>
        <w:t>Kamerstukken II 2008/09, 32026 (R 1888), nr. 3, blz. 3</w:t>
      </w:r>
      <w:r>
        <w:rPr>
          <w:bCs/>
        </w:rPr>
        <w:t>; Zie ook de u</w:t>
      </w:r>
      <w:r w:rsidRPr="00616825">
        <w:rPr>
          <w:bCs/>
        </w:rPr>
        <w:t>itspraak van de voorzieningeninstantie van de Raad van State van het</w:t>
      </w:r>
      <w:r>
        <w:rPr>
          <w:bCs/>
        </w:rPr>
        <w:t xml:space="preserve"> </w:t>
      </w:r>
      <w:r w:rsidRPr="00616825">
        <w:rPr>
          <w:bCs/>
        </w:rPr>
        <w:t>Koninkrijk op een verzoek van de raad van ministers van Curaçao tot het</w:t>
      </w:r>
      <w:r>
        <w:rPr>
          <w:bCs/>
        </w:rPr>
        <w:t xml:space="preserve"> </w:t>
      </w:r>
      <w:r w:rsidRPr="00616825">
        <w:rPr>
          <w:bCs/>
        </w:rPr>
        <w:t>treffen van een voorlopige voorziening krachtens artikel 27 van de</w:t>
      </w:r>
      <w:r>
        <w:rPr>
          <w:bCs/>
        </w:rPr>
        <w:t xml:space="preserve"> </w:t>
      </w:r>
      <w:r w:rsidRPr="00616825">
        <w:rPr>
          <w:bCs/>
        </w:rPr>
        <w:t>Rijkswet financieel toezicht Curaçao en Sint Maarten, hangende het</w:t>
      </w:r>
      <w:r>
        <w:rPr>
          <w:bCs/>
        </w:rPr>
        <w:t xml:space="preserve"> </w:t>
      </w:r>
      <w:r w:rsidRPr="00616825">
        <w:rPr>
          <w:bCs/>
        </w:rPr>
        <w:t>beroep dat de raad van ministers heeft ingesteld tegen het Koninklijk</w:t>
      </w:r>
      <w:r>
        <w:rPr>
          <w:bCs/>
        </w:rPr>
        <w:t xml:space="preserve"> </w:t>
      </w:r>
      <w:r w:rsidRPr="00616825">
        <w:rPr>
          <w:bCs/>
        </w:rPr>
        <w:t>Besluit van 13 juli 2012, Stb. 338, houdende het geven van een aanwijzing aan het bestuur van Curaçao</w:t>
      </w:r>
      <w:r>
        <w:rPr>
          <w:bCs/>
        </w:rPr>
        <w:t xml:space="preserve"> (</w:t>
      </w:r>
      <w:r w:rsidRPr="00CF7449">
        <w:rPr>
          <w:bCs/>
        </w:rPr>
        <w:t>W04.12.0337/I/K</w:t>
      </w:r>
      <w:r>
        <w:rPr>
          <w:bCs/>
        </w:rPr>
        <w:t>), punt 2.2.1, Stb 2012, 535.</w:t>
      </w:r>
    </w:p>
  </w:footnote>
  <w:footnote w:id="11">
    <w:p w:rsidR="000A29D5" w:rsidRDefault="004242DA" w:rsidP="000A29D5">
      <w:pPr>
        <w:pStyle w:val="Voetnoottekst"/>
      </w:pPr>
      <w:r>
        <w:rPr>
          <w:rStyle w:val="Voetnootmarkering"/>
        </w:rPr>
        <w:footnoteRef/>
      </w:r>
      <w:r>
        <w:tab/>
      </w:r>
      <w:r w:rsidRPr="00CF7449">
        <w:rPr>
          <w:bCs/>
        </w:rPr>
        <w:t>Kamerstukken II 2008/09, 32026 (R 1888), nr. 3, blz. 3</w:t>
      </w:r>
      <w:r>
        <w:rPr>
          <w:bCs/>
        </w:rPr>
        <w:t xml:space="preserve">; Zie ook </w:t>
      </w:r>
      <w:r w:rsidRPr="00CF7449">
        <w:rPr>
          <w:bCs/>
        </w:rPr>
        <w:t>W04.12.0337/I/K</w:t>
      </w:r>
      <w:r>
        <w:rPr>
          <w:bCs/>
        </w:rPr>
        <w:t>, punt 2.2.1, Stb 2012, 535.</w:t>
      </w:r>
    </w:p>
  </w:footnote>
  <w:footnote w:id="12">
    <w:p w:rsidR="000A29D5" w:rsidRDefault="004242DA" w:rsidP="000A29D5">
      <w:pPr>
        <w:pStyle w:val="Voetnoottekst"/>
      </w:pPr>
      <w:r>
        <w:rPr>
          <w:rStyle w:val="Voetnootmarkering"/>
        </w:rPr>
        <w:footnoteRef/>
      </w:r>
      <w:r>
        <w:tab/>
        <w:t>Artikel 4, eerste lid, onder b, van de Rijkswet COHO.</w:t>
      </w:r>
    </w:p>
  </w:footnote>
  <w:footnote w:id="13">
    <w:p w:rsidR="000A29D5" w:rsidRDefault="004242DA" w:rsidP="000A29D5">
      <w:pPr>
        <w:pStyle w:val="Voetnoottekst"/>
      </w:pPr>
      <w:r>
        <w:rPr>
          <w:rStyle w:val="Voetnootmarkering"/>
        </w:rPr>
        <w:footnoteRef/>
      </w:r>
      <w:r>
        <w:tab/>
        <w:t>Artikel 21, eerste lid, van de Rijkswet COHO.</w:t>
      </w:r>
    </w:p>
  </w:footnote>
  <w:footnote w:id="14">
    <w:p w:rsidR="000A29D5" w:rsidRDefault="004242DA" w:rsidP="00F73D60">
      <w:pPr>
        <w:pStyle w:val="Voetnoottekst"/>
        <w:ind w:left="0" w:firstLine="0"/>
      </w:pPr>
      <w:r>
        <w:rPr>
          <w:rStyle w:val="Voetnootmarkering"/>
        </w:rPr>
        <w:footnoteRef/>
      </w:r>
      <w:r>
        <w:t xml:space="preserve"> </w:t>
      </w:r>
      <w:r>
        <w:tab/>
        <w:t xml:space="preserve">Artikel 22, eerste lid, van de Rijkswet COHO. </w:t>
      </w:r>
    </w:p>
  </w:footnote>
  <w:footnote w:id="15">
    <w:p w:rsidR="000A29D5" w:rsidRDefault="004242DA" w:rsidP="000A29D5">
      <w:pPr>
        <w:pStyle w:val="Voetnoottekst"/>
      </w:pPr>
      <w:r>
        <w:rPr>
          <w:rStyle w:val="Voetnootmarkering"/>
        </w:rPr>
        <w:footnoteRef/>
      </w:r>
      <w:r>
        <w:tab/>
        <w:t>Artikel 27, eerste lid, van de Rijkswet COHO.</w:t>
      </w:r>
    </w:p>
  </w:footnote>
  <w:footnote w:id="16">
    <w:p w:rsidR="000A29D5" w:rsidRDefault="004242DA" w:rsidP="000A29D5">
      <w:pPr>
        <w:pStyle w:val="Voetnoottekst"/>
      </w:pPr>
      <w:r>
        <w:rPr>
          <w:rStyle w:val="Voetnootmarkering"/>
        </w:rPr>
        <w:footnoteRef/>
      </w:r>
      <w:r>
        <w:tab/>
        <w:t>Artikel 28 van de Rijkswet COHO.</w:t>
      </w:r>
    </w:p>
  </w:footnote>
  <w:footnote w:id="17">
    <w:p w:rsidR="000A29D5" w:rsidRDefault="004242DA" w:rsidP="000A29D5">
      <w:pPr>
        <w:pStyle w:val="Voetnoottekst"/>
      </w:pPr>
      <w:r>
        <w:rPr>
          <w:rStyle w:val="Voetnootmarkering"/>
        </w:rPr>
        <w:footnoteRef/>
      </w:r>
      <w:r>
        <w:t xml:space="preserve"> </w:t>
      </w:r>
      <w:r>
        <w:tab/>
        <w:t xml:space="preserve">De Afdeling herinnert in dit verband aan de opmerking in haar advies van 3 maart 2021 betreffende </w:t>
      </w:r>
      <w:r w:rsidRPr="00E05F74">
        <w:t>het voorstel van Rijkswet houdende regels omtrent de instelling van het Caribisch orgaan voor hervorming en ontwikkeling</w:t>
      </w:r>
      <w:r>
        <w:t>, punt 2.d (</w:t>
      </w:r>
      <w:r w:rsidRPr="00E05F74">
        <w:t>W04.20.0408/I</w:t>
      </w:r>
      <w:r>
        <w:t xml:space="preserve">; gepubliceerd op de website van het ministerie van Binnenlandse Zaken en Koninkrijksrelaties). </w:t>
      </w:r>
    </w:p>
  </w:footnote>
  <w:footnote w:id="18">
    <w:p w:rsidR="000A29D5" w:rsidRDefault="004242DA" w:rsidP="000A29D5">
      <w:pPr>
        <w:pStyle w:val="Voetnoottekst"/>
      </w:pPr>
      <w:r>
        <w:rPr>
          <w:rStyle w:val="Voetnootmarkering"/>
        </w:rPr>
        <w:footnoteRef/>
      </w:r>
      <w:r>
        <w:t xml:space="preserve"> </w:t>
      </w:r>
      <w:r>
        <w:tab/>
        <w:t>Artikel 22, eerste lid, onder a, en artikel 25, gelezen in verbinding met artikel 22, eerste lid, onder b, van de Rijkswet COHO.</w:t>
      </w:r>
    </w:p>
  </w:footnote>
  <w:footnote w:id="19">
    <w:p w:rsidR="000A29D5" w:rsidRDefault="004242DA" w:rsidP="000A29D5">
      <w:pPr>
        <w:pStyle w:val="Voetnoottekst"/>
      </w:pPr>
      <w:r>
        <w:rPr>
          <w:rStyle w:val="Voetnootmarkering"/>
        </w:rPr>
        <w:footnoteRef/>
      </w:r>
      <w:r>
        <w:tab/>
        <w:t>Artikel 8, tweede lid, van de Rijkswet COHO.</w:t>
      </w:r>
    </w:p>
  </w:footnote>
  <w:footnote w:id="20">
    <w:p w:rsidR="000A29D5" w:rsidRDefault="004242DA" w:rsidP="000A29D5">
      <w:pPr>
        <w:pStyle w:val="Voetnoottekst"/>
      </w:pPr>
      <w:r>
        <w:rPr>
          <w:rStyle w:val="Voetnootmarkering"/>
        </w:rPr>
        <w:footnoteRef/>
      </w:r>
      <w:r>
        <w:t xml:space="preserve"> </w:t>
      </w:r>
      <w:r>
        <w:tab/>
        <w:t>Memorie van toelichting, onderdeel II artikelsgewijs, artikel 8.</w:t>
      </w:r>
    </w:p>
  </w:footnote>
  <w:footnote w:id="21">
    <w:p w:rsidR="000A29D5" w:rsidRDefault="004242DA" w:rsidP="000A29D5">
      <w:pPr>
        <w:pStyle w:val="Voetnoottekst"/>
      </w:pPr>
      <w:r>
        <w:rPr>
          <w:rStyle w:val="Voetnootmarkering"/>
        </w:rPr>
        <w:footnoteRef/>
      </w:r>
      <w:r>
        <w:t xml:space="preserve"> </w:t>
      </w:r>
      <w:r>
        <w:tab/>
        <w:t>Artikel 8, eerste lid, van de Rijkswet COHO.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D455B">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82A"/>
    <w:multiLevelType w:val="hybridMultilevel"/>
    <w:tmpl w:val="71C86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B90FC2"/>
    <w:multiLevelType w:val="hybridMultilevel"/>
    <w:tmpl w:val="E2128E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242DA"/>
    <w:rsid w:val="004421C1"/>
    <w:rsid w:val="004A3A45"/>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D455B"/>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A0089D81-6A7A-4723-9B9A-952170C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D54B54"/>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semiHidden/>
    <w:unhideWhenUsed/>
    <w:rsid w:val="00E05F74"/>
    <w:rPr>
      <w:color w:val="0000FF"/>
      <w:u w:val="single"/>
    </w:rPr>
  </w:style>
  <w:style w:type="character" w:styleId="Nadruk">
    <w:name w:val="Emphasis"/>
    <w:basedOn w:val="Standaardalinea-lettertype"/>
    <w:uiPriority w:val="20"/>
    <w:qFormat/>
    <w:rsid w:val="00FF1DCA"/>
    <w:rPr>
      <w:i/>
      <w:iCs/>
    </w:rPr>
  </w:style>
  <w:style w:type="character" w:styleId="Verwijzingopmerking">
    <w:name w:val="annotation reference"/>
    <w:basedOn w:val="Standaardalinea-lettertype"/>
    <w:semiHidden/>
    <w:unhideWhenUsed/>
    <w:rsid w:val="007E72C3"/>
    <w:rPr>
      <w:sz w:val="16"/>
      <w:szCs w:val="16"/>
    </w:rPr>
  </w:style>
  <w:style w:type="paragraph" w:styleId="Tekstopmerking">
    <w:name w:val="annotation text"/>
    <w:basedOn w:val="Standaard"/>
    <w:link w:val="TekstopmerkingChar"/>
    <w:semiHidden/>
    <w:unhideWhenUsed/>
    <w:rsid w:val="007E72C3"/>
    <w:rPr>
      <w:sz w:val="20"/>
      <w:szCs w:val="20"/>
    </w:rPr>
  </w:style>
  <w:style w:type="character" w:customStyle="1" w:styleId="TekstopmerkingChar">
    <w:name w:val="Tekst opmerking Char"/>
    <w:basedOn w:val="Standaardalinea-lettertype"/>
    <w:link w:val="Tekstopmerking"/>
    <w:semiHidden/>
    <w:rsid w:val="007E72C3"/>
    <w:rPr>
      <w:rFonts w:ascii="Univers" w:hAnsi="Univers"/>
    </w:rPr>
  </w:style>
  <w:style w:type="paragraph" w:styleId="Onderwerpvanopmerking">
    <w:name w:val="annotation subject"/>
    <w:basedOn w:val="Tekstopmerking"/>
    <w:next w:val="Tekstopmerking"/>
    <w:link w:val="OnderwerpvanopmerkingChar"/>
    <w:semiHidden/>
    <w:unhideWhenUsed/>
    <w:rsid w:val="007E72C3"/>
    <w:rPr>
      <w:b/>
      <w:bCs/>
    </w:rPr>
  </w:style>
  <w:style w:type="character" w:customStyle="1" w:styleId="OnderwerpvanopmerkingChar">
    <w:name w:val="Onderwerp van opmerking Char"/>
    <w:basedOn w:val="TekstopmerkingChar"/>
    <w:link w:val="Onderwerpvanopmerking"/>
    <w:semiHidden/>
    <w:rsid w:val="007E72C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2800</ap:Words>
  <ap:Characters>15403</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2022-02-16T08:10:00.0000000Z</dcterms:created>
  <dcterms:modified xsi:type="dcterms:W3CDTF">2022-02-16T08:10:00.0000000Z</dcterms:modified>
  <dc:description>------------------------</dc:description>
  <dc:subject/>
  <dc:title/>
  <keywords/>
  <version/>
  <category/>
</coreProperties>
</file>