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B0394" w:rsidR="000B0394" w:rsidP="000D0DF5" w:rsidRDefault="000B0394">
            <w:pPr>
              <w:tabs>
                <w:tab w:val="left" w:pos="-1440"/>
                <w:tab w:val="left" w:pos="-720"/>
              </w:tabs>
              <w:suppressAutoHyphens/>
              <w:rPr>
                <w:rFonts w:ascii="Times New Roman" w:hAnsi="Times New Roman"/>
              </w:rPr>
            </w:pPr>
            <w:r w:rsidRPr="000B0394">
              <w:rPr>
                <w:rFonts w:ascii="Times New Roman" w:hAnsi="Times New Roman"/>
              </w:rPr>
              <w:t>De Tweede Kamer der Staten-</w:t>
            </w:r>
            <w:r w:rsidRPr="000B0394">
              <w:rPr>
                <w:rFonts w:ascii="Times New Roman" w:hAnsi="Times New Roman"/>
              </w:rPr>
              <w:fldChar w:fldCharType="begin"/>
            </w:r>
            <w:r w:rsidRPr="000B0394">
              <w:rPr>
                <w:rFonts w:ascii="Times New Roman" w:hAnsi="Times New Roman"/>
              </w:rPr>
              <w:instrText xml:space="preserve">PRIVATE </w:instrText>
            </w:r>
            <w:r w:rsidRPr="000B0394">
              <w:rPr>
                <w:rFonts w:ascii="Times New Roman" w:hAnsi="Times New Roman"/>
              </w:rPr>
              <w:fldChar w:fldCharType="end"/>
            </w:r>
          </w:p>
          <w:p w:rsidRPr="000B0394" w:rsidR="000B0394" w:rsidP="000D0DF5" w:rsidRDefault="000B0394">
            <w:pPr>
              <w:tabs>
                <w:tab w:val="left" w:pos="-1440"/>
                <w:tab w:val="left" w:pos="-720"/>
              </w:tabs>
              <w:suppressAutoHyphens/>
              <w:rPr>
                <w:rFonts w:ascii="Times New Roman" w:hAnsi="Times New Roman"/>
              </w:rPr>
            </w:pPr>
            <w:r w:rsidRPr="000B0394">
              <w:rPr>
                <w:rFonts w:ascii="Times New Roman" w:hAnsi="Times New Roman"/>
              </w:rPr>
              <w:t>Generaal zendt bijgaand door</w:t>
            </w:r>
          </w:p>
          <w:p w:rsidRPr="000B0394" w:rsidR="000B0394" w:rsidP="000D0DF5" w:rsidRDefault="000B0394">
            <w:pPr>
              <w:tabs>
                <w:tab w:val="left" w:pos="-1440"/>
                <w:tab w:val="left" w:pos="-720"/>
              </w:tabs>
              <w:suppressAutoHyphens/>
              <w:rPr>
                <w:rFonts w:ascii="Times New Roman" w:hAnsi="Times New Roman"/>
              </w:rPr>
            </w:pPr>
            <w:r w:rsidRPr="000B0394">
              <w:rPr>
                <w:rFonts w:ascii="Times New Roman" w:hAnsi="Times New Roman"/>
              </w:rPr>
              <w:t>haar aangenomen wetsvoorstel</w:t>
            </w:r>
          </w:p>
          <w:p w:rsidRPr="000B0394" w:rsidR="000B0394" w:rsidP="000D0DF5" w:rsidRDefault="000B0394">
            <w:pPr>
              <w:tabs>
                <w:tab w:val="left" w:pos="-1440"/>
                <w:tab w:val="left" w:pos="-720"/>
              </w:tabs>
              <w:suppressAutoHyphens/>
              <w:rPr>
                <w:rFonts w:ascii="Times New Roman" w:hAnsi="Times New Roman"/>
              </w:rPr>
            </w:pPr>
            <w:r w:rsidRPr="000B0394">
              <w:rPr>
                <w:rFonts w:ascii="Times New Roman" w:hAnsi="Times New Roman"/>
              </w:rPr>
              <w:t>aan de Eerste Kamer.</w:t>
            </w: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r w:rsidRPr="000B0394">
              <w:rPr>
                <w:rFonts w:ascii="Times New Roman" w:hAnsi="Times New Roman"/>
              </w:rPr>
              <w:t>De Voorzitter,</w:t>
            </w: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tabs>
                <w:tab w:val="left" w:pos="-1440"/>
                <w:tab w:val="left" w:pos="-720"/>
              </w:tabs>
              <w:suppressAutoHyphens/>
              <w:rPr>
                <w:rFonts w:ascii="Times New Roman" w:hAnsi="Times New Roman"/>
              </w:rPr>
            </w:pPr>
          </w:p>
          <w:p w:rsidRPr="000B0394" w:rsidR="000B0394" w:rsidP="000D0DF5" w:rsidRDefault="000B0394">
            <w:pPr>
              <w:rPr>
                <w:rFonts w:ascii="Times New Roman" w:hAnsi="Times New Roman"/>
              </w:rPr>
            </w:pPr>
          </w:p>
          <w:p w:rsidRPr="000B0394" w:rsidR="00CB3578" w:rsidP="000B0394" w:rsidRDefault="000B0394">
            <w:pPr>
              <w:pStyle w:val="Amendement"/>
              <w:rPr>
                <w:rFonts w:ascii="Times New Roman" w:hAnsi="Times New Roman" w:cs="Times New Roman"/>
                <w:b w:val="0"/>
              </w:rPr>
            </w:pPr>
            <w:r>
              <w:rPr>
                <w:rFonts w:ascii="Times New Roman" w:hAnsi="Times New Roman" w:cs="Times New Roman"/>
                <w:b w:val="0"/>
                <w:sz w:val="20"/>
              </w:rPr>
              <w:t>10 februari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B039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B0394" w:rsidRDefault="000B0394">
            <w:pPr>
              <w:pStyle w:val="Amendement"/>
              <w:rPr>
                <w:rFonts w:ascii="Times New Roman" w:hAnsi="Times New Roman" w:cs="Times New Roman"/>
              </w:rPr>
            </w:pPr>
          </w:p>
        </w:tc>
        <w:tc>
          <w:tcPr>
            <w:tcW w:w="6590" w:type="dxa"/>
            <w:tcBorders>
              <w:top w:val="nil"/>
              <w:left w:val="nil"/>
              <w:bottom w:val="nil"/>
              <w:right w:val="nil"/>
            </w:tcBorders>
          </w:tcPr>
          <w:p w:rsidRPr="002168F4" w:rsidR="000B0394" w:rsidRDefault="000B0394">
            <w:pPr>
              <w:tabs>
                <w:tab w:val="left" w:pos="-1440"/>
                <w:tab w:val="left" w:pos="-720"/>
              </w:tabs>
              <w:suppressAutoHyphens/>
              <w:rPr>
                <w:rFonts w:ascii="Times New Roman" w:hAnsi="Times New Roman"/>
                <w:b/>
                <w:bCs/>
              </w:rPr>
            </w:pPr>
          </w:p>
        </w:tc>
      </w:tr>
      <w:tr w:rsidRPr="002168F4" w:rsidR="000B0394" w:rsidTr="0046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4BF1" w:rsidR="000B0394" w:rsidP="000D5BC4" w:rsidRDefault="000B0394">
            <w:pPr>
              <w:rPr>
                <w:rFonts w:ascii="Times New Roman" w:hAnsi="Times New Roman"/>
                <w:b/>
                <w:sz w:val="24"/>
              </w:rPr>
            </w:pPr>
            <w:r w:rsidRPr="00E24BF1">
              <w:rPr>
                <w:rFonts w:ascii="Times New Roman" w:hAnsi="Times New Roman"/>
                <w:b/>
                <w:bCs/>
                <w:color w:val="333333"/>
                <w:sz w:val="24"/>
              </w:rPr>
              <w:t>Wijziging van de Wet op het financieel toezicht en de Faillissementswet in verband met de bevoegdheid om vast te stellen of een bank of beleggingsonderneming faalt of waarschijnlijk zal falen en in verband met de verificatie van interesten die lopen vanaf de faillietverklaring van een bank of beleggingsonderneming ter uitvoering van Richtlijn nr. 2014/59/EU alsmede ter uitvoering van Verordening (EU) nr. 806/2014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B0394" w:rsidTr="00C5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B0394" w:rsidRDefault="000B039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Wij Willem-Alexander, bij de gratie Gods, Koning der Nederlanden, Prins van Oranje-Nassau, enz. enz. enz.</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Allen, die deze zullen zien of horen lezen, saluut! doen te weten:</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Alzo Wij in overweging genomen hebben, dat het wenselijk is om ter uitvoering van 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w:t>
      </w:r>
      <w:r>
        <w:rPr>
          <w:rFonts w:ascii="Times New Roman" w:hAnsi="Times New Roman"/>
          <w:sz w:val="24"/>
          <w:szCs w:val="20"/>
        </w:rPr>
        <w:t xml:space="preserve"> </w:t>
      </w:r>
      <w:r w:rsidRPr="00996794">
        <w:rPr>
          <w:rFonts w:ascii="Times New Roman" w:hAnsi="Times New Roman"/>
          <w:sz w:val="24"/>
          <w:szCs w:val="20"/>
        </w:rPr>
        <w:t xml:space="preserve">en 2013/36/EU en Verordeningen (EU) nr. 1093/2010 en (EU) nr. 648/2012, van het Europees parlement en de Raad (PbEU 2014, L 173), alsmede ter uitvoering van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996794">
        <w:rPr>
          <w:rFonts w:ascii="Times New Roman" w:hAnsi="Times New Roman"/>
          <w:sz w:val="24"/>
          <w:szCs w:val="20"/>
        </w:rPr>
        <w:t>bankenafwikkelingsfonds</w:t>
      </w:r>
      <w:proofErr w:type="spellEnd"/>
      <w:r w:rsidRPr="00996794">
        <w:rPr>
          <w:rFonts w:ascii="Times New Roman" w:hAnsi="Times New Roman"/>
          <w:sz w:val="24"/>
          <w:szCs w:val="20"/>
        </w:rPr>
        <w:t xml:space="preserve"> en tot wijziging van Verordening (EU) nr. 1093/2010 van het Europees parlement en de Raad (PbEU 2014, L 225) aan De Nederlandsche Bank de bevoegdheid toe te kennen om in bepaalde gevallen vast te stellen dat een bank of beleggingsonderneming faalt of waarschijnlijk zal falen, en dat het gewenst is dat de interesten die lopen vanaf de faillietverklaring van een bank of beleggingsonderneming worden geverifieerd;</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I</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In de Wet op het financieel toezicht wordt na artikel 3A:20 een artikel ingevoegd, luidende:</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3A:20a Beoordeling voorwaarde dat de entiteit faalt of waarschijnlijk zal falen binnen SRM</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Met betrekking tot entiteiten, bedoeld in artikel 7, derde lid, van de verordening gemeenschappelijk afwikkelingsmechanisme, beoordeelt de Nederlandsche Bank of is voldaan aan de voorwaarde, bedoeld in artikel 18, eerste lid, onderdeel a, van die verordening.</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II</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In de Faillissementswet worden na artikel 212rb twee artikelen ingevoegd, luidende:</w:t>
      </w:r>
    </w:p>
    <w:p w:rsidRPr="00996794" w:rsidR="00996794" w:rsidP="00996794" w:rsidRDefault="00996794">
      <w:pPr>
        <w:tabs>
          <w:tab w:val="left" w:pos="284"/>
          <w:tab w:val="left" w:pos="567"/>
          <w:tab w:val="left" w:pos="851"/>
        </w:tabs>
        <w:ind w:right="-2"/>
        <w:rPr>
          <w:rFonts w:ascii="Times New Roman" w:hAnsi="Times New Roman"/>
          <w:sz w:val="24"/>
          <w:szCs w:val="20"/>
        </w:rPr>
      </w:pPr>
      <w:r w:rsidRPr="00996794">
        <w:rPr>
          <w:rFonts w:ascii="Times New Roman" w:hAnsi="Times New Roman"/>
          <w:sz w:val="24"/>
          <w:szCs w:val="20"/>
        </w:rPr>
        <w:t xml:space="preserve"> </w:t>
      </w: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212rc</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1.</w:t>
      </w:r>
      <w:r w:rsidRPr="00996794">
        <w:rPr>
          <w:rFonts w:ascii="Times New Roman" w:hAnsi="Times New Roman"/>
          <w:sz w:val="24"/>
          <w:szCs w:val="20"/>
        </w:rPr>
        <w:tab/>
        <w:t>De indiening op de voet van artikel 110 van een vordering houdt tevens in de indiening van een vordering met betrekking tot de interesten over die vordering die vanaf de faillietverklaring lopen.</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2.</w:t>
      </w:r>
      <w:r w:rsidRPr="00996794">
        <w:rPr>
          <w:rFonts w:ascii="Times New Roman" w:hAnsi="Times New Roman"/>
          <w:sz w:val="24"/>
          <w:szCs w:val="20"/>
        </w:rPr>
        <w:tab/>
        <w:t>In afwijking van artikel 128 wordt ook de vordering met betrekking tot de andere interesten dan die welke door pand of hypotheek zijn gedekt, pro memorie geverifieerd.</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212rd</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1.</w:t>
      </w:r>
      <w:r w:rsidRPr="00996794">
        <w:rPr>
          <w:rFonts w:ascii="Times New Roman" w:hAnsi="Times New Roman"/>
          <w:sz w:val="24"/>
          <w:szCs w:val="20"/>
        </w:rPr>
        <w:tab/>
        <w:t>De curator kan een tussentijdse uitkering doen op bepaalde vorderingen, indien de rechter-commissaris daarvoor op verzoek van de curator toestemming geeft.</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2.</w:t>
      </w:r>
      <w:r w:rsidRPr="00996794">
        <w:rPr>
          <w:rFonts w:ascii="Times New Roman" w:hAnsi="Times New Roman"/>
          <w:sz w:val="24"/>
          <w:szCs w:val="20"/>
        </w:rPr>
        <w:tab/>
        <w:t>De rechter-commissaris kan toestemming verlenen indien:</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a.</w:t>
      </w:r>
      <w:r w:rsidRPr="00996794">
        <w:rPr>
          <w:rFonts w:ascii="Times New Roman" w:hAnsi="Times New Roman"/>
          <w:sz w:val="24"/>
          <w:szCs w:val="20"/>
        </w:rPr>
        <w:tab/>
        <w:t>voldoende waarschijnlijk is voor welke bedragen de desbetreffende vorderingen geheel of ten minste zullen worden geverifieerd;</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b.</w:t>
      </w:r>
      <w:r w:rsidRPr="00996794">
        <w:rPr>
          <w:rFonts w:ascii="Times New Roman" w:hAnsi="Times New Roman"/>
          <w:sz w:val="24"/>
          <w:szCs w:val="20"/>
        </w:rPr>
        <w:tab/>
        <w:t>een tussentijdse uitkering wenselijk is om te bewerkstelligen dat de periode na de faillietverklaring waarover de interesten lopen, wordt bekort; en</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c.</w:t>
      </w:r>
      <w:r w:rsidRPr="00996794">
        <w:rPr>
          <w:rFonts w:ascii="Times New Roman" w:hAnsi="Times New Roman"/>
          <w:sz w:val="24"/>
          <w:szCs w:val="20"/>
        </w:rPr>
        <w:tab/>
        <w:t>de tussentijdse uitkeringen niet ten koste gaan van andere schuldeisers.</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III</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Op het faillissement van een bank of beleggingsonderneming dat is uitgesproken voor het tijdstip van inwerkingtreding van artikel II blijven de bepalingen van de Faillissementswet van toepassing zoals die golden voor dat tijdstip.</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b/>
          <w:sz w:val="24"/>
          <w:szCs w:val="20"/>
        </w:rPr>
      </w:pPr>
      <w:r w:rsidRPr="00996794">
        <w:rPr>
          <w:rFonts w:ascii="Times New Roman" w:hAnsi="Times New Roman"/>
          <w:b/>
          <w:sz w:val="24"/>
          <w:szCs w:val="20"/>
        </w:rPr>
        <w:t>ARTIKEL IV</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Deze wet treedt in werking met ingang van de dag na de datum van uitgifte van het Staatsblad waarin zij wordt geplaatst.</w:t>
      </w:r>
    </w:p>
    <w:p w:rsidRPr="00996794" w:rsidR="00996794" w:rsidP="00996794" w:rsidRDefault="00996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9679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sidRPr="00996794">
        <w:rPr>
          <w:rFonts w:ascii="Times New Roman" w:hAnsi="Times New Roman"/>
          <w:sz w:val="24"/>
          <w:szCs w:val="20"/>
        </w:rPr>
        <w:t>Gegeven</w:t>
      </w: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p>
    <w:p w:rsidRPr="00996794" w:rsidR="00996794" w:rsidP="00996794" w:rsidRDefault="00996794">
      <w:pPr>
        <w:tabs>
          <w:tab w:val="left" w:pos="284"/>
          <w:tab w:val="left" w:pos="567"/>
          <w:tab w:val="left" w:pos="851"/>
        </w:tabs>
        <w:ind w:right="-2"/>
        <w:rPr>
          <w:rFonts w:ascii="Times New Roman" w:hAnsi="Times New Roman"/>
          <w:sz w:val="24"/>
          <w:szCs w:val="20"/>
        </w:rPr>
      </w:pPr>
      <w:r w:rsidRPr="00996794">
        <w:rPr>
          <w:rFonts w:ascii="Times New Roman" w:hAnsi="Times New Roman"/>
          <w:sz w:val="24"/>
          <w:szCs w:val="20"/>
        </w:rPr>
        <w:t>De Minister van Financiën,</w:t>
      </w:r>
    </w:p>
    <w:p w:rsidRPr="00996794"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p>
    <w:p w:rsidRPr="00996794" w:rsidR="00CF32C4" w:rsidP="00CF32C4" w:rsidRDefault="00CF32C4">
      <w:pPr>
        <w:tabs>
          <w:tab w:val="left" w:pos="284"/>
          <w:tab w:val="left" w:pos="567"/>
          <w:tab w:val="left" w:pos="851"/>
        </w:tabs>
        <w:ind w:right="-2"/>
        <w:rPr>
          <w:rFonts w:ascii="Times New Roman" w:hAnsi="Times New Roman"/>
          <w:sz w:val="24"/>
          <w:szCs w:val="20"/>
        </w:rPr>
      </w:pPr>
    </w:p>
    <w:p w:rsidR="00CF32C4" w:rsidP="00CF32C4" w:rsidRDefault="00CF32C4">
      <w:pPr>
        <w:tabs>
          <w:tab w:val="left" w:pos="284"/>
          <w:tab w:val="left" w:pos="567"/>
          <w:tab w:val="left" w:pos="851"/>
        </w:tabs>
        <w:ind w:right="-2"/>
        <w:rPr>
          <w:rFonts w:ascii="Times New Roman" w:hAnsi="Times New Roman"/>
          <w:sz w:val="24"/>
          <w:szCs w:val="20"/>
        </w:rPr>
      </w:pPr>
      <w:r w:rsidRPr="00996794">
        <w:rPr>
          <w:rFonts w:ascii="Times New Roman" w:hAnsi="Times New Roman"/>
          <w:sz w:val="24"/>
          <w:szCs w:val="20"/>
        </w:rPr>
        <w:t>De Minister voor Rechtsbescherming,</w:t>
      </w:r>
      <w:bookmarkStart w:name="_GoBack" w:id="0"/>
      <w:bookmarkEnd w:id="0"/>
    </w:p>
    <w:sectPr w:rsidR="00CF32C4" w:rsidSect="000B0394">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F1" w:rsidRDefault="00E24BF1">
      <w:pPr>
        <w:spacing w:line="20" w:lineRule="exact"/>
      </w:pPr>
    </w:p>
  </w:endnote>
  <w:endnote w:type="continuationSeparator" w:id="0">
    <w:p w:rsidR="00E24BF1" w:rsidRDefault="00E24BF1">
      <w:pPr>
        <w:pStyle w:val="Amendement"/>
      </w:pPr>
      <w:r>
        <w:rPr>
          <w:b w:val="0"/>
          <w:bCs w:val="0"/>
        </w:rPr>
        <w:t xml:space="preserve"> </w:t>
      </w:r>
    </w:p>
  </w:endnote>
  <w:endnote w:type="continuationNotice" w:id="1">
    <w:p w:rsidR="00E24BF1" w:rsidRDefault="00E24BF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32C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F1" w:rsidRDefault="00E24BF1">
      <w:pPr>
        <w:pStyle w:val="Amendement"/>
      </w:pPr>
      <w:r>
        <w:rPr>
          <w:b w:val="0"/>
          <w:bCs w:val="0"/>
        </w:rPr>
        <w:separator/>
      </w:r>
    </w:p>
  </w:footnote>
  <w:footnote w:type="continuationSeparator" w:id="0">
    <w:p w:rsidR="00E24BF1" w:rsidRDefault="00E2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F1"/>
    <w:rsid w:val="00012DBE"/>
    <w:rsid w:val="000A1D81"/>
    <w:rsid w:val="000B0394"/>
    <w:rsid w:val="00111ED3"/>
    <w:rsid w:val="001C190E"/>
    <w:rsid w:val="002168F4"/>
    <w:rsid w:val="002A727C"/>
    <w:rsid w:val="005D2707"/>
    <w:rsid w:val="00606255"/>
    <w:rsid w:val="006B607A"/>
    <w:rsid w:val="007D451C"/>
    <w:rsid w:val="00826224"/>
    <w:rsid w:val="00930A23"/>
    <w:rsid w:val="00996794"/>
    <w:rsid w:val="009C7354"/>
    <w:rsid w:val="009E6D7F"/>
    <w:rsid w:val="00A11E73"/>
    <w:rsid w:val="00A2521E"/>
    <w:rsid w:val="00AE436A"/>
    <w:rsid w:val="00C135B1"/>
    <w:rsid w:val="00C92DF8"/>
    <w:rsid w:val="00CB3578"/>
    <w:rsid w:val="00CF32C4"/>
    <w:rsid w:val="00D20AFA"/>
    <w:rsid w:val="00D55648"/>
    <w:rsid w:val="00E16443"/>
    <w:rsid w:val="00E24BF1"/>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4E1B5"/>
  <w15:docId w15:val="{5408E990-52A8-4E80-BA5D-EDF18F03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B0394"/>
  </w:style>
  <w:style w:type="paragraph" w:styleId="Ballontekst">
    <w:name w:val="Balloon Text"/>
    <w:basedOn w:val="Standaard"/>
    <w:link w:val="BallontekstChar"/>
    <w:semiHidden/>
    <w:unhideWhenUsed/>
    <w:rsid w:val="000B0394"/>
    <w:rPr>
      <w:rFonts w:ascii="Segoe UI" w:hAnsi="Segoe UI" w:cs="Segoe UI"/>
      <w:sz w:val="18"/>
      <w:szCs w:val="18"/>
    </w:rPr>
  </w:style>
  <w:style w:type="character" w:customStyle="1" w:styleId="BallontekstChar">
    <w:name w:val="Ballontekst Char"/>
    <w:basedOn w:val="Standaardalinea-lettertype"/>
    <w:link w:val="Ballontekst"/>
    <w:semiHidden/>
    <w:rsid w:val="000B0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663</ap:Words>
  <ap:Characters>3911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2022-02-10T10:02:00.0000000Z</lastPrinted>
  <dcterms:created xsi:type="dcterms:W3CDTF">2022-02-10T09:58:00.0000000Z</dcterms:created>
  <dcterms:modified xsi:type="dcterms:W3CDTF">2022-02-10T10:02:00.0000000Z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