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32D" w:rsidP="007C732D" w:rsidRDefault="007C732D" w14:paraId="447FD40A" w14:textId="65D6EC55">
      <w:pPr>
        <w:jc w:val="center"/>
        <w:rPr>
          <w:b/>
          <w:bCs/>
        </w:rPr>
      </w:pPr>
      <w:r>
        <w:rPr>
          <w:b/>
          <w:bCs/>
          <w:noProof/>
        </w:rPr>
        <w:drawing>
          <wp:inline distT="0" distB="0" distL="0" distR="0" wp14:anchorId="0135641B" wp14:editId="67363F0D">
            <wp:extent cx="1261110" cy="126579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639" cy="1278373"/>
                    </a:xfrm>
                    <a:prstGeom prst="rect">
                      <a:avLst/>
                    </a:prstGeom>
                  </pic:spPr>
                </pic:pic>
              </a:graphicData>
            </a:graphic>
          </wp:inline>
        </w:drawing>
      </w:r>
    </w:p>
    <w:p w:rsidRPr="00F33BF0" w:rsidR="00F33BF0" w:rsidP="00F33BF0" w:rsidRDefault="00D4454D" w14:paraId="7B02F52E" w14:textId="45C1D323">
      <w:pPr>
        <w:rPr>
          <w:b/>
          <w:bCs/>
        </w:rPr>
      </w:pPr>
      <w:r>
        <w:rPr>
          <w:b/>
          <w:bCs/>
        </w:rPr>
        <w:t>A</w:t>
      </w:r>
      <w:r w:rsidR="003E7076">
        <w:rPr>
          <w:b/>
          <w:bCs/>
        </w:rPr>
        <w:t xml:space="preserve">nalyse </w:t>
      </w:r>
      <w:r>
        <w:rPr>
          <w:b/>
          <w:bCs/>
        </w:rPr>
        <w:t xml:space="preserve">huidige inflatie en vooruitzichten </w:t>
      </w:r>
      <w:r w:rsidRPr="00F33BF0" w:rsidR="00F33BF0">
        <w:rPr>
          <w:b/>
          <w:bCs/>
        </w:rPr>
        <w:t xml:space="preserve">voor de Commissie Financiën van de Tweede Kamer </w:t>
      </w:r>
    </w:p>
    <w:p w:rsidRPr="00E015C0" w:rsidR="00B149AC" w:rsidP="00F33BF0" w:rsidRDefault="00B149AC" w14:paraId="1D20BAFC" w14:textId="5E183E73">
      <w:pPr>
        <w:rPr>
          <w:i/>
          <w:iCs/>
        </w:rPr>
      </w:pPr>
      <w:r w:rsidRPr="00E015C0">
        <w:rPr>
          <w:i/>
          <w:iCs/>
        </w:rPr>
        <w:t>Rens van Tilburg, directeur Sustainable Finance Lab aan de Universiteit Utrecht</w:t>
      </w:r>
      <w:r w:rsidR="007957B3">
        <w:rPr>
          <w:rStyle w:val="Voetnootmarkering"/>
          <w:i/>
          <w:iCs/>
        </w:rPr>
        <w:footnoteReference w:id="1"/>
      </w:r>
    </w:p>
    <w:p w:rsidRPr="00767982" w:rsidR="00767982" w:rsidP="00F33BF0" w:rsidRDefault="00C52ED2" w14:paraId="719C4293" w14:textId="030CE59D">
      <w:pPr>
        <w:rPr>
          <w:b/>
          <w:bCs/>
        </w:rPr>
      </w:pPr>
      <w:r>
        <w:rPr>
          <w:b/>
          <w:bCs/>
        </w:rPr>
        <w:t xml:space="preserve">1. </w:t>
      </w:r>
      <w:r w:rsidRPr="00767982" w:rsidR="00767982">
        <w:rPr>
          <w:b/>
          <w:bCs/>
        </w:rPr>
        <w:t>Inleiding</w:t>
      </w:r>
    </w:p>
    <w:p w:rsidR="008C671C" w:rsidP="00CD0F7D" w:rsidRDefault="000B3D22" w14:paraId="37FC2D14" w14:textId="43777018">
      <w:r>
        <w:t xml:space="preserve">De </w:t>
      </w:r>
      <w:r w:rsidR="00553F9D">
        <w:t xml:space="preserve">afgelopen 40 jaar is de </w:t>
      </w:r>
      <w:r>
        <w:t xml:space="preserve">inflatie in Nederland </w:t>
      </w:r>
      <w:r w:rsidR="00553F9D">
        <w:t>niet meer zo hoog geweest als nu.</w:t>
      </w:r>
      <w:r w:rsidR="00035822">
        <w:rPr>
          <w:rStyle w:val="Voetnootmarkering"/>
        </w:rPr>
        <w:footnoteReference w:id="2"/>
      </w:r>
      <w:r>
        <w:t xml:space="preserve"> </w:t>
      </w:r>
      <w:r w:rsidR="00CB2819">
        <w:t>Destijds, i</w:t>
      </w:r>
      <w:r w:rsidR="003705E8">
        <w:t>n 1982</w:t>
      </w:r>
      <w:r w:rsidR="009C33CB">
        <w:t>,</w:t>
      </w:r>
      <w:r w:rsidR="003705E8">
        <w:t xml:space="preserve"> kwam Nederland uit een periode </w:t>
      </w:r>
      <w:r>
        <w:t xml:space="preserve">waarin </w:t>
      </w:r>
      <w:r w:rsidR="00F25D44">
        <w:t xml:space="preserve">zowel </w:t>
      </w:r>
      <w:r>
        <w:t>de inflatie</w:t>
      </w:r>
      <w:r w:rsidR="00A970FA">
        <w:t xml:space="preserve"> als </w:t>
      </w:r>
      <w:r>
        <w:t>de werkloosheid</w:t>
      </w:r>
      <w:r w:rsidR="00CB2819">
        <w:t xml:space="preserve"> </w:t>
      </w:r>
      <w:r w:rsidR="00F25D44">
        <w:t xml:space="preserve">langdurig hoog was </w:t>
      </w:r>
      <w:r w:rsidR="00CB2819">
        <w:t>(‘stagflatie’)</w:t>
      </w:r>
      <w:r>
        <w:t xml:space="preserve">. </w:t>
      </w:r>
      <w:r w:rsidR="003F5181">
        <w:t>D</w:t>
      </w:r>
      <w:r w:rsidR="00890068">
        <w:t xml:space="preserve">e huidige inflatiecijfers </w:t>
      </w:r>
      <w:r w:rsidR="003F5181">
        <w:t>roepen daarom de vraag op</w:t>
      </w:r>
      <w:r w:rsidR="00EE7416">
        <w:t xml:space="preserve">: staat ons weer een langdurige periode van </w:t>
      </w:r>
      <w:r w:rsidR="001B7581">
        <w:t xml:space="preserve">economische ellende </w:t>
      </w:r>
      <w:r w:rsidR="00EE7416">
        <w:t>te wachten?</w:t>
      </w:r>
      <w:r w:rsidR="00890068">
        <w:t xml:space="preserve"> </w:t>
      </w:r>
      <w:r w:rsidR="001B7581">
        <w:t>Daarom heeft d</w:t>
      </w:r>
      <w:r w:rsidR="006E3DA4">
        <w:t xml:space="preserve">e Tweede Kamer </w:t>
      </w:r>
      <w:r w:rsidR="00461407">
        <w:t>behoefte aan</w:t>
      </w:r>
      <w:r w:rsidR="00EE5FF4">
        <w:t xml:space="preserve"> e</w:t>
      </w:r>
      <w:r w:rsidR="00F33BF0">
        <w:t xml:space="preserve">en analyse van de belangrijkste stuwende krachten achter de huidige inflatie, met een duiding of </w:t>
      </w:r>
      <w:r w:rsidR="00DC2F6F">
        <w:t xml:space="preserve">deze </w:t>
      </w:r>
      <w:r w:rsidR="00F33BF0">
        <w:t>structure</w:t>
      </w:r>
      <w:r w:rsidR="00DC2F6F">
        <w:t>e</w:t>
      </w:r>
      <w:r w:rsidR="00F33BF0">
        <w:t>l of incidentee</w:t>
      </w:r>
      <w:r w:rsidR="00DC2F6F">
        <w:t>l</w:t>
      </w:r>
      <w:r w:rsidR="00F33BF0">
        <w:t xml:space="preserve"> </w:t>
      </w:r>
      <w:r w:rsidR="00DC2F6F">
        <w:t>van aard zijn</w:t>
      </w:r>
      <w:r w:rsidR="00A149DB">
        <w:t>.</w:t>
      </w:r>
    </w:p>
    <w:p w:rsidR="003F21E3" w:rsidP="003F21E3" w:rsidRDefault="008E0197" w14:paraId="3C101FED" w14:textId="575EEC0F">
      <w:r>
        <w:t xml:space="preserve">In deze korte notitie zal ik betogen dat er </w:t>
      </w:r>
      <w:r w:rsidR="003F21E3">
        <w:t xml:space="preserve">veel anders </w:t>
      </w:r>
      <w:r w:rsidR="00A149DB">
        <w:t xml:space="preserve">is </w:t>
      </w:r>
      <w:r w:rsidR="003F21E3">
        <w:t xml:space="preserve">dan in de jaren ’70 en </w:t>
      </w:r>
      <w:r>
        <w:t xml:space="preserve">dat daarom </w:t>
      </w:r>
      <w:r w:rsidR="003F21E3">
        <w:t xml:space="preserve">voor een herhaling niet direct gevreesd </w:t>
      </w:r>
      <w:r>
        <w:t xml:space="preserve">hoeft </w:t>
      </w:r>
      <w:r w:rsidR="003F21E3">
        <w:t xml:space="preserve">te worden. Wel </w:t>
      </w:r>
      <w:r w:rsidR="00CD0F7D">
        <w:t xml:space="preserve">is er het risico dat </w:t>
      </w:r>
      <w:r w:rsidR="002506D9">
        <w:t>de inflatie langere tijd hoog blijft en is het d</w:t>
      </w:r>
      <w:r w:rsidR="00355B21">
        <w:t xml:space="preserve">aarom </w:t>
      </w:r>
      <w:r w:rsidR="002506D9">
        <w:t xml:space="preserve">verstandig ons daarop voor te bereiden. </w:t>
      </w:r>
      <w:r w:rsidR="00180553">
        <w:t xml:space="preserve">Dat kan door </w:t>
      </w:r>
      <w:r w:rsidR="0007008E">
        <w:t xml:space="preserve">de </w:t>
      </w:r>
      <w:r w:rsidR="00DD0A68">
        <w:t>aanbodcapaciteit</w:t>
      </w:r>
      <w:r w:rsidR="005F3B51">
        <w:t xml:space="preserve"> </w:t>
      </w:r>
      <w:r w:rsidR="00180553">
        <w:t xml:space="preserve">te </w:t>
      </w:r>
      <w:r w:rsidR="005F3B51">
        <w:t>vergroten</w:t>
      </w:r>
      <w:r w:rsidR="00E5537A">
        <w:t>,</w:t>
      </w:r>
      <w:r w:rsidR="003F21E3">
        <w:t xml:space="preserve"> </w:t>
      </w:r>
      <w:r w:rsidR="005F3B51">
        <w:t>de</w:t>
      </w:r>
      <w:r w:rsidR="00DD0A68">
        <w:t xml:space="preserve"> </w:t>
      </w:r>
      <w:r w:rsidR="003F21E3">
        <w:t>energietransitie</w:t>
      </w:r>
      <w:r w:rsidR="002315A5">
        <w:t xml:space="preserve"> </w:t>
      </w:r>
      <w:r w:rsidR="00180553">
        <w:t xml:space="preserve">te </w:t>
      </w:r>
      <w:r w:rsidR="005F3B51">
        <w:t xml:space="preserve">versnellen </w:t>
      </w:r>
      <w:r w:rsidR="002315A5">
        <w:t>en</w:t>
      </w:r>
      <w:r w:rsidR="00DD0A68">
        <w:t xml:space="preserve"> een evenwichtige economische ontwikkeling in de eurozone</w:t>
      </w:r>
      <w:r w:rsidR="005F3B51">
        <w:t xml:space="preserve"> </w:t>
      </w:r>
      <w:r w:rsidR="00180553">
        <w:t xml:space="preserve">te </w:t>
      </w:r>
      <w:r w:rsidR="005F3B51">
        <w:t>bevorderen</w:t>
      </w:r>
      <w:r w:rsidR="003F21E3">
        <w:t xml:space="preserve">.  </w:t>
      </w:r>
    </w:p>
    <w:p w:rsidR="003F21E3" w:rsidP="003F21E3" w:rsidRDefault="005400A6" w14:paraId="5E7C7333" w14:textId="3CFA017F">
      <w:r>
        <w:t xml:space="preserve">Deze notitie begint met een bespreking van de huidige ontwikkelingen rond inflatie </w:t>
      </w:r>
      <w:r w:rsidR="009244C4">
        <w:t>binnen</w:t>
      </w:r>
      <w:r>
        <w:t xml:space="preserve"> </w:t>
      </w:r>
      <w:r w:rsidR="00E51B8F">
        <w:t xml:space="preserve">en buiten </w:t>
      </w:r>
      <w:r>
        <w:t>Nederland</w:t>
      </w:r>
      <w:r w:rsidR="004E1586">
        <w:t>. Vervolgens bespreek</w:t>
      </w:r>
      <w:r w:rsidR="007957B3">
        <w:t xml:space="preserve"> ik </w:t>
      </w:r>
      <w:r w:rsidR="004E1586">
        <w:t xml:space="preserve">de </w:t>
      </w:r>
      <w:r w:rsidR="00263890">
        <w:t xml:space="preserve">verwachtingen ten aanzien van de drijvende krachten achter inflatie. Om tot slot </w:t>
      </w:r>
      <w:r w:rsidR="008B24A9">
        <w:t xml:space="preserve">deze ontwikkelingen te waarderen en </w:t>
      </w:r>
      <w:r w:rsidR="00263890">
        <w:t xml:space="preserve">enkele aanbevelingen te formuleren. </w:t>
      </w:r>
    </w:p>
    <w:p w:rsidRPr="00341990" w:rsidR="008C671C" w:rsidRDefault="00C52ED2" w14:paraId="630E7790" w14:textId="0A88CCEE">
      <w:pPr>
        <w:rPr>
          <w:b/>
          <w:bCs/>
        </w:rPr>
      </w:pPr>
      <w:r>
        <w:rPr>
          <w:b/>
          <w:bCs/>
        </w:rPr>
        <w:t xml:space="preserve">2. </w:t>
      </w:r>
      <w:r w:rsidRPr="00341990" w:rsidR="0018486A">
        <w:rPr>
          <w:b/>
          <w:bCs/>
        </w:rPr>
        <w:t xml:space="preserve">De huidige </w:t>
      </w:r>
      <w:r w:rsidRPr="00341990" w:rsidR="008C671C">
        <w:rPr>
          <w:b/>
          <w:bCs/>
        </w:rPr>
        <w:t>inflatie</w:t>
      </w:r>
      <w:r w:rsidRPr="00341990" w:rsidR="00226F24">
        <w:rPr>
          <w:b/>
          <w:bCs/>
        </w:rPr>
        <w:t xml:space="preserve"> </w:t>
      </w:r>
      <w:r w:rsidRPr="00341990" w:rsidR="008C671C">
        <w:rPr>
          <w:b/>
          <w:bCs/>
        </w:rPr>
        <w:t xml:space="preserve">ontwikkeling </w:t>
      </w:r>
    </w:p>
    <w:p w:rsidR="00D619F4" w:rsidP="005208B7" w:rsidRDefault="0018486A" w14:paraId="638AD990" w14:textId="6B0FD836">
      <w:r w:rsidRPr="00D22389">
        <w:t xml:space="preserve">In </w:t>
      </w:r>
      <w:r w:rsidR="000C597A">
        <w:t xml:space="preserve">december </w:t>
      </w:r>
      <w:r w:rsidR="00DE5C16">
        <w:t xml:space="preserve">2021 </w:t>
      </w:r>
      <w:r w:rsidR="000C597A">
        <w:t xml:space="preserve">bereikte de inflatie </w:t>
      </w:r>
      <w:r w:rsidR="00DE5C16">
        <w:t xml:space="preserve">in Nederland </w:t>
      </w:r>
      <w:r w:rsidR="000C597A">
        <w:t>volgens de Europese definitie</w:t>
      </w:r>
      <w:r w:rsidR="000D3A43">
        <w:rPr>
          <w:rStyle w:val="Voetnootmarkering"/>
        </w:rPr>
        <w:footnoteReference w:id="3"/>
      </w:r>
      <w:r w:rsidR="000C597A">
        <w:t xml:space="preserve"> </w:t>
      </w:r>
      <w:r w:rsidR="005B5B2F">
        <w:t>6,4%</w:t>
      </w:r>
      <w:r w:rsidR="00F35CE2">
        <w:t>, ruim boven de doelstelling van 2% die de ECB hanteert voor de middellange termijn</w:t>
      </w:r>
      <w:r w:rsidR="005B5B2F">
        <w:t xml:space="preserve">. </w:t>
      </w:r>
      <w:r w:rsidR="00F35CE2">
        <w:t xml:space="preserve">Deze hoge inflatie </w:t>
      </w:r>
      <w:r w:rsidR="006C1430">
        <w:t>is g</w:t>
      </w:r>
      <w:r w:rsidRPr="00D22389" w:rsidR="00AC58E7">
        <w:t xml:space="preserve">een uniek Nederlands </w:t>
      </w:r>
      <w:r w:rsidR="006C1430">
        <w:t xml:space="preserve">of Europees </w:t>
      </w:r>
      <w:r w:rsidRPr="00D22389" w:rsidR="00AC58E7">
        <w:t xml:space="preserve">fenomeen. </w:t>
      </w:r>
      <w:r w:rsidR="006C1430">
        <w:t xml:space="preserve">De gemiddelde inflatie in de eurozone is </w:t>
      </w:r>
      <w:r w:rsidR="008754B7">
        <w:t>5</w:t>
      </w:r>
      <w:r w:rsidR="006C1430">
        <w:t xml:space="preserve">% </w:t>
      </w:r>
      <w:r w:rsidR="00E31244">
        <w:t xml:space="preserve">en in de VS bedroeg deze in november </w:t>
      </w:r>
      <w:r w:rsidRPr="00E31244" w:rsidR="004D7C50">
        <w:t>6,8%</w:t>
      </w:r>
      <w:r w:rsidR="00E31244">
        <w:t>.</w:t>
      </w:r>
      <w:r w:rsidR="00CF52DA">
        <w:rPr>
          <w:rStyle w:val="Voetnootmarkering"/>
        </w:rPr>
        <w:footnoteReference w:id="4"/>
      </w:r>
      <w:r w:rsidRPr="00E31244" w:rsidR="004D7C50">
        <w:t xml:space="preserve"> </w:t>
      </w:r>
      <w:r w:rsidR="005208B7">
        <w:t xml:space="preserve">Zowel in Nederland als Europa en de VS is de hoge inflatie vooral veroorzaakt door de gestegen </w:t>
      </w:r>
      <w:r w:rsidRPr="00D22389" w:rsidR="00031E3E">
        <w:t>energieprijzen</w:t>
      </w:r>
      <w:r w:rsidR="005208B7">
        <w:t>.</w:t>
      </w:r>
      <w:r w:rsidR="00D04902">
        <w:t xml:space="preserve"> </w:t>
      </w:r>
      <w:r w:rsidR="00513696">
        <w:t>Overigens is de kerninflatie</w:t>
      </w:r>
      <w:r w:rsidR="006B76F0">
        <w:t>, waarbij niet wordt gekeken naar de volatiele energie- en voedselprijzen, in de VS aanzienlijk hoger dan in de EU</w:t>
      </w:r>
      <w:r w:rsidR="00CB1583">
        <w:t>.</w:t>
      </w:r>
      <w:r w:rsidR="00CB1583">
        <w:rPr>
          <w:rStyle w:val="Voetnootmarkering"/>
        </w:rPr>
        <w:footnoteReference w:id="5"/>
      </w:r>
      <w:r w:rsidR="00513696">
        <w:t xml:space="preserve"> </w:t>
      </w:r>
    </w:p>
    <w:p w:rsidR="009768BF" w:rsidRDefault="009768BF" w14:paraId="2954C1BB" w14:textId="77777777">
      <w:pPr>
        <w:rPr>
          <w:u w:val="single"/>
        </w:rPr>
      </w:pPr>
      <w:r>
        <w:rPr>
          <w:u w:val="single"/>
        </w:rPr>
        <w:br w:type="page"/>
      </w:r>
    </w:p>
    <w:p w:rsidRPr="006A17D2" w:rsidR="00D619F4" w:rsidP="00D619F4" w:rsidRDefault="00D619F4" w14:paraId="2EA787F6" w14:textId="297C8706">
      <w:pPr>
        <w:rPr>
          <w:u w:val="single"/>
        </w:rPr>
      </w:pPr>
      <w:r w:rsidRPr="006A17D2">
        <w:rPr>
          <w:u w:val="single"/>
        </w:rPr>
        <w:lastRenderedPageBreak/>
        <w:t>Inflatie en zijn componenten eurogebied november 2011-november 2021</w:t>
      </w:r>
    </w:p>
    <w:p w:rsidR="00FD3DDC" w:rsidP="00FD3DDC" w:rsidRDefault="00FD3DDC" w14:paraId="437D5822" w14:textId="76A3305D">
      <w:r w:rsidRPr="00FD3DDC">
        <w:rPr>
          <w:noProof/>
        </w:rPr>
        <w:drawing>
          <wp:inline distT="0" distB="0" distL="0" distR="0" wp14:anchorId="6D83533F" wp14:editId="054B5FFA">
            <wp:extent cx="5320702" cy="191960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3244" cy="1920522"/>
                    </a:xfrm>
                    <a:prstGeom prst="rect">
                      <a:avLst/>
                    </a:prstGeom>
                  </pic:spPr>
                </pic:pic>
              </a:graphicData>
            </a:graphic>
          </wp:inline>
        </w:drawing>
      </w:r>
    </w:p>
    <w:p w:rsidR="00FD3DDC" w:rsidP="00FD3DDC" w:rsidRDefault="0079102E" w14:paraId="004FD6C1" w14:textId="67DD9FF1">
      <w:pPr>
        <w:rPr>
          <w:rStyle w:val="Hyperlink"/>
        </w:rPr>
      </w:pPr>
      <w:r>
        <w:t xml:space="preserve">Bron: </w:t>
      </w:r>
      <w:hyperlink w:history="1" r:id="rId13">
        <w:r w:rsidRPr="0079102E" w:rsidR="000F2E57">
          <w:rPr>
            <w:rStyle w:val="Hyperlink"/>
          </w:rPr>
          <w:t>Eurostat</w:t>
        </w:r>
      </w:hyperlink>
    </w:p>
    <w:p w:rsidR="00A2157D" w:rsidP="00A2157D" w:rsidRDefault="00A2157D" w14:paraId="3F8B0196" w14:textId="5AF7554E">
      <w:r>
        <w:t xml:space="preserve">Naast energie zijn wereldwijd ook de prijzen voor bijvoorbeeld transport, grondstoffen en producten als </w:t>
      </w:r>
      <w:r w:rsidR="00504343">
        <w:t>computer</w:t>
      </w:r>
      <w:r>
        <w:t xml:space="preserve">chips sterk gestegen als gevolg van de verstoring in het aanbod door de coronacrisis. Deze spelen in de Nederlandse prijsontwikkeling echter </w:t>
      </w:r>
      <w:r w:rsidR="00411265">
        <w:t xml:space="preserve">(nog) </w:t>
      </w:r>
      <w:r>
        <w:t xml:space="preserve">geen voorname rol. </w:t>
      </w:r>
      <w:r w:rsidR="00EE575D">
        <w:t>H</w:t>
      </w:r>
      <w:r>
        <w:t xml:space="preserve">et aandeel van de voedingsprijzen </w:t>
      </w:r>
      <w:r w:rsidR="00EE575D">
        <w:t xml:space="preserve">neemt </w:t>
      </w:r>
      <w:r>
        <w:t xml:space="preserve">in december </w:t>
      </w:r>
      <w:r w:rsidR="00EE575D">
        <w:t xml:space="preserve">weliswaar </w:t>
      </w:r>
      <w:r>
        <w:t>iets toe, maar is nog altijd beperkt</w:t>
      </w:r>
      <w:r w:rsidR="00EE575D">
        <w:t>. B</w:t>
      </w:r>
      <w:r>
        <w:t xml:space="preserve">eperkter </w:t>
      </w:r>
      <w:r w:rsidR="00EE575D">
        <w:t xml:space="preserve">ook dan </w:t>
      </w:r>
      <w:r>
        <w:t xml:space="preserve">bijvoorbeeld </w:t>
      </w:r>
      <w:r w:rsidR="00EE575D">
        <w:t xml:space="preserve">wat </w:t>
      </w:r>
      <w:r>
        <w:t>het was tussen 2019 en 2021.</w:t>
      </w:r>
    </w:p>
    <w:p w:rsidR="00761434" w:rsidP="00FD3DDC" w:rsidRDefault="00761434" w14:paraId="228FD5F8" w14:textId="356BA4F4">
      <w:r>
        <w:rPr>
          <w:noProof/>
        </w:rPr>
        <w:drawing>
          <wp:inline distT="0" distB="0" distL="0" distR="0" wp14:anchorId="7ED60D4D" wp14:editId="06F91AF5">
            <wp:extent cx="4344362" cy="2838298"/>
            <wp:effectExtent l="0" t="0" r="0" b="635"/>
            <wp:docPr id="2" name="Afbeelding 2"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662" cy="2850254"/>
                    </a:xfrm>
                    <a:prstGeom prst="rect">
                      <a:avLst/>
                    </a:prstGeom>
                    <a:noFill/>
                    <a:ln>
                      <a:noFill/>
                    </a:ln>
                  </pic:spPr>
                </pic:pic>
              </a:graphicData>
            </a:graphic>
          </wp:inline>
        </w:drawing>
      </w:r>
    </w:p>
    <w:p w:rsidRPr="000B4EF4" w:rsidR="00761434" w:rsidP="00FD3DDC" w:rsidRDefault="00761434" w14:paraId="05ED51CD" w14:textId="0D7C9662">
      <w:pPr>
        <w:rPr>
          <w:lang w:val="en-US"/>
        </w:rPr>
      </w:pPr>
      <w:r w:rsidRPr="000B4EF4">
        <w:rPr>
          <w:lang w:val="en-US"/>
        </w:rPr>
        <w:t xml:space="preserve">Bron: </w:t>
      </w:r>
      <w:r w:rsidRPr="000B4EF4" w:rsidR="000B4EF4">
        <w:rPr>
          <w:lang w:val="en-US"/>
        </w:rPr>
        <w:t xml:space="preserve">CBS data, bewerking </w:t>
      </w:r>
      <w:r w:rsidRPr="000B4EF4">
        <w:rPr>
          <w:lang w:val="en-US"/>
        </w:rPr>
        <w:t xml:space="preserve">Wim </w:t>
      </w:r>
      <w:r w:rsidRPr="000B4EF4" w:rsidR="000B4EF4">
        <w:rPr>
          <w:lang w:val="en-US"/>
        </w:rPr>
        <w:t>Suyker</w:t>
      </w:r>
    </w:p>
    <w:p w:rsidR="000F69FF" w:rsidP="008C671C" w:rsidRDefault="00912AE8" w14:paraId="69B648AB" w14:textId="487C24FB">
      <w:r>
        <w:t xml:space="preserve">Belangrijk is dat </w:t>
      </w:r>
      <w:r w:rsidR="001B2D96">
        <w:t xml:space="preserve">zowel de energieprijzen als de aanbodproblemen </w:t>
      </w:r>
      <w:r w:rsidRPr="00D22389" w:rsidR="00F56791">
        <w:t xml:space="preserve">verklaarbaar </w:t>
      </w:r>
      <w:r w:rsidR="00786F66">
        <w:t xml:space="preserve">zijn </w:t>
      </w:r>
      <w:r w:rsidRPr="00D22389" w:rsidR="00F56791">
        <w:t xml:space="preserve">door </w:t>
      </w:r>
      <w:r w:rsidR="000E0438">
        <w:t xml:space="preserve">merendeels </w:t>
      </w:r>
      <w:r w:rsidRPr="00D22389" w:rsidR="00F56791">
        <w:t>tijdelijke factoren</w:t>
      </w:r>
      <w:r w:rsidR="00A81C6C">
        <w:t>.</w:t>
      </w:r>
      <w:r w:rsidR="00662DB2">
        <w:rPr>
          <w:rStyle w:val="Voetnootmarkering"/>
        </w:rPr>
        <w:footnoteReference w:id="6"/>
      </w:r>
      <w:r w:rsidR="00A81C6C">
        <w:t xml:space="preserve"> </w:t>
      </w:r>
      <w:r w:rsidR="001E1C22">
        <w:t xml:space="preserve">De </w:t>
      </w:r>
      <w:r w:rsidR="00587A62">
        <w:t>v</w:t>
      </w:r>
      <w:r w:rsidRPr="00D22389" w:rsidR="008C671C">
        <w:t>erwachting</w:t>
      </w:r>
      <w:r w:rsidRPr="00D22389" w:rsidR="000321A7">
        <w:t xml:space="preserve"> </w:t>
      </w:r>
      <w:r w:rsidR="00587A62">
        <w:t xml:space="preserve">van de </w:t>
      </w:r>
      <w:r w:rsidR="001873BF">
        <w:t>ECB</w:t>
      </w:r>
      <w:r w:rsidR="00587A62">
        <w:t xml:space="preserve"> is dan ook dat d</w:t>
      </w:r>
      <w:r w:rsidRPr="001873BF" w:rsidR="001873BF">
        <w:t xml:space="preserve">e inflatie tegen het einde van 2022 </w:t>
      </w:r>
      <w:r w:rsidR="00587A62">
        <w:t xml:space="preserve">weer zal zijn gedaald tot </w:t>
      </w:r>
      <w:r w:rsidRPr="001873BF" w:rsidR="001873BF">
        <w:t xml:space="preserve">iets onder de 2% en </w:t>
      </w:r>
      <w:r w:rsidR="001E20A1">
        <w:t xml:space="preserve">daar </w:t>
      </w:r>
      <w:r w:rsidRPr="001873BF" w:rsidR="001873BF">
        <w:t xml:space="preserve">in 2023 en 2024 </w:t>
      </w:r>
      <w:r w:rsidR="001E20A1">
        <w:t>zal blijven.</w:t>
      </w:r>
      <w:r w:rsidR="0019623B">
        <w:rPr>
          <w:rStyle w:val="Voetnootmarkering"/>
        </w:rPr>
        <w:footnoteReference w:id="7"/>
      </w:r>
      <w:r w:rsidR="00457781">
        <w:t xml:space="preserve"> </w:t>
      </w:r>
      <w:r w:rsidR="000A6B79">
        <w:t xml:space="preserve">Een verwachting die ook door de markt wordt </w:t>
      </w:r>
      <w:r w:rsidR="00381031">
        <w:t xml:space="preserve">gedeeld </w:t>
      </w:r>
      <w:r w:rsidR="001210DE">
        <w:t>getuige de prijzen van verschillende financiële producten.</w:t>
      </w:r>
      <w:r w:rsidR="008B7F6B">
        <w:rPr>
          <w:rStyle w:val="Voetnootmarkering"/>
        </w:rPr>
        <w:footnoteReference w:id="8"/>
      </w:r>
      <w:r w:rsidR="001210DE">
        <w:t xml:space="preserve"> </w:t>
      </w:r>
      <w:r w:rsidR="007D210C">
        <w:t xml:space="preserve">Inflatieverwachtingen die overigens de </w:t>
      </w:r>
      <w:r w:rsidR="008F0E2B">
        <w:t>afgelopen jar</w:t>
      </w:r>
      <w:r w:rsidR="008B03E9">
        <w:t xml:space="preserve">en </w:t>
      </w:r>
      <w:r w:rsidR="00EB0D4E">
        <w:t>er vaak naast zaten doordat deze te hoog</w:t>
      </w:r>
      <w:r w:rsidR="00BB2960">
        <w:t xml:space="preserve"> bleken</w:t>
      </w:r>
      <w:r w:rsidR="00EB0D4E">
        <w:t xml:space="preserve">. </w:t>
      </w:r>
    </w:p>
    <w:p w:rsidR="009826A8" w:rsidP="008C671C" w:rsidRDefault="00A17C61" w14:paraId="22FB82DD" w14:textId="157EAC97">
      <w:r>
        <w:lastRenderedPageBreak/>
        <w:t xml:space="preserve">Waar de hogere inflatie een recent fenomeen is, zagen we de afgelopen jaren </w:t>
      </w:r>
      <w:r w:rsidR="009D1C19">
        <w:t xml:space="preserve">wereldwijd </w:t>
      </w:r>
      <w:r>
        <w:t xml:space="preserve">de prijzen van vermogenstitels wel sterk stijgen. </w:t>
      </w:r>
      <w:r w:rsidR="009D1C19">
        <w:t xml:space="preserve">Zo </w:t>
      </w:r>
      <w:r w:rsidR="00520BE7">
        <w:t>ver</w:t>
      </w:r>
      <w:r w:rsidR="00941C74">
        <w:t xml:space="preserve">viervoudigde </w:t>
      </w:r>
      <w:r w:rsidR="00520BE7">
        <w:t xml:space="preserve">sinds 2009 de waarde van de </w:t>
      </w:r>
      <w:r w:rsidR="00B207BB">
        <w:t xml:space="preserve">aandelen van de </w:t>
      </w:r>
      <w:r w:rsidR="004F37DA">
        <w:t>Amsterdamse beurs (</w:t>
      </w:r>
      <w:r w:rsidR="00941C74">
        <w:t>AEX</w:t>
      </w:r>
      <w:r w:rsidR="004F37DA">
        <w:t>)</w:t>
      </w:r>
      <w:r w:rsidR="00B207BB">
        <w:t xml:space="preserve">. </w:t>
      </w:r>
      <w:r w:rsidR="004F37DA">
        <w:t>D</w:t>
      </w:r>
      <w:r w:rsidR="00467FE6">
        <w:t>e huizenprijzen stegen</w:t>
      </w:r>
      <w:r w:rsidR="004F37DA">
        <w:t xml:space="preserve"> s</w:t>
      </w:r>
      <w:r w:rsidR="00467FE6">
        <w:t xml:space="preserve">inds </w:t>
      </w:r>
      <w:r w:rsidR="00443C92">
        <w:t>2015 met meer dan 75%</w:t>
      </w:r>
      <w:r w:rsidR="00582736">
        <w:t>. Waarbij deze groei nog steeds versneld</w:t>
      </w:r>
      <w:r w:rsidR="008C6D82">
        <w:t xml:space="preserve"> en inmiddels 20% per jaar bedraagt.</w:t>
      </w:r>
      <w:r w:rsidR="008E2E51">
        <w:rPr>
          <w:rStyle w:val="Voetnootmarkering"/>
        </w:rPr>
        <w:footnoteReference w:id="9"/>
      </w:r>
      <w:r w:rsidR="008C6D82">
        <w:t xml:space="preserve"> </w:t>
      </w:r>
    </w:p>
    <w:p w:rsidRPr="000D2BFE" w:rsidR="008C671C" w:rsidP="008C671C" w:rsidRDefault="004D1AD1" w14:paraId="31799D01" w14:textId="25EABD7C">
      <w:pPr>
        <w:rPr>
          <w:b/>
          <w:bCs/>
        </w:rPr>
      </w:pPr>
      <w:r>
        <w:rPr>
          <w:b/>
          <w:bCs/>
        </w:rPr>
        <w:t xml:space="preserve">3. </w:t>
      </w:r>
      <w:r w:rsidRPr="000D2BFE" w:rsidR="008C671C">
        <w:rPr>
          <w:b/>
          <w:bCs/>
        </w:rPr>
        <w:t xml:space="preserve">Verwachtingen </w:t>
      </w:r>
      <w:r w:rsidR="000A230B">
        <w:rPr>
          <w:b/>
          <w:bCs/>
        </w:rPr>
        <w:t xml:space="preserve">over de oorzaken </w:t>
      </w:r>
      <w:r w:rsidR="001E06FB">
        <w:rPr>
          <w:b/>
          <w:bCs/>
        </w:rPr>
        <w:t xml:space="preserve">van </w:t>
      </w:r>
      <w:r w:rsidR="00871FF7">
        <w:rPr>
          <w:b/>
          <w:bCs/>
        </w:rPr>
        <w:t xml:space="preserve">de </w:t>
      </w:r>
      <w:r w:rsidR="00F71E74">
        <w:rPr>
          <w:b/>
          <w:bCs/>
        </w:rPr>
        <w:t>inflatie</w:t>
      </w:r>
      <w:r w:rsidR="00871FF7">
        <w:rPr>
          <w:b/>
          <w:bCs/>
        </w:rPr>
        <w:t xml:space="preserve"> </w:t>
      </w:r>
    </w:p>
    <w:p w:rsidRPr="00D16FC3" w:rsidR="00D16FC3" w:rsidP="00D16FC3" w:rsidRDefault="00D16FC3" w14:paraId="5CE7E2EA" w14:textId="6EF50A67">
      <w:pPr>
        <w:rPr>
          <w:u w:val="single"/>
        </w:rPr>
      </w:pPr>
      <w:r w:rsidRPr="00D16FC3">
        <w:rPr>
          <w:u w:val="single"/>
        </w:rPr>
        <w:t>De coronapandemie</w:t>
      </w:r>
    </w:p>
    <w:p w:rsidR="005A29A6" w:rsidP="00671F17" w:rsidRDefault="004A1242" w14:paraId="592BAA51" w14:textId="37B85AB1">
      <w:r>
        <w:t>D</w:t>
      </w:r>
      <w:r w:rsidR="007C089E">
        <w:t>e ontwikkeling van de pandemie</w:t>
      </w:r>
      <w:r>
        <w:t xml:space="preserve"> blijft onzeker</w:t>
      </w:r>
      <w:r w:rsidR="009B2B0B">
        <w:t xml:space="preserve">. </w:t>
      </w:r>
      <w:r w:rsidR="003C7302">
        <w:t>D</w:t>
      </w:r>
      <w:r w:rsidR="00D90096">
        <w:t xml:space="preserve">e vaccinatiegraad </w:t>
      </w:r>
      <w:r w:rsidR="003C7302">
        <w:t xml:space="preserve">neemt </w:t>
      </w:r>
      <w:r w:rsidR="00D90096">
        <w:t xml:space="preserve">toe alsook de algemene kennis over het virus en hoe daar als samenleving en economie mee om te gaan. </w:t>
      </w:r>
      <w:r w:rsidR="00534AE2">
        <w:t xml:space="preserve">De aanbod problemen zouden daardoor </w:t>
      </w:r>
      <w:r w:rsidR="00ED5265">
        <w:t xml:space="preserve">kunnen </w:t>
      </w:r>
      <w:r w:rsidR="00534AE2">
        <w:t xml:space="preserve">afnemen. </w:t>
      </w:r>
      <w:r w:rsidR="00586C86">
        <w:t xml:space="preserve">Daar staat tegenover dat nieuwe virusvarianten weer tot oplaaiende problemen kunnen leiden. </w:t>
      </w:r>
      <w:r w:rsidR="00091E99">
        <w:t xml:space="preserve">Onzekerheid is er ook over de </w:t>
      </w:r>
      <w:r w:rsidR="00586C86">
        <w:t>beleids</w:t>
      </w:r>
      <w:r w:rsidR="00091E99">
        <w:t>reactie</w:t>
      </w:r>
      <w:r w:rsidR="00227CB6">
        <w:t>, z</w:t>
      </w:r>
      <w:r w:rsidR="00091E99">
        <w:t xml:space="preserve">oals over de </w:t>
      </w:r>
      <w:r w:rsidR="009B2B0B">
        <w:t>steunpakketten</w:t>
      </w:r>
      <w:r w:rsidR="00091E99">
        <w:t>. Als deze worden versoberd kan dat de vraag drukken en daarmee de inflatie.</w:t>
      </w:r>
      <w:r w:rsidR="00671F17">
        <w:t xml:space="preserve"> Onderzoek laat zien </w:t>
      </w:r>
      <w:r w:rsidRPr="005A29A6" w:rsidR="005A29A6">
        <w:t xml:space="preserve">dat </w:t>
      </w:r>
      <w:r w:rsidR="00671F17">
        <w:t xml:space="preserve">op </w:t>
      </w:r>
      <w:r w:rsidRPr="005A29A6" w:rsidR="005A29A6">
        <w:t xml:space="preserve">grote pandemieën doorgaans een daling van de inflatie </w:t>
      </w:r>
      <w:r w:rsidR="007E2922">
        <w:t xml:space="preserve">volgt </w:t>
      </w:r>
      <w:r w:rsidRPr="005A29A6" w:rsidR="005A29A6">
        <w:t xml:space="preserve">die meer dan tien jaar aanhoudt. </w:t>
      </w:r>
      <w:r w:rsidR="00B36541">
        <w:t xml:space="preserve">Dat we dit nu niet zien komt </w:t>
      </w:r>
      <w:r w:rsidR="008708FF">
        <w:t xml:space="preserve">mogelijk </w:t>
      </w:r>
      <w:r w:rsidR="00B36541">
        <w:t xml:space="preserve">door </w:t>
      </w:r>
      <w:r w:rsidRPr="005A29A6" w:rsidR="005A29A6">
        <w:t xml:space="preserve">de </w:t>
      </w:r>
      <w:r w:rsidR="008708FF">
        <w:t xml:space="preserve">actieve begrotingssteun </w:t>
      </w:r>
      <w:r w:rsidRPr="005A29A6" w:rsidR="005A29A6">
        <w:t xml:space="preserve">en </w:t>
      </w:r>
      <w:r w:rsidR="00B36541">
        <w:t xml:space="preserve">het ruime </w:t>
      </w:r>
      <w:r w:rsidRPr="005A29A6" w:rsidR="005A29A6">
        <w:t>monetaire beleid.</w:t>
      </w:r>
      <w:r w:rsidR="00C823E9">
        <w:rPr>
          <w:rStyle w:val="Voetnootmarkering"/>
        </w:rPr>
        <w:footnoteReference w:id="10"/>
      </w:r>
    </w:p>
    <w:p w:rsidRPr="00B4482E" w:rsidR="00B4482E" w:rsidP="00B4482E" w:rsidRDefault="00A9126B" w14:paraId="53E875B3" w14:textId="2F7A1D64">
      <w:pPr>
        <w:rPr>
          <w:u w:val="single"/>
        </w:rPr>
      </w:pPr>
      <w:r>
        <w:rPr>
          <w:u w:val="single"/>
        </w:rPr>
        <w:t xml:space="preserve">Energieprijzen en </w:t>
      </w:r>
      <w:r w:rsidR="00F71DF9">
        <w:rPr>
          <w:u w:val="single"/>
        </w:rPr>
        <w:t>k</w:t>
      </w:r>
      <w:r w:rsidRPr="00B4482E" w:rsidR="00A11B2D">
        <w:rPr>
          <w:u w:val="single"/>
        </w:rPr>
        <w:t>limaatverandering</w:t>
      </w:r>
    </w:p>
    <w:p w:rsidR="00AC0AD7" w:rsidP="00B4482E" w:rsidRDefault="004B585F" w14:paraId="6A6FD1ED" w14:textId="4F497F92">
      <w:r>
        <w:t xml:space="preserve">Doorgaans kijken de monetaire beleidsmakers </w:t>
      </w:r>
      <w:r w:rsidR="009A7611">
        <w:t>door de fluctuaties van de energieprijzen heen naar de kerninflatie</w:t>
      </w:r>
      <w:r w:rsidR="00446131">
        <w:t xml:space="preserve"> </w:t>
      </w:r>
      <w:r w:rsidR="00446131">
        <w:t>(‘</w:t>
      </w:r>
      <w:r w:rsidRPr="00693E23" w:rsidR="00446131">
        <w:rPr>
          <w:i/>
          <w:iCs/>
        </w:rPr>
        <w:t>look through’</w:t>
      </w:r>
      <w:r w:rsidR="00446131">
        <w:t>)</w:t>
      </w:r>
      <w:r w:rsidR="009A7611">
        <w:t>. Dit omdat de</w:t>
      </w:r>
      <w:r w:rsidR="008B5974">
        <w:t xml:space="preserve"> </w:t>
      </w:r>
      <w:r w:rsidR="00514508">
        <w:t xml:space="preserve">oorzaken van de </w:t>
      </w:r>
      <w:r w:rsidR="008B5974">
        <w:t xml:space="preserve">energieprijsfluctuaties </w:t>
      </w:r>
      <w:r w:rsidR="000F731F">
        <w:t xml:space="preserve">veelal </w:t>
      </w:r>
      <w:r w:rsidR="00736DCC">
        <w:t xml:space="preserve">elders </w:t>
      </w:r>
      <w:r w:rsidR="00514508">
        <w:t xml:space="preserve">liggen </w:t>
      </w:r>
      <w:r w:rsidR="000F731F">
        <w:t xml:space="preserve">en een monetaire beleidsreactie </w:t>
      </w:r>
      <w:r w:rsidR="00514508">
        <w:t xml:space="preserve">vertraagd werkt en daardoor </w:t>
      </w:r>
      <w:r w:rsidR="003528B7">
        <w:t xml:space="preserve">te laat effect heeft om hiervoor te corrigeren. </w:t>
      </w:r>
      <w:r w:rsidR="00E110B3">
        <w:t>Voor de komende jaren kan dit mogelijk anders worden omdat klimaatverandering wel een langduriger effect kan hebben op de energieprijzen</w:t>
      </w:r>
      <w:r w:rsidR="008B5974">
        <w:t>.</w:t>
      </w:r>
      <w:r w:rsidR="00AC0AD7">
        <w:rPr>
          <w:rStyle w:val="Voetnootmarkering"/>
        </w:rPr>
        <w:footnoteReference w:id="11"/>
      </w:r>
    </w:p>
    <w:p w:rsidR="00A34EDC" w:rsidP="00B4482E" w:rsidRDefault="004B1165" w14:paraId="5CFB2602" w14:textId="31181BD8">
      <w:r>
        <w:t xml:space="preserve">Klimaatverandering </w:t>
      </w:r>
      <w:r w:rsidR="00A41F1D">
        <w:t xml:space="preserve">beïnvloedt de economie op twee manieren. De opwarming zelf </w:t>
      </w:r>
      <w:r w:rsidR="00DB6A5E">
        <w:t>leidt tot economi</w:t>
      </w:r>
      <w:r w:rsidR="00044EE6">
        <w:t>s</w:t>
      </w:r>
      <w:r w:rsidR="00DB6A5E">
        <w:t>che effecten, zoals de overstromingen die we in de zomer van 2021 zagen</w:t>
      </w:r>
      <w:r w:rsidR="00044EE6">
        <w:t xml:space="preserve">. Daarnaast </w:t>
      </w:r>
      <w:r w:rsidR="00027167">
        <w:t>beïnvloed</w:t>
      </w:r>
      <w:r w:rsidR="00583BDB">
        <w:t xml:space="preserve">t ook de energietransitie </w:t>
      </w:r>
      <w:r w:rsidR="00027167">
        <w:t xml:space="preserve">de economie. </w:t>
      </w:r>
      <w:r w:rsidR="00A34EDC">
        <w:t xml:space="preserve">Waar de schade van klimaatverandering vooral de economie afremt zal de verduurzaming deze per saldo </w:t>
      </w:r>
      <w:r w:rsidR="00E84E5B">
        <w:t xml:space="preserve">stimuleren. Er is immers veel </w:t>
      </w:r>
      <w:r w:rsidR="00F45BA4">
        <w:t xml:space="preserve">extra </w:t>
      </w:r>
      <w:r w:rsidR="006D4085">
        <w:t xml:space="preserve">economische activiteit </w:t>
      </w:r>
      <w:r w:rsidR="004B1DF3">
        <w:t xml:space="preserve">nodig </w:t>
      </w:r>
      <w:r w:rsidR="00E84E5B">
        <w:t>om de economie te verduurzamen.</w:t>
      </w:r>
    </w:p>
    <w:p w:rsidR="001D7665" w:rsidP="004F6701" w:rsidRDefault="00992AD5" w14:paraId="5E231E11" w14:textId="1E962EC6">
      <w:r>
        <w:t xml:space="preserve">Wat de </w:t>
      </w:r>
      <w:r w:rsidR="006D4085">
        <w:t xml:space="preserve">temperatuurstijging </w:t>
      </w:r>
      <w:r>
        <w:t xml:space="preserve">betreft is de verwachting dat </w:t>
      </w:r>
      <w:r w:rsidR="006D4085">
        <w:t xml:space="preserve">deze </w:t>
      </w:r>
      <w:r w:rsidR="009C2A47">
        <w:t>op de korte tot middellange termijn voor de prijzen in Europa geen grote gevolgen zal hebben</w:t>
      </w:r>
      <w:r w:rsidR="00F97C89">
        <w:t xml:space="preserve">. Waarbij wel moet worden aangetekend dat het juist de onverwachte uitschieters zijn die wel degelijk </w:t>
      </w:r>
      <w:r w:rsidR="001F7169">
        <w:t>invloed kunnen hebben, bijvoorbeeld op voedselprijzen als oogsten mislukken.</w:t>
      </w:r>
      <w:r w:rsidR="001F7169">
        <w:rPr>
          <w:rStyle w:val="Voetnootmarkering"/>
        </w:rPr>
        <w:footnoteReference w:id="12"/>
      </w:r>
      <w:r w:rsidR="001F7169">
        <w:t xml:space="preserve"> </w:t>
      </w:r>
    </w:p>
    <w:p w:rsidR="004B0240" w:rsidP="004F6701" w:rsidRDefault="00013D0C" w14:paraId="25EAACEE" w14:textId="507879BC">
      <w:r>
        <w:t xml:space="preserve">Wat de verduurzaming betreft </w:t>
      </w:r>
      <w:r w:rsidR="00DB1424">
        <w:t xml:space="preserve">gaan centrale bankiers ervan uit dat </w:t>
      </w:r>
      <w:r w:rsidR="00117533">
        <w:t xml:space="preserve">deze een opwaarts </w:t>
      </w:r>
      <w:r w:rsidR="00BB494E">
        <w:t>effect zal hebben</w:t>
      </w:r>
      <w:r w:rsidR="00C0398E">
        <w:t xml:space="preserve"> </w:t>
      </w:r>
      <w:r w:rsidR="00BB494E">
        <w:t>op de inflatie</w:t>
      </w:r>
      <w:r w:rsidR="00C41122">
        <w:t xml:space="preserve"> </w:t>
      </w:r>
      <w:r w:rsidR="00BB494E">
        <w:t>vanwege de toenemende kosten voor de uitstoot van CO2.</w:t>
      </w:r>
      <w:r w:rsidR="002F6BD3">
        <w:t xml:space="preserve"> Tot meer dan 1% tussen 2025 en 2035.</w:t>
      </w:r>
      <w:r w:rsidR="002F7CB3">
        <w:rPr>
          <w:rStyle w:val="Voetnootmarkering"/>
        </w:rPr>
        <w:footnoteReference w:id="13"/>
      </w:r>
      <w:r w:rsidR="00BB494E">
        <w:t xml:space="preserve"> </w:t>
      </w:r>
      <w:r w:rsidR="00D7655D">
        <w:t>O</w:t>
      </w:r>
      <w:r w:rsidR="00FC280A">
        <w:t xml:space="preserve">verigens </w:t>
      </w:r>
      <w:r w:rsidR="00D7655D">
        <w:t xml:space="preserve">zijn </w:t>
      </w:r>
      <w:r w:rsidR="00A145C7">
        <w:t xml:space="preserve">de huidige hoge energieprijzen niet het gevolg van </w:t>
      </w:r>
      <w:r w:rsidR="00FC280A">
        <w:t>de CO2-beprijzing via het Europese Emissie Handels Systeem (ETS)</w:t>
      </w:r>
      <w:r w:rsidR="004B0240">
        <w:t>.</w:t>
      </w:r>
      <w:r w:rsidR="00E463EE">
        <w:t xml:space="preserve"> De prijzen van uitstootrechten zijn weliswaar flink gestegen</w:t>
      </w:r>
      <w:r w:rsidR="00BB78B0">
        <w:rPr>
          <w:rStyle w:val="Voetnootmarkering"/>
        </w:rPr>
        <w:footnoteReference w:id="14"/>
      </w:r>
      <w:r w:rsidR="002E2F2D">
        <w:t xml:space="preserve">, maar het effect hiervan voor de elektriciteitsprijzen is aanzienlijk lager dan </w:t>
      </w:r>
      <w:r w:rsidR="00633626">
        <w:t>dat van de gestegen gasprijzen</w:t>
      </w:r>
      <w:r w:rsidR="003A25B8">
        <w:t>,</w:t>
      </w:r>
      <w:r w:rsidR="009E742C">
        <w:t xml:space="preserve"> zoals onderstaande figuur laat zien</w:t>
      </w:r>
      <w:r w:rsidR="00633626">
        <w:t>.</w:t>
      </w:r>
      <w:r w:rsidR="004B0240">
        <w:t xml:space="preserve"> </w:t>
      </w:r>
    </w:p>
    <w:p w:rsidRPr="00EC2189" w:rsidR="007F1701" w:rsidP="00587BDB" w:rsidRDefault="007F1701" w14:paraId="21B1C0DE" w14:textId="4835501A">
      <w:pPr>
        <w:rPr>
          <w:lang w:val="en-US"/>
        </w:rPr>
      </w:pPr>
      <w:r w:rsidRPr="007F1701">
        <w:rPr>
          <w:noProof/>
          <w:lang w:val="en-US"/>
        </w:rPr>
        <w:lastRenderedPageBreak/>
        <w:drawing>
          <wp:inline distT="0" distB="0" distL="0" distR="0" wp14:anchorId="404ECEC3" wp14:editId="18B0004B">
            <wp:extent cx="4543576" cy="3133725"/>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61830" cy="3146315"/>
                    </a:xfrm>
                    <a:prstGeom prst="rect">
                      <a:avLst/>
                    </a:prstGeom>
                  </pic:spPr>
                </pic:pic>
              </a:graphicData>
            </a:graphic>
          </wp:inline>
        </w:drawing>
      </w:r>
    </w:p>
    <w:p w:rsidRPr="00EF3F52" w:rsidR="00774DB4" w:rsidP="004F6701" w:rsidRDefault="00ED393E" w14:paraId="59FB2A21" w14:textId="26728955">
      <w:r w:rsidRPr="00EF3F52">
        <w:t xml:space="preserve">Bron: </w:t>
      </w:r>
      <w:hyperlink w:history="1" r:id="rId16">
        <w:r w:rsidRPr="00EF3F52">
          <w:rPr>
            <w:rStyle w:val="Hyperlink"/>
          </w:rPr>
          <w:t>FT</w:t>
        </w:r>
      </w:hyperlink>
      <w:r w:rsidRPr="00EF3F52">
        <w:t xml:space="preserve"> (20</w:t>
      </w:r>
      <w:r w:rsidRPr="00EF3F52" w:rsidR="00EF3F52">
        <w:t xml:space="preserve">21) </w:t>
      </w:r>
    </w:p>
    <w:p w:rsidR="00EC5FE2" w:rsidP="00EC5FE2" w:rsidRDefault="00760837" w14:paraId="5E8ED88C" w14:textId="63ADE82E">
      <w:r w:rsidRPr="003B1F1F">
        <w:t xml:space="preserve">Een onzekere factor is ook de ontwikkeling van </w:t>
      </w:r>
      <w:r w:rsidRPr="003B1F1F" w:rsidR="00596438">
        <w:t>de prijzen van voor de energietransitie benodigde grondstoffen</w:t>
      </w:r>
      <w:r w:rsidR="007F6C25">
        <w:t xml:space="preserve"> als koper, nikkel, lithium en kobalt</w:t>
      </w:r>
      <w:r w:rsidRPr="003B1F1F" w:rsidR="00596438">
        <w:t xml:space="preserve">. Duidelijk is dat de vraag hiernaar de komende jaren sterk zal toenemen. Onduidelijk is echter of </w:t>
      </w:r>
      <w:r w:rsidRPr="003B1F1F" w:rsidR="003B1F1F">
        <w:t>het aanbod zich hier in voldoende mate aan kan aanpassen.</w:t>
      </w:r>
      <w:r w:rsidR="00340EB8">
        <w:rPr>
          <w:rStyle w:val="Voetnootmarkering"/>
        </w:rPr>
        <w:footnoteReference w:id="15"/>
      </w:r>
      <w:r w:rsidR="003A50E7">
        <w:t xml:space="preserve"> </w:t>
      </w:r>
      <w:r w:rsidR="00D433C2">
        <w:t xml:space="preserve">De afgelopen jaren zagen we overigens juist </w:t>
      </w:r>
      <w:r w:rsidR="00EC5FE2">
        <w:t xml:space="preserve">snelle prijsdalingen van de </w:t>
      </w:r>
      <w:r w:rsidR="00084336">
        <w:t xml:space="preserve">schone energiebronnen vanwege de </w:t>
      </w:r>
      <w:r w:rsidR="00EC5FE2">
        <w:t>schaal</w:t>
      </w:r>
      <w:r w:rsidR="00084336">
        <w:t>vergroting</w:t>
      </w:r>
      <w:r w:rsidR="00EC5FE2">
        <w:t>. Zo zijn de gebruikskosten over de hele levensduur (‘</w:t>
      </w:r>
      <w:r w:rsidRPr="004B612F" w:rsidR="00EC5FE2">
        <w:rPr>
          <w:i/>
          <w:iCs/>
        </w:rPr>
        <w:t>levelised cost of energy</w:t>
      </w:r>
      <w:r w:rsidR="00EC5FE2">
        <w:rPr>
          <w:i/>
          <w:iCs/>
        </w:rPr>
        <w:t>’)</w:t>
      </w:r>
      <w:r w:rsidR="00EC5FE2">
        <w:t xml:space="preserve"> van zon-pv de afgelopen 10 jaar met 90% gedaald en die van wind op land met 70%. Daarmee zijn </w:t>
      </w:r>
      <w:r w:rsidR="008641E3">
        <w:t xml:space="preserve">deze </w:t>
      </w:r>
      <w:r w:rsidR="00EC5FE2">
        <w:t xml:space="preserve">nu </w:t>
      </w:r>
      <w:r w:rsidR="00494B1D">
        <w:t xml:space="preserve">goedkoper dan </w:t>
      </w:r>
      <w:r w:rsidR="00EC5FE2">
        <w:t>fossiele energie.</w:t>
      </w:r>
      <w:r w:rsidR="00B76E80">
        <w:rPr>
          <w:rStyle w:val="Voetnootmarkering"/>
        </w:rPr>
        <w:footnoteReference w:id="16"/>
      </w:r>
      <w:r w:rsidR="00EC5FE2">
        <w:t xml:space="preserve"> </w:t>
      </w:r>
    </w:p>
    <w:p w:rsidR="0001118D" w:rsidP="00651479" w:rsidRDefault="00555A0D" w14:paraId="7C9B97F2" w14:textId="42EDED57">
      <w:r>
        <w:t>D</w:t>
      </w:r>
      <w:r w:rsidR="00350D93">
        <w:t xml:space="preserve">e sterk gestegen gasprijzen leren dat </w:t>
      </w:r>
      <w:r w:rsidR="006F5733">
        <w:t xml:space="preserve">het belangrijk is om een evenwicht te bewaren tussen het ontmantelen van de bestaande fossiele </w:t>
      </w:r>
      <w:r w:rsidR="001A7675">
        <w:t>energie</w:t>
      </w:r>
      <w:r w:rsidR="003B2C7F">
        <w:t xml:space="preserve"> </w:t>
      </w:r>
      <w:r w:rsidR="001A7675">
        <w:t xml:space="preserve">infrastructuur en de opbouw van schone energiebronnen. Maar ook dat het verminderen van de afhankelijkheid van fossiele energiebronnen </w:t>
      </w:r>
      <w:r w:rsidR="006D1B76">
        <w:t xml:space="preserve">profijtelijk is. </w:t>
      </w:r>
      <w:r w:rsidR="00360615">
        <w:t xml:space="preserve">Zo </w:t>
      </w:r>
      <w:r w:rsidR="00B1616F">
        <w:t xml:space="preserve">stijgt de </w:t>
      </w:r>
      <w:r w:rsidR="00B1616F">
        <w:t xml:space="preserve">elektriciteitsrekening </w:t>
      </w:r>
      <w:r w:rsidR="00B1616F">
        <w:t xml:space="preserve">nu het minste in </w:t>
      </w:r>
      <w:r w:rsidR="003069F6">
        <w:t xml:space="preserve">landen die </w:t>
      </w:r>
      <w:r w:rsidR="00811E6D">
        <w:t>hebben geïnvesteerd in isolatie en schone bronnen.</w:t>
      </w:r>
      <w:r w:rsidR="00693E23">
        <w:rPr>
          <w:rStyle w:val="Voetnootmarkering"/>
        </w:rPr>
        <w:footnoteReference w:id="17"/>
      </w:r>
      <w:r w:rsidR="00811E6D">
        <w:t xml:space="preserve"> </w:t>
      </w:r>
      <w:r w:rsidR="007B051E">
        <w:t>D</w:t>
      </w:r>
      <w:r w:rsidR="001A5808">
        <w:t xml:space="preserve">e International Energy Association </w:t>
      </w:r>
      <w:r w:rsidR="007B051E">
        <w:t xml:space="preserve">waarschuwt </w:t>
      </w:r>
      <w:r w:rsidR="00D22556">
        <w:t xml:space="preserve">voor </w:t>
      </w:r>
      <w:r w:rsidR="003033EE">
        <w:t xml:space="preserve">meer marktvolatiliteit als </w:t>
      </w:r>
      <w:r w:rsidR="001A5808">
        <w:t xml:space="preserve">de investeringen in </w:t>
      </w:r>
      <w:r w:rsidR="00B61DB1">
        <w:t xml:space="preserve">de schone energie infrastructuur </w:t>
      </w:r>
      <w:r w:rsidR="007B051E">
        <w:t>niet toenemen</w:t>
      </w:r>
      <w:r w:rsidR="0001118D">
        <w:t>.</w:t>
      </w:r>
      <w:r w:rsidR="00B2008F">
        <w:rPr>
          <w:rStyle w:val="Voetnootmarkering"/>
        </w:rPr>
        <w:footnoteReference w:id="18"/>
      </w:r>
    </w:p>
    <w:p w:rsidRPr="008F78DE" w:rsidR="004B585F" w:rsidP="004B585F" w:rsidRDefault="004B585F" w14:paraId="4F37CA77" w14:textId="3A9A705E">
      <w:pPr>
        <w:rPr>
          <w:u w:val="single"/>
        </w:rPr>
      </w:pPr>
      <w:r w:rsidRPr="008F78DE">
        <w:rPr>
          <w:u w:val="single"/>
        </w:rPr>
        <w:t xml:space="preserve">Blijvende (?) stagnatie </w:t>
      </w:r>
    </w:p>
    <w:p w:rsidR="004B585F" w:rsidP="004B585F" w:rsidRDefault="00A71639" w14:paraId="2A5F0934" w14:textId="16910B9B">
      <w:r>
        <w:t xml:space="preserve">Waar het </w:t>
      </w:r>
      <w:r w:rsidR="004B585F">
        <w:t xml:space="preserve">nu </w:t>
      </w:r>
      <w:r>
        <w:t>gaat over d</w:t>
      </w:r>
      <w:r w:rsidR="004B585F">
        <w:t>e hoge inflatie</w:t>
      </w:r>
      <w:r w:rsidR="00961B65">
        <w:t>,</w:t>
      </w:r>
      <w:r>
        <w:t xml:space="preserve"> was i</w:t>
      </w:r>
      <w:r w:rsidR="004B585F">
        <w:t xml:space="preserve">n de jaren voor de pandemie het probleem juist </w:t>
      </w:r>
      <w:r w:rsidR="004E18AA">
        <w:t xml:space="preserve">te lage </w:t>
      </w:r>
      <w:r w:rsidR="004B585F">
        <w:t>inflatie. Deflatie dreigde, dalende prijzen die de economie kunnen schaden doordat mensen hun aankopen uitstellen. Onder de term ‘</w:t>
      </w:r>
      <w:r w:rsidRPr="00B6544D" w:rsidR="004B585F">
        <w:rPr>
          <w:i/>
          <w:iCs/>
        </w:rPr>
        <w:t>secular stagnation’</w:t>
      </w:r>
      <w:r w:rsidR="004B585F">
        <w:t xml:space="preserve"> (‘blijvende stagnatie’) woedde onder economen een debat over mogelijke verklaringen. Veelgenoemde oorzaken zijn:</w:t>
      </w:r>
    </w:p>
    <w:p w:rsidR="004B585F" w:rsidP="004B585F" w:rsidRDefault="004B585F" w14:paraId="1AF0DECB" w14:textId="77777777">
      <w:pPr>
        <w:pStyle w:val="Lijstalinea"/>
        <w:numPr>
          <w:ilvl w:val="0"/>
          <w:numId w:val="7"/>
        </w:numPr>
      </w:pPr>
      <w:r>
        <w:t>vergrijzing, waardoor er veel wordt gespaard en minder uitgegeven;</w:t>
      </w:r>
    </w:p>
    <w:p w:rsidR="004B585F" w:rsidP="004B585F" w:rsidRDefault="004B585F" w14:paraId="259FCF7D" w14:textId="77777777">
      <w:pPr>
        <w:pStyle w:val="Lijstalinea"/>
        <w:numPr>
          <w:ilvl w:val="0"/>
          <w:numId w:val="7"/>
        </w:numPr>
      </w:pPr>
      <w:r>
        <w:t>gebrek aan nieuwe doorbraaktechnologieën die de productiviteit opstuwen;</w:t>
      </w:r>
    </w:p>
    <w:p w:rsidR="004B585F" w:rsidP="004B585F" w:rsidRDefault="004B585F" w14:paraId="7EE7BBA8" w14:textId="248ADF72">
      <w:pPr>
        <w:pStyle w:val="Lijstalinea"/>
        <w:numPr>
          <w:ilvl w:val="0"/>
          <w:numId w:val="7"/>
        </w:numPr>
      </w:pPr>
      <w:r>
        <w:lastRenderedPageBreak/>
        <w:t>groeiende vermogensongelijkheid, waardoor er meer wordt gespaard</w:t>
      </w:r>
      <w:r w:rsidR="0065724A">
        <w:t>;</w:t>
      </w:r>
      <w:r>
        <w:rPr>
          <w:rStyle w:val="Voetnootmarkering"/>
        </w:rPr>
        <w:footnoteReference w:id="19"/>
      </w:r>
      <w:r>
        <w:t xml:space="preserve"> </w:t>
      </w:r>
    </w:p>
    <w:p w:rsidR="004B585F" w:rsidP="004B585F" w:rsidRDefault="004B585F" w14:paraId="1B1726A7" w14:textId="01C144B3">
      <w:pPr>
        <w:pStyle w:val="Lijstalinea"/>
        <w:numPr>
          <w:ilvl w:val="0"/>
          <w:numId w:val="7"/>
        </w:numPr>
      </w:pPr>
      <w:r>
        <w:t xml:space="preserve">de globalisering, </w:t>
      </w:r>
      <w:r w:rsidR="0065724A">
        <w:t xml:space="preserve">die </w:t>
      </w:r>
      <w:r>
        <w:t>mondiaal de groei aanjaag</w:t>
      </w:r>
      <w:r w:rsidR="0065724A">
        <w:t>t</w:t>
      </w:r>
      <w:r>
        <w:t>, maar de lonen in rijkere landen drukt;</w:t>
      </w:r>
    </w:p>
    <w:p w:rsidR="004B585F" w:rsidP="004B585F" w:rsidRDefault="004B585F" w14:paraId="623289A4" w14:textId="1D1B6411">
      <w:pPr>
        <w:pStyle w:val="Lijstalinea"/>
        <w:numPr>
          <w:ilvl w:val="0"/>
          <w:numId w:val="7"/>
        </w:numPr>
      </w:pPr>
      <w:r>
        <w:t xml:space="preserve">afnemende concurrentie waardoor </w:t>
      </w:r>
      <w:r w:rsidR="00350144">
        <w:t xml:space="preserve">vooral de </w:t>
      </w:r>
      <w:r>
        <w:t>bedrij</w:t>
      </w:r>
      <w:r w:rsidR="00350144">
        <w:t>fswinsten stijgen</w:t>
      </w:r>
      <w:r>
        <w:t>.</w:t>
      </w:r>
      <w:r>
        <w:rPr>
          <w:rStyle w:val="Voetnootmarkering"/>
        </w:rPr>
        <w:footnoteReference w:id="20"/>
      </w:r>
    </w:p>
    <w:p w:rsidR="004B585F" w:rsidP="004B585F" w:rsidRDefault="004B585F" w14:paraId="47D74287" w14:textId="6E13865B">
      <w:r>
        <w:t xml:space="preserve">Deze factoren zijn langdurig. Maar er wordt ook betoogd dat een aantal hiervan </w:t>
      </w:r>
      <w:r w:rsidR="00650293">
        <w:t xml:space="preserve">nu </w:t>
      </w:r>
      <w:r>
        <w:t xml:space="preserve">omkeren. Zo zou de globalisering haar hoogtepunt bereikt hebben nu China vrijwel helemaal geïntegreerd is in de wereldeconomie. Daarnaast gaat de naoorlogse babyboomgeneratie met pensioen waardoor </w:t>
      </w:r>
      <w:r w:rsidR="0043638B">
        <w:t xml:space="preserve">er steeds minder </w:t>
      </w:r>
      <w:r>
        <w:t xml:space="preserve">werkenden </w:t>
      </w:r>
      <w:r w:rsidR="0043638B">
        <w:t>zijn tegenover de</w:t>
      </w:r>
      <w:r>
        <w:t xml:space="preserve"> gepensioneerden. </w:t>
      </w:r>
      <w:r w:rsidR="007C06A3">
        <w:t xml:space="preserve">Dit vergroot </w:t>
      </w:r>
      <w:r>
        <w:t xml:space="preserve">de macht van de factor arbeid en </w:t>
      </w:r>
      <w:r w:rsidR="007C06A3">
        <w:t xml:space="preserve">kan </w:t>
      </w:r>
      <w:r>
        <w:t>daarmee tot hogere lonen leiden.</w:t>
      </w:r>
      <w:r>
        <w:rPr>
          <w:rStyle w:val="Voetnootmarkering"/>
        </w:rPr>
        <w:footnoteReference w:id="21"/>
      </w:r>
      <w:r>
        <w:t xml:space="preserve"> Daar kan tegenin gebracht worden dat de organisatiegraad van de factor arbeid sterk verminderd is</w:t>
      </w:r>
      <w:r w:rsidR="007E303E">
        <w:t xml:space="preserve"> </w:t>
      </w:r>
      <w:r>
        <w:t xml:space="preserve">en dat er nog grote delen van de wereld zijn, als Afrika en India, die nog niet volledig geïntegreerd zijn in de wereldeconomie. </w:t>
      </w:r>
    </w:p>
    <w:p w:rsidRPr="00130475" w:rsidR="002544AE" w:rsidP="00166580" w:rsidRDefault="00003043" w14:paraId="37A05594" w14:textId="7C230F98">
      <w:pPr>
        <w:rPr>
          <w:u w:val="single"/>
        </w:rPr>
      </w:pPr>
      <w:r w:rsidRPr="00130475">
        <w:rPr>
          <w:u w:val="single"/>
        </w:rPr>
        <w:t xml:space="preserve">Monetair beleid en </w:t>
      </w:r>
      <w:r w:rsidRPr="00130475" w:rsidR="003C2E64">
        <w:rPr>
          <w:u w:val="single"/>
        </w:rPr>
        <w:t>onevenwichtigheden in de eurozone</w:t>
      </w:r>
    </w:p>
    <w:p w:rsidR="00506AF4" w:rsidP="00873D35" w:rsidRDefault="002C2C78" w14:paraId="21F2C742" w14:textId="1B1E7654">
      <w:r>
        <w:t xml:space="preserve">Net als centrale banken elders voert de ECB </w:t>
      </w:r>
      <w:r w:rsidR="005C009F">
        <w:t>s</w:t>
      </w:r>
      <w:r w:rsidR="001200A0">
        <w:t xml:space="preserve">inds </w:t>
      </w:r>
      <w:r w:rsidR="002D3B60">
        <w:t xml:space="preserve">de </w:t>
      </w:r>
      <w:r w:rsidR="00A03AFD">
        <w:t xml:space="preserve">financiële </w:t>
      </w:r>
      <w:r w:rsidR="002D3B60">
        <w:t xml:space="preserve">crisis van 2008 een ruim monetair beleid. Nadat de rente naar nul was gebracht </w:t>
      </w:r>
      <w:r w:rsidR="00912FD1">
        <w:t>is</w:t>
      </w:r>
      <w:r w:rsidR="002D3B60">
        <w:t xml:space="preserve"> daar sinds 2014 ook </w:t>
      </w:r>
      <w:r w:rsidR="009268F5">
        <w:t xml:space="preserve">het grootschalig opkopen van schulden bijgekomen. </w:t>
      </w:r>
      <w:r w:rsidR="005A3998">
        <w:t>Een beleid dat</w:t>
      </w:r>
      <w:r w:rsidR="004E3F5F">
        <w:t>,</w:t>
      </w:r>
      <w:r w:rsidR="005A3998">
        <w:t xml:space="preserve"> na een vertraging </w:t>
      </w:r>
      <w:r w:rsidR="00520148">
        <w:t xml:space="preserve">vanaf </w:t>
      </w:r>
      <w:r w:rsidR="005A3998">
        <w:t>2017</w:t>
      </w:r>
      <w:r w:rsidR="004E3F5F">
        <w:t>,</w:t>
      </w:r>
      <w:r w:rsidR="005A3998">
        <w:t xml:space="preserve"> </w:t>
      </w:r>
      <w:r w:rsidR="00010D01">
        <w:t xml:space="preserve">in de pandemie </w:t>
      </w:r>
      <w:r w:rsidR="00C22C43">
        <w:t xml:space="preserve">weer </w:t>
      </w:r>
      <w:r w:rsidR="00010D01">
        <w:t xml:space="preserve">is opgevoerd. </w:t>
      </w:r>
    </w:p>
    <w:p w:rsidR="00506AF4" w:rsidP="00873D35" w:rsidRDefault="00F52365" w14:paraId="2EAA3B3F" w14:textId="6FA4B33C">
      <w:r>
        <w:t xml:space="preserve">Omdat </w:t>
      </w:r>
      <w:r w:rsidR="003934D8">
        <w:t>het ruime monetaire beleid al jaren gaande</w:t>
      </w:r>
      <w:r>
        <w:t xml:space="preserve"> is lijkt de huidige inflatie hier geen direct gevolg van</w:t>
      </w:r>
      <w:r w:rsidR="001C72F2">
        <w:t xml:space="preserve">. </w:t>
      </w:r>
      <w:r w:rsidR="00D0597E">
        <w:t>D</w:t>
      </w:r>
      <w:r w:rsidR="001C72F2">
        <w:t>e inflatie bleef</w:t>
      </w:r>
      <w:r w:rsidR="00D0597E">
        <w:t xml:space="preserve"> juist te laag</w:t>
      </w:r>
      <w:r w:rsidR="00DA298E">
        <w:t>, met name in Zuid-Europa</w:t>
      </w:r>
      <w:r w:rsidR="001C72F2">
        <w:t>.</w:t>
      </w:r>
      <w:r w:rsidR="00F16CFD">
        <w:rPr>
          <w:rStyle w:val="Voetnootmarkering"/>
        </w:rPr>
        <w:footnoteReference w:id="22"/>
      </w:r>
      <w:r w:rsidR="009969BE">
        <w:t xml:space="preserve"> </w:t>
      </w:r>
      <w:r w:rsidR="001C72F2">
        <w:t>Tegelijkertijd is de geldhoeveelheid wel sterk gestegen</w:t>
      </w:r>
      <w:r w:rsidR="00D84DAA">
        <w:t xml:space="preserve"> </w:t>
      </w:r>
      <w:r w:rsidR="008D441A">
        <w:t xml:space="preserve">net als </w:t>
      </w:r>
      <w:r w:rsidR="00D84DAA">
        <w:t>de prijzen van aandelen en vastgoed</w:t>
      </w:r>
      <w:r w:rsidR="008D441A">
        <w:t xml:space="preserve"> en </w:t>
      </w:r>
      <w:r w:rsidR="00D84DAA">
        <w:t xml:space="preserve">de private besparingen. </w:t>
      </w:r>
      <w:r w:rsidR="00357EB4">
        <w:t>Daarbij is de loonontwikkeling</w:t>
      </w:r>
      <w:r w:rsidR="000724EF">
        <w:t>, die lange tijd is achtergebleven bij de economische groei,</w:t>
      </w:r>
      <w:r w:rsidR="00357EB4">
        <w:t xml:space="preserve"> nog altijd besch</w:t>
      </w:r>
      <w:r w:rsidR="00E34E45">
        <w:t xml:space="preserve">eiden. </w:t>
      </w:r>
      <w:r w:rsidR="00207A25">
        <w:t xml:space="preserve">De </w:t>
      </w:r>
      <w:r w:rsidR="004D5855">
        <w:t xml:space="preserve">combinatie van de </w:t>
      </w:r>
      <w:r w:rsidR="00207A25">
        <w:t xml:space="preserve">huidige krappe arbeidsmarkt </w:t>
      </w:r>
      <w:r w:rsidR="004D5855">
        <w:t xml:space="preserve">en </w:t>
      </w:r>
      <w:r w:rsidR="00207A25">
        <w:t xml:space="preserve">de </w:t>
      </w:r>
      <w:r w:rsidR="004D5855">
        <w:t xml:space="preserve">(voorgenomen) stimulering van de economie kan daar </w:t>
      </w:r>
      <w:r w:rsidR="00744ABD">
        <w:t>verandering in brengen.</w:t>
      </w:r>
    </w:p>
    <w:p w:rsidRPr="008B742B" w:rsidR="005D5EE0" w:rsidP="00D86EE4" w:rsidRDefault="00744ABD" w14:paraId="405DB83A" w14:textId="3C997138">
      <w:r>
        <w:t xml:space="preserve">Mocht de inflatie toenemen dan </w:t>
      </w:r>
      <w:r w:rsidR="00D14012">
        <w:t xml:space="preserve">is het voor </w:t>
      </w:r>
      <w:r w:rsidR="009B345C">
        <w:t xml:space="preserve">de ECB wel </w:t>
      </w:r>
      <w:r w:rsidR="00D14012">
        <w:t xml:space="preserve">lastig het monetaire beleid te verkrappen. Dat </w:t>
      </w:r>
      <w:r w:rsidR="00E87C0B">
        <w:t>komt doordat</w:t>
      </w:r>
      <w:r w:rsidR="00D14012">
        <w:t xml:space="preserve"> </w:t>
      </w:r>
      <w:r w:rsidR="004A7EB2">
        <w:t>de ECB monetair beleid voer</w:t>
      </w:r>
      <w:r w:rsidR="007F08EE">
        <w:t>t</w:t>
      </w:r>
      <w:r w:rsidR="004A7EB2">
        <w:t xml:space="preserve"> voor zeer verschillende landen</w:t>
      </w:r>
      <w:r w:rsidR="00F82988">
        <w:t xml:space="preserve"> </w:t>
      </w:r>
      <w:r w:rsidR="0015135C">
        <w:t>die g</w:t>
      </w:r>
      <w:r w:rsidR="00F82988">
        <w:t xml:space="preserve">een </w:t>
      </w:r>
      <w:r w:rsidR="00B4373B">
        <w:t>substantiële</w:t>
      </w:r>
      <w:r w:rsidR="00F82988">
        <w:t xml:space="preserve"> gemeenschappelijke begroting</w:t>
      </w:r>
      <w:r w:rsidR="0015135C">
        <w:t xml:space="preserve"> hebben</w:t>
      </w:r>
      <w:r w:rsidR="004A7EB2">
        <w:t xml:space="preserve">. Daarom </w:t>
      </w:r>
      <w:r w:rsidR="00D331B6">
        <w:t xml:space="preserve">benadrukt het EMU-verdrag ook het belang van convergentie van de </w:t>
      </w:r>
      <w:r w:rsidR="00E87C0B">
        <w:t xml:space="preserve">euro </w:t>
      </w:r>
      <w:r w:rsidR="00D331B6">
        <w:t xml:space="preserve">economieën. Zeker sinds de </w:t>
      </w:r>
      <w:r w:rsidR="00B601B1">
        <w:t xml:space="preserve">eurocrisis, </w:t>
      </w:r>
      <w:r w:rsidR="00C20765">
        <w:t>toen</w:t>
      </w:r>
      <w:r w:rsidR="00B601B1">
        <w:t xml:space="preserve"> de investeringen in het Zuiden veel harder daalden dan in het Noorden, is </w:t>
      </w:r>
      <w:r w:rsidR="00882D95">
        <w:t xml:space="preserve">juist </w:t>
      </w:r>
      <w:r w:rsidR="00B601B1">
        <w:t xml:space="preserve">sprake van </w:t>
      </w:r>
      <w:r w:rsidR="007820A7">
        <w:t xml:space="preserve">een </w:t>
      </w:r>
      <w:r w:rsidR="00B601B1">
        <w:t>diverge</w:t>
      </w:r>
      <w:r w:rsidR="007820A7">
        <w:t>rende economische ontwikkeling.</w:t>
      </w:r>
      <w:r w:rsidR="00D331B6">
        <w:t xml:space="preserve"> </w:t>
      </w:r>
      <w:r w:rsidR="00C13CAA">
        <w:t xml:space="preserve">De hoge schuldenlast in de eurozone </w:t>
      </w:r>
      <w:r w:rsidR="005B7955">
        <w:t xml:space="preserve">verhoogt ook </w:t>
      </w:r>
      <w:r w:rsidR="00C13CAA">
        <w:t>de economische kosten van een krapper monetair beleid</w:t>
      </w:r>
      <w:r w:rsidR="005B7955">
        <w:t>. G</w:t>
      </w:r>
      <w:r w:rsidR="007E7EE1">
        <w:t>egeven de huidige divergentie k</w:t>
      </w:r>
      <w:r w:rsidR="003C2DA5">
        <w:t xml:space="preserve">an dat </w:t>
      </w:r>
      <w:r w:rsidR="007E7EE1">
        <w:t>leiden tot een nieuwe eurocrisis</w:t>
      </w:r>
      <w:r w:rsidR="0042580C">
        <w:t>.</w:t>
      </w:r>
      <w:r w:rsidR="00FD56AF">
        <w:rPr>
          <w:rStyle w:val="Voetnootmarkering"/>
        </w:rPr>
        <w:footnoteReference w:id="23"/>
      </w:r>
      <w:r w:rsidR="0042580C">
        <w:t xml:space="preserve"> </w:t>
      </w:r>
    </w:p>
    <w:p w:rsidRPr="00130475" w:rsidR="00EA631D" w:rsidP="00EA631D" w:rsidRDefault="00CD4345" w14:paraId="18053395" w14:textId="37C6704D">
      <w:pPr>
        <w:rPr>
          <w:u w:val="single"/>
        </w:rPr>
      </w:pPr>
      <w:r>
        <w:rPr>
          <w:u w:val="single"/>
        </w:rPr>
        <w:t>B</w:t>
      </w:r>
      <w:r w:rsidRPr="00130475" w:rsidR="00130475">
        <w:rPr>
          <w:u w:val="single"/>
        </w:rPr>
        <w:t>egrotingsbeleid</w:t>
      </w:r>
    </w:p>
    <w:p w:rsidR="00A078DE" w:rsidP="001A3914" w:rsidRDefault="003B78BF" w14:paraId="4E002175" w14:textId="329CBAC7">
      <w:r>
        <w:t>Anders dan in de eurocrisis jaren</w:t>
      </w:r>
      <w:r w:rsidR="00DB2C54">
        <w:t>,</w:t>
      </w:r>
      <w:r>
        <w:t xml:space="preserve"> waarin het ruime monetaire beleid startte</w:t>
      </w:r>
      <w:r w:rsidR="00DB2C54">
        <w:t>,</w:t>
      </w:r>
      <w:r>
        <w:t xml:space="preserve"> is nu ook het begrotingsbeleid expansief. Dat is zo in heel Europa, maar </w:t>
      </w:r>
      <w:r w:rsidR="006A592C">
        <w:t xml:space="preserve">in het bijzonder in Nederland. </w:t>
      </w:r>
      <w:r w:rsidR="001A3914">
        <w:t xml:space="preserve">De vraag is in hoeverre er in Nederland voldoende mensen zijn om al deze wensen rond de energietransitie, de bouw, het onderwijs en de zorg uit te voeren. Hier kan een opdrijvend effect op de lonen van uitgaan en daarmee op de prijzen. </w:t>
      </w:r>
      <w:r w:rsidR="00A078DE">
        <w:t xml:space="preserve">Overigens gaat om die reden het CPB er ook vanuit dat niet al het </w:t>
      </w:r>
      <w:r w:rsidR="00A078DE">
        <w:lastRenderedPageBreak/>
        <w:t>ger</w:t>
      </w:r>
      <w:r w:rsidR="0011405C">
        <w:t>e</w:t>
      </w:r>
      <w:r w:rsidR="00A078DE">
        <w:t>serveerde geld zal worden uitgegeven</w:t>
      </w:r>
      <w:r w:rsidR="0011405C">
        <w:t xml:space="preserve">. </w:t>
      </w:r>
      <w:r w:rsidR="003A4FEB">
        <w:t>Het CPB gaat ervanuit dat door het nieuwe pakket de lonen met 0,4% zullen stijgen en de prijzen met 0,2%.</w:t>
      </w:r>
      <w:r w:rsidR="00E4045E">
        <w:rPr>
          <w:rStyle w:val="Voetnootmarkering"/>
        </w:rPr>
        <w:footnoteReference w:id="24"/>
      </w:r>
      <w:r w:rsidR="003A4FEB">
        <w:t xml:space="preserve"> </w:t>
      </w:r>
      <w:r w:rsidR="004C079B">
        <w:t>Vanwege de krapte in specifieke sectoren kunnen de prijzen daar aanzienlijk sneller stijgen.</w:t>
      </w:r>
      <w:r w:rsidR="008B6C8F">
        <w:t xml:space="preserve"> Overigens kan </w:t>
      </w:r>
      <w:r w:rsidR="000C7B8E">
        <w:t xml:space="preserve">de arbeidskrapte </w:t>
      </w:r>
      <w:r w:rsidR="008B6C8F">
        <w:t xml:space="preserve">in deze sectoren </w:t>
      </w:r>
      <w:r w:rsidR="000C7B8E">
        <w:t>ook leiden tot arbeidsbesparende innovaties.</w:t>
      </w:r>
    </w:p>
    <w:p w:rsidR="00AB6269" w:rsidP="00AB6269" w:rsidRDefault="004D1AD1" w14:paraId="7D6C69F3" w14:textId="05893CD4">
      <w:pPr>
        <w:rPr>
          <w:b/>
          <w:bCs/>
        </w:rPr>
      </w:pPr>
      <w:r>
        <w:rPr>
          <w:b/>
          <w:bCs/>
        </w:rPr>
        <w:t xml:space="preserve">4. </w:t>
      </w:r>
      <w:r w:rsidR="0094718C">
        <w:rPr>
          <w:b/>
          <w:bCs/>
        </w:rPr>
        <w:t xml:space="preserve">Waardering van deze </w:t>
      </w:r>
      <w:r w:rsidR="00CB6356">
        <w:rPr>
          <w:b/>
          <w:bCs/>
        </w:rPr>
        <w:t xml:space="preserve">ontwikkelingen </w:t>
      </w:r>
      <w:r w:rsidR="00AB6269">
        <w:rPr>
          <w:b/>
          <w:bCs/>
        </w:rPr>
        <w:t>en aanbevelingen</w:t>
      </w:r>
    </w:p>
    <w:p w:rsidRPr="00096DC6" w:rsidR="00FB1D77" w:rsidP="00AB6269" w:rsidRDefault="00FB1D77" w14:paraId="420D1173" w14:textId="3EA6DD06">
      <w:pPr>
        <w:rPr>
          <w:i/>
          <w:iCs/>
        </w:rPr>
      </w:pPr>
      <w:r w:rsidRPr="00096DC6">
        <w:rPr>
          <w:i/>
          <w:iCs/>
        </w:rPr>
        <w:t>Conclusie: geen paniek</w:t>
      </w:r>
      <w:r w:rsidRPr="00096DC6" w:rsidR="004A6B16">
        <w:rPr>
          <w:i/>
          <w:iCs/>
        </w:rPr>
        <w:t xml:space="preserve"> …</w:t>
      </w:r>
    </w:p>
    <w:p w:rsidR="0064379F" w:rsidP="00AB6269" w:rsidRDefault="00796AB5" w14:paraId="7C4AE027" w14:textId="481A88F8">
      <w:r>
        <w:t xml:space="preserve">Hoewel niemand de toekomst kan voorspellen en </w:t>
      </w:r>
      <w:r w:rsidR="001131E0">
        <w:t>vele veelal tegen</w:t>
      </w:r>
      <w:r w:rsidR="005C1755">
        <w:t xml:space="preserve"> elkaar inwerkende </w:t>
      </w:r>
      <w:r w:rsidR="001131E0">
        <w:t xml:space="preserve">factoren de inflatie beïnvloeden is er geen </w:t>
      </w:r>
      <w:r w:rsidR="002F7CFF">
        <w:t xml:space="preserve">reden tot paniek en dus </w:t>
      </w:r>
      <w:r w:rsidR="005C1755">
        <w:t xml:space="preserve">ook </w:t>
      </w:r>
      <w:r w:rsidR="00102836">
        <w:t xml:space="preserve">geen reden </w:t>
      </w:r>
      <w:r w:rsidR="002F7CFF">
        <w:t>om scherp bij te sturen</w:t>
      </w:r>
      <w:r w:rsidR="00102836">
        <w:t xml:space="preserve"> via de begroting </w:t>
      </w:r>
      <w:r w:rsidR="001F0CE8">
        <w:t xml:space="preserve">of </w:t>
      </w:r>
      <w:r w:rsidR="00102836">
        <w:t>via het monetair beleid</w:t>
      </w:r>
      <w:r w:rsidR="002F7CFF">
        <w:t xml:space="preserve">. </w:t>
      </w:r>
      <w:r w:rsidR="00F45D45">
        <w:t xml:space="preserve">De </w:t>
      </w:r>
      <w:r w:rsidR="00850E84">
        <w:t xml:space="preserve">meest waarschijnlijke </w:t>
      </w:r>
      <w:r w:rsidR="00F45D45">
        <w:t>v</w:t>
      </w:r>
      <w:r w:rsidR="00967265">
        <w:t xml:space="preserve">erwachting is dat de inflatie </w:t>
      </w:r>
      <w:r w:rsidR="006B4D05">
        <w:t xml:space="preserve">bij de huidige verwachte beleidsinzet </w:t>
      </w:r>
      <w:r w:rsidR="00967265">
        <w:t xml:space="preserve">af zal nemen naar het gewenste niveau. </w:t>
      </w:r>
    </w:p>
    <w:p w:rsidRPr="00096DC6" w:rsidR="008D4CFF" w:rsidP="00AB6269" w:rsidRDefault="008D4CFF" w14:paraId="0A7FE11B" w14:textId="73B132CB">
      <w:pPr>
        <w:rPr>
          <w:i/>
          <w:iCs/>
        </w:rPr>
      </w:pPr>
      <w:r w:rsidRPr="00096DC6">
        <w:rPr>
          <w:i/>
          <w:iCs/>
        </w:rPr>
        <w:t xml:space="preserve">…mogelijk zelfs reden tot </w:t>
      </w:r>
      <w:r w:rsidR="006C7979">
        <w:rPr>
          <w:i/>
          <w:iCs/>
        </w:rPr>
        <w:t>tevredenheid …</w:t>
      </w:r>
    </w:p>
    <w:p w:rsidR="00F44163" w:rsidP="00832893" w:rsidRDefault="008D4CFF" w14:paraId="01B38BA8" w14:textId="40061A8D">
      <w:r>
        <w:t xml:space="preserve">De huidige hoge inflatie volgt ook op een langere periode van </w:t>
      </w:r>
      <w:r w:rsidR="00832893">
        <w:t>te lage inflatie</w:t>
      </w:r>
      <w:r w:rsidR="00AC38FF">
        <w:t xml:space="preserve"> en brengt deze gemiddeld over een langere periode (zoals in de VS de inflatiedoelstelling wordt gemeten) juist in de buurt van wat deze moet zijn</w:t>
      </w:r>
      <w:r w:rsidR="00832893">
        <w:t xml:space="preserve">. </w:t>
      </w:r>
      <w:r w:rsidR="006C7979">
        <w:t>I</w:t>
      </w:r>
      <w:r w:rsidR="00832893">
        <w:t xml:space="preserve">nflatie </w:t>
      </w:r>
      <w:r w:rsidR="00F44163">
        <w:t>doet de schuld als percentage van het nationaal inkomen dalen</w:t>
      </w:r>
      <w:r w:rsidR="00E53257">
        <w:t xml:space="preserve"> wat goed is voor de </w:t>
      </w:r>
      <w:r w:rsidR="006E2696">
        <w:t xml:space="preserve">eurolanden met </w:t>
      </w:r>
      <w:r w:rsidR="00E53257">
        <w:t>een hoge schuldenlast</w:t>
      </w:r>
      <w:r w:rsidR="00F44163">
        <w:t>.</w:t>
      </w:r>
      <w:r w:rsidR="00CA4345">
        <w:t xml:space="preserve"> </w:t>
      </w:r>
      <w:r w:rsidR="005D1091">
        <w:t>Sommige e</w:t>
      </w:r>
      <w:r w:rsidR="00CA4345">
        <w:t xml:space="preserve">conomen hebben </w:t>
      </w:r>
      <w:r w:rsidR="002D42D2">
        <w:t xml:space="preserve">vanwege de lage groeiverwachting </w:t>
      </w:r>
      <w:r w:rsidR="00CA4345">
        <w:t>eerder gepleit voor een structureel hoger inflatiedoel</w:t>
      </w:r>
      <w:r w:rsidR="002D42D2">
        <w:t xml:space="preserve"> van 4%</w:t>
      </w:r>
      <w:r w:rsidR="00677844">
        <w:t>.</w:t>
      </w:r>
      <w:r w:rsidR="008F6376">
        <w:rPr>
          <w:rStyle w:val="Voetnootmarkering"/>
        </w:rPr>
        <w:footnoteReference w:id="25"/>
      </w:r>
      <w:r w:rsidR="00CA4345">
        <w:t xml:space="preserve"> </w:t>
      </w:r>
      <w:r w:rsidR="00F83201">
        <w:t xml:space="preserve">Meer recent is </w:t>
      </w:r>
      <w:r w:rsidR="007076FE">
        <w:t xml:space="preserve">er </w:t>
      </w:r>
      <w:r w:rsidR="00F83201">
        <w:t xml:space="preserve">ook </w:t>
      </w:r>
      <w:r w:rsidR="007076FE">
        <w:t xml:space="preserve">op </w:t>
      </w:r>
      <w:r w:rsidR="00F83201">
        <w:t xml:space="preserve">gewezen </w:t>
      </w:r>
      <w:r w:rsidR="007076FE">
        <w:t xml:space="preserve">dat hogere </w:t>
      </w:r>
      <w:r w:rsidR="00F83201">
        <w:t xml:space="preserve">inflatie </w:t>
      </w:r>
      <w:r w:rsidR="007076FE">
        <w:t xml:space="preserve">ook kan helpen om meer risicodragende financiering voor de energietransitie te </w:t>
      </w:r>
      <w:r w:rsidR="0066667E">
        <w:t>mobiliseren</w:t>
      </w:r>
      <w:r w:rsidR="007076FE">
        <w:t>.</w:t>
      </w:r>
      <w:r w:rsidR="00CB2E9B">
        <w:rPr>
          <w:rStyle w:val="Voetnootmarkering"/>
        </w:rPr>
        <w:footnoteReference w:id="26"/>
      </w:r>
      <w:r w:rsidR="00F44163">
        <w:t xml:space="preserve"> </w:t>
      </w:r>
    </w:p>
    <w:p w:rsidRPr="00096DC6" w:rsidR="004A6B16" w:rsidP="00AB6269" w:rsidRDefault="004A6B16" w14:paraId="03124F52" w14:textId="34B78BE7">
      <w:pPr>
        <w:rPr>
          <w:i/>
          <w:iCs/>
        </w:rPr>
      </w:pPr>
      <w:r w:rsidRPr="00096DC6">
        <w:rPr>
          <w:i/>
          <w:iCs/>
        </w:rPr>
        <w:t>… wel aandacht voor specifieke groepen</w:t>
      </w:r>
      <w:r w:rsidR="00D5777E">
        <w:rPr>
          <w:i/>
          <w:iCs/>
        </w:rPr>
        <w:t>…</w:t>
      </w:r>
      <w:r w:rsidRPr="00096DC6" w:rsidR="002444A9">
        <w:rPr>
          <w:i/>
          <w:iCs/>
        </w:rPr>
        <w:t xml:space="preserve"> </w:t>
      </w:r>
    </w:p>
    <w:p w:rsidR="002338BD" w:rsidP="008D4CFF" w:rsidRDefault="0027508E" w14:paraId="671AEAAA" w14:textId="50F423F3">
      <w:r>
        <w:t>Ook voo</w:t>
      </w:r>
      <w:r w:rsidR="002338BD">
        <w:t>r</w:t>
      </w:r>
      <w:r w:rsidR="00D65886">
        <w:t>dat</w:t>
      </w:r>
      <w:r>
        <w:t xml:space="preserve"> de inflatie </w:t>
      </w:r>
      <w:r w:rsidR="00D65886">
        <w:t xml:space="preserve">ging stijgen </w:t>
      </w:r>
      <w:r>
        <w:t>had een grote groep Nederland</w:t>
      </w:r>
      <w:r w:rsidR="002338BD">
        <w:t xml:space="preserve">ers al moeite om financieel rond te komen. </w:t>
      </w:r>
      <w:r w:rsidR="00D65886">
        <w:t xml:space="preserve">Deze </w:t>
      </w:r>
      <w:r w:rsidR="005F3040">
        <w:t xml:space="preserve">groep </w:t>
      </w:r>
      <w:r w:rsidR="00D65886">
        <w:t xml:space="preserve">wordt ook </w:t>
      </w:r>
      <w:r w:rsidR="005F3040">
        <w:t>hard geraakt door stijgende energieprijzen</w:t>
      </w:r>
      <w:r w:rsidR="00485700">
        <w:t xml:space="preserve"> omdat deze een relatief groot deel van hun bestedingen uitmaken</w:t>
      </w:r>
      <w:r w:rsidR="00562B41">
        <w:t xml:space="preserve">. </w:t>
      </w:r>
      <w:r w:rsidR="002824D6">
        <w:t>Bovenop de reeds getroffen generieke en specifieke compensatie blijft a</w:t>
      </w:r>
      <w:r w:rsidR="00562B41">
        <w:t xml:space="preserve">andacht nodig voor deze groep. </w:t>
      </w:r>
      <w:r w:rsidR="00050ECF">
        <w:t>Wat is het precieze effect van de stijgende prijzen voor hen en hoe kan deze groep zo gericht mogelijk geholpen worden</w:t>
      </w:r>
      <w:r w:rsidR="008E006B">
        <w:t>?</w:t>
      </w:r>
      <w:r w:rsidR="00050ECF">
        <w:t xml:space="preserve">  </w:t>
      </w:r>
      <w:r w:rsidR="00562B41">
        <w:t xml:space="preserve"> </w:t>
      </w:r>
      <w:r w:rsidR="005F3040">
        <w:t xml:space="preserve"> </w:t>
      </w:r>
      <w:r w:rsidR="002338BD">
        <w:t xml:space="preserve"> </w:t>
      </w:r>
    </w:p>
    <w:p w:rsidR="00D5777E" w:rsidP="008D4CFF" w:rsidRDefault="00D5777E" w14:paraId="1DF90E40" w14:textId="2ABDFE8C">
      <w:pPr>
        <w:rPr>
          <w:i/>
          <w:iCs/>
        </w:rPr>
      </w:pPr>
      <w:r>
        <w:t xml:space="preserve">… </w:t>
      </w:r>
      <w:r>
        <w:rPr>
          <w:i/>
          <w:iCs/>
        </w:rPr>
        <w:t xml:space="preserve">en bereid je voor </w:t>
      </w:r>
    </w:p>
    <w:p w:rsidRPr="00D5777E" w:rsidR="00D5777E" w:rsidP="008D4CFF" w:rsidRDefault="00D5777E" w14:paraId="51E3F377" w14:textId="37643BBB">
      <w:r>
        <w:t>Hoewel er geen reden voor paniek is, zijn er wel degelijk risico’s</w:t>
      </w:r>
      <w:r w:rsidR="00F07AC5">
        <w:t>. F</w:t>
      </w:r>
      <w:r w:rsidR="00143958">
        <w:t xml:space="preserve">actoren </w:t>
      </w:r>
      <w:r>
        <w:t>d</w:t>
      </w:r>
      <w:r w:rsidR="00C75004">
        <w:t xml:space="preserve">ie </w:t>
      </w:r>
      <w:r w:rsidR="00143958">
        <w:t xml:space="preserve">de </w:t>
      </w:r>
      <w:r>
        <w:t xml:space="preserve">inflatie </w:t>
      </w:r>
      <w:r w:rsidR="00C75004">
        <w:t xml:space="preserve">kunnen </w:t>
      </w:r>
      <w:r w:rsidR="00143958">
        <w:t>aanjagen</w:t>
      </w:r>
      <w:r w:rsidR="00F07AC5">
        <w:t xml:space="preserve">, van nieuwe virusvarianten tot spanningen met Rusland. En factoren die het lastig maken om met monetair beleid adequaat te reageren. </w:t>
      </w:r>
      <w:r w:rsidR="00481F47">
        <w:t>Het is daarom verstandig een aantal ‘</w:t>
      </w:r>
      <w:r w:rsidRPr="00F66F52" w:rsidR="00481F47">
        <w:rPr>
          <w:i/>
          <w:iCs/>
        </w:rPr>
        <w:t>no regret’</w:t>
      </w:r>
      <w:r w:rsidR="00481F47">
        <w:t xml:space="preserve"> maatregelen te nemen en andere te onderzoeken</w:t>
      </w:r>
      <w:r w:rsidR="00B34AA6">
        <w:t xml:space="preserve"> </w:t>
      </w:r>
      <w:r w:rsidR="00FF5AAA">
        <w:t>en uit te werken</w:t>
      </w:r>
      <w:r>
        <w:t>.</w:t>
      </w:r>
      <w:r w:rsidR="00B34AA6">
        <w:t xml:space="preserve"> </w:t>
      </w:r>
    </w:p>
    <w:p w:rsidR="002444A9" w:rsidP="009962CF" w:rsidRDefault="002275CD" w14:paraId="0C283CCD" w14:textId="4A0BDED8">
      <w:pPr>
        <w:rPr>
          <w:u w:val="single"/>
        </w:rPr>
      </w:pPr>
      <w:r>
        <w:rPr>
          <w:u w:val="single"/>
        </w:rPr>
        <w:t>Aanbevelingen</w:t>
      </w:r>
    </w:p>
    <w:p w:rsidR="00680E78" w:rsidP="009962CF" w:rsidRDefault="00680E78" w14:paraId="2283D53F" w14:textId="77777777">
      <w:pPr>
        <w:rPr>
          <w:i/>
          <w:iCs/>
        </w:rPr>
      </w:pPr>
      <w:r>
        <w:rPr>
          <w:i/>
          <w:iCs/>
        </w:rPr>
        <w:t>Vergroot aanbod</w:t>
      </w:r>
    </w:p>
    <w:p w:rsidRPr="00680E78" w:rsidR="00680E78" w:rsidP="009962CF" w:rsidRDefault="00781CAE" w14:paraId="14BF8CC5" w14:textId="353A1AB2">
      <w:r>
        <w:t xml:space="preserve">Uiteindelijk zal de wereld moeten leren leven en werken met </w:t>
      </w:r>
      <w:r w:rsidR="00ED2901">
        <w:t xml:space="preserve">(de kans op) virusuitbraken. Daar zal het aanbod op ingericht moeten worden. Daarnaast </w:t>
      </w:r>
      <w:r w:rsidR="0049007B">
        <w:t xml:space="preserve">is de werkloosheid in Nederland weliswaar laag, maar zijn er ook veel inactieven. </w:t>
      </w:r>
      <w:r w:rsidR="003A64FC">
        <w:t xml:space="preserve">Richt organisaties zo in, en ondersteun dit ook financieel als overheid, zodat ook minder productieve mensen </w:t>
      </w:r>
      <w:r w:rsidR="006D4EA4">
        <w:t>mee kunnen doen. Investeer daarnaast in scholing en mobiliteit zodat de mensen tussen sectoren kunnen bewegen.</w:t>
      </w:r>
      <w:r w:rsidR="001712C9">
        <w:rPr>
          <w:rStyle w:val="Voetnootmarkering"/>
        </w:rPr>
        <w:footnoteReference w:id="27"/>
      </w:r>
      <w:r w:rsidR="006D4EA4">
        <w:t xml:space="preserve"> </w:t>
      </w:r>
      <w:r w:rsidR="008E6166">
        <w:t xml:space="preserve">Laat toekomstige </w:t>
      </w:r>
      <w:r w:rsidR="007337B9">
        <w:t>steunpakketten</w:t>
      </w:r>
      <w:r w:rsidR="008E6166">
        <w:t xml:space="preserve"> </w:t>
      </w:r>
      <w:r w:rsidR="008E6166">
        <w:lastRenderedPageBreak/>
        <w:t>deze dynamiek niet afremmen</w:t>
      </w:r>
      <w:r w:rsidR="00580DC5">
        <w:t>, oftewel: richt deze minder op behoud van het bestaande</w:t>
      </w:r>
      <w:r w:rsidR="002E6F48">
        <w:t xml:space="preserve"> en meer op stimuleren van meer aanbod in de gewenste nieuwe activiteiten</w:t>
      </w:r>
      <w:r w:rsidR="007337B9">
        <w:t>.</w:t>
      </w:r>
      <w:r w:rsidR="00ED2901">
        <w:t xml:space="preserve"> </w:t>
      </w:r>
      <w:r w:rsidR="00636D14">
        <w:t xml:space="preserve">Tot slot zijn loonstijgingen in </w:t>
      </w:r>
      <w:r w:rsidR="00B360BD">
        <w:t xml:space="preserve">specifiek </w:t>
      </w:r>
      <w:r w:rsidR="00636D14">
        <w:t xml:space="preserve">de </w:t>
      </w:r>
      <w:r w:rsidR="00B360BD">
        <w:t>bouw en techniek nodig.</w:t>
      </w:r>
      <w:r w:rsidR="00636D14">
        <w:t xml:space="preserve"> </w:t>
      </w:r>
    </w:p>
    <w:p w:rsidRPr="00AC5407" w:rsidR="008F54F1" w:rsidP="009962CF" w:rsidRDefault="00AC5407" w14:paraId="1D94ED83" w14:textId="7AD7FD35">
      <w:pPr>
        <w:rPr>
          <w:i/>
          <w:iCs/>
        </w:rPr>
      </w:pPr>
      <w:r w:rsidRPr="00AC5407">
        <w:rPr>
          <w:i/>
          <w:iCs/>
        </w:rPr>
        <w:t xml:space="preserve">Verminder vraag </w:t>
      </w:r>
    </w:p>
    <w:p w:rsidR="003C0ADC" w:rsidP="000C29B8" w:rsidRDefault="002859D9" w14:paraId="4811B7D1" w14:textId="6653F8DE">
      <w:pPr>
        <w:rPr>
          <w:highlight w:val="yellow"/>
        </w:rPr>
      </w:pPr>
      <w:r>
        <w:t xml:space="preserve">Hogere lasten </w:t>
      </w:r>
      <w:r w:rsidR="003978D4">
        <w:t xml:space="preserve">kunnen de vraag indammen. </w:t>
      </w:r>
      <w:r w:rsidR="00ED15B7">
        <w:t xml:space="preserve">Gegeven de druk die </w:t>
      </w:r>
      <w:r w:rsidR="00801B00">
        <w:t xml:space="preserve">inflatie legt op de kleinste beurzen is het zaak deze te ontzien. </w:t>
      </w:r>
      <w:r w:rsidR="003978D4">
        <w:t xml:space="preserve">Ook is mogelijk een nadere prioritering nodig in de </w:t>
      </w:r>
      <w:r w:rsidR="00C55CE7">
        <w:t xml:space="preserve">overheidsuitgaven. Daarbij geldt dat </w:t>
      </w:r>
      <w:r w:rsidR="007E5CCB">
        <w:t>een v</w:t>
      </w:r>
      <w:r w:rsidR="00D42D72">
        <w:t xml:space="preserve">ersnelling van de energietransitie </w:t>
      </w:r>
      <w:r w:rsidR="008477C9">
        <w:t xml:space="preserve">de vraag naar gas </w:t>
      </w:r>
      <w:r w:rsidR="00E12870">
        <w:t>vermindert</w:t>
      </w:r>
      <w:r w:rsidR="008477C9">
        <w:t>.</w:t>
      </w:r>
      <w:r w:rsidR="00C55CE7">
        <w:t xml:space="preserve"> </w:t>
      </w:r>
      <w:r w:rsidRPr="000C29B8" w:rsidR="000C29B8">
        <w:t xml:space="preserve">Geef daartoe prioriteit aan het isoleren van de </w:t>
      </w:r>
      <w:r w:rsidRPr="000C29B8" w:rsidR="00DF0066">
        <w:t xml:space="preserve">tochtigste huizen </w:t>
      </w:r>
      <w:r w:rsidRPr="000C29B8" w:rsidR="000C29B8">
        <w:t xml:space="preserve">waar de </w:t>
      </w:r>
      <w:r w:rsidRPr="000C29B8" w:rsidR="00DF0066">
        <w:t>lage inkomens</w:t>
      </w:r>
      <w:r w:rsidRPr="000C29B8" w:rsidR="000C29B8">
        <w:t xml:space="preserve"> wonen.</w:t>
      </w:r>
      <w:r w:rsidR="000C29B8">
        <w:rPr>
          <w:rStyle w:val="Voetnootmarkering"/>
        </w:rPr>
        <w:footnoteReference w:id="28"/>
      </w:r>
      <w:r w:rsidR="00E75BC5">
        <w:t xml:space="preserve"> Om in Nederland de stijgende huizenprijzen af te remmen kan de </w:t>
      </w:r>
      <w:r w:rsidR="00B47EA2">
        <w:t xml:space="preserve">hypotheekrenteaftrek verder worden afgebouwd en de eveneens </w:t>
      </w:r>
      <w:r w:rsidR="00D21EE7">
        <w:t xml:space="preserve">relatief </w:t>
      </w:r>
      <w:r w:rsidR="00B47EA2">
        <w:t xml:space="preserve">ruime leennormen </w:t>
      </w:r>
      <w:r w:rsidR="004238F7">
        <w:t>verlaagd.</w:t>
      </w:r>
      <w:r w:rsidR="00B47EA2">
        <w:t xml:space="preserve">  </w:t>
      </w:r>
    </w:p>
    <w:p w:rsidRPr="005F6561" w:rsidR="005F6561" w:rsidP="005F6561" w:rsidRDefault="00BD7BF4" w14:paraId="497C858F" w14:textId="43F2830C">
      <w:pPr>
        <w:rPr>
          <w:i/>
          <w:iCs/>
        </w:rPr>
      </w:pPr>
      <w:r>
        <w:rPr>
          <w:i/>
          <w:iCs/>
        </w:rPr>
        <w:t xml:space="preserve">Evenwichtige </w:t>
      </w:r>
      <w:r w:rsidR="00682AC3">
        <w:rPr>
          <w:i/>
          <w:iCs/>
        </w:rPr>
        <w:t>ontwikkeling eurozone</w:t>
      </w:r>
    </w:p>
    <w:p w:rsidR="00DF57A1" w:rsidP="00DF57A1" w:rsidRDefault="00DF57A1" w14:paraId="1B2087F0" w14:textId="45D78C37">
      <w:r>
        <w:t xml:space="preserve">Om de ECB in staat te stellen om op te kunnen treden tegen inflatie is het belangrijk dat </w:t>
      </w:r>
      <w:r w:rsidR="00F74F01">
        <w:t xml:space="preserve">in het zuiden </w:t>
      </w:r>
      <w:r w:rsidR="00764193">
        <w:t xml:space="preserve">het </w:t>
      </w:r>
      <w:r w:rsidR="00F74F01">
        <w:t>g</w:t>
      </w:r>
      <w:r w:rsidR="00764193">
        <w:t>roeiver</w:t>
      </w:r>
      <w:r w:rsidR="00F74F01">
        <w:t xml:space="preserve">mogen toeneemt en </w:t>
      </w:r>
      <w:r w:rsidR="00C71FC3">
        <w:t xml:space="preserve">de schulden afnemen. Dat kan door het stimuleren van productieve investeringen, zoals nu tijdelijk gebeurt via </w:t>
      </w:r>
      <w:r w:rsidR="00D507D5">
        <w:t xml:space="preserve">het gemeenschappelijke </w:t>
      </w:r>
      <w:r w:rsidR="00B77137">
        <w:t>coronafonds (</w:t>
      </w:r>
      <w:r w:rsidRPr="00D507D5" w:rsidR="00B77137">
        <w:rPr>
          <w:i/>
          <w:iCs/>
        </w:rPr>
        <w:t>R</w:t>
      </w:r>
      <w:r w:rsidRPr="00D507D5" w:rsidR="00D507D5">
        <w:rPr>
          <w:i/>
          <w:iCs/>
        </w:rPr>
        <w:t xml:space="preserve">ecovery and </w:t>
      </w:r>
      <w:r w:rsidRPr="00D507D5" w:rsidR="00B77137">
        <w:rPr>
          <w:i/>
          <w:iCs/>
        </w:rPr>
        <w:t>R</w:t>
      </w:r>
      <w:r w:rsidRPr="00D507D5" w:rsidR="00D507D5">
        <w:rPr>
          <w:i/>
          <w:iCs/>
        </w:rPr>
        <w:t xml:space="preserve">esilience </w:t>
      </w:r>
      <w:r w:rsidRPr="00D507D5" w:rsidR="00B77137">
        <w:rPr>
          <w:i/>
          <w:iCs/>
        </w:rPr>
        <w:t>F</w:t>
      </w:r>
      <w:r w:rsidRPr="00D507D5" w:rsidR="00D507D5">
        <w:rPr>
          <w:i/>
          <w:iCs/>
        </w:rPr>
        <w:t>acility</w:t>
      </w:r>
      <w:r w:rsidR="00B77137">
        <w:t>)</w:t>
      </w:r>
      <w:r w:rsidR="00C27EB5">
        <w:t xml:space="preserve"> maar ook door meer ruimte te </w:t>
      </w:r>
      <w:r w:rsidR="00BC4BF3">
        <w:t>creëren</w:t>
      </w:r>
      <w:r w:rsidR="00C27EB5">
        <w:t xml:space="preserve"> </w:t>
      </w:r>
      <w:r w:rsidR="0084199B">
        <w:t xml:space="preserve">voor (groene) investeringen </w:t>
      </w:r>
      <w:r w:rsidR="00C27EB5">
        <w:t>in de begrotingsregels van het Stabiliteits- en Groeipact</w:t>
      </w:r>
      <w:r w:rsidR="00B77137">
        <w:t>.</w:t>
      </w:r>
      <w:r w:rsidR="0027098E">
        <w:rPr>
          <w:rStyle w:val="Voetnootmarkering"/>
        </w:rPr>
        <w:footnoteReference w:id="29"/>
      </w:r>
      <w:r w:rsidR="00B77137">
        <w:t xml:space="preserve"> Ook zou gekeken kunnen worden naar </w:t>
      </w:r>
      <w:r w:rsidR="00482079">
        <w:t xml:space="preserve">drastischere manieren om de schuld te verminderen, zoals het </w:t>
      </w:r>
      <w:r w:rsidR="00F330BE">
        <w:t>kwijtschelden van de schulden die reeds bij de ECB op de balans staan.</w:t>
      </w:r>
      <w:r w:rsidR="00F330BE">
        <w:rPr>
          <w:rStyle w:val="Voetnootmarkering"/>
        </w:rPr>
        <w:footnoteReference w:id="30"/>
      </w:r>
      <w:r w:rsidR="00482079">
        <w:t xml:space="preserve"> </w:t>
      </w:r>
      <w:r w:rsidR="002315A5">
        <w:t xml:space="preserve">Tot slot zouden hogere lonen in het Noorden, waaronder Nederland, kunnen bijdragen aan </w:t>
      </w:r>
      <w:r w:rsidR="009850A9">
        <w:t>een evenwichtiger eurozone.</w:t>
      </w:r>
      <w:r w:rsidR="009850A9">
        <w:rPr>
          <w:rStyle w:val="Voetnootmarkering"/>
        </w:rPr>
        <w:footnoteReference w:id="31"/>
      </w:r>
    </w:p>
    <w:p w:rsidRPr="005F6561" w:rsidR="00035822" w:rsidP="00035822" w:rsidRDefault="00035822" w14:paraId="621446FE" w14:textId="77777777">
      <w:pPr>
        <w:rPr>
          <w:i/>
          <w:iCs/>
        </w:rPr>
      </w:pPr>
      <w:r w:rsidRPr="005F6561">
        <w:rPr>
          <w:i/>
          <w:iCs/>
        </w:rPr>
        <w:t>Versterk mededinging</w:t>
      </w:r>
    </w:p>
    <w:p w:rsidR="00035822" w:rsidP="00C86CDF" w:rsidRDefault="00A14700" w14:paraId="3EF46D8B" w14:textId="7EFBDE7F">
      <w:r>
        <w:t xml:space="preserve">Hoewel een gebrek aan </w:t>
      </w:r>
      <w:r w:rsidRPr="005F6561" w:rsidR="00035822">
        <w:t>mededinging</w:t>
      </w:r>
      <w:r>
        <w:t xml:space="preserve"> niet de oorzaak is van de huidige inflatiesprong kan een toename daarvan wel helpen om de prijzen de komende jaren </w:t>
      </w:r>
      <w:r w:rsidR="00184986">
        <w:t>te verlagen.</w:t>
      </w:r>
      <w:r w:rsidR="00184986">
        <w:rPr>
          <w:rStyle w:val="Voetnootmarkering"/>
        </w:rPr>
        <w:footnoteReference w:id="32"/>
      </w:r>
      <w:r w:rsidRPr="00184986" w:rsidR="00035822">
        <w:t xml:space="preserve"> </w:t>
      </w:r>
    </w:p>
    <w:p w:rsidRPr="006A1CBC" w:rsidR="00035822" w:rsidP="00035822" w:rsidRDefault="00D71C56" w14:paraId="2D372C96" w14:textId="4EFDBB3A">
      <w:pPr>
        <w:rPr>
          <w:i/>
          <w:iCs/>
        </w:rPr>
      </w:pPr>
      <w:r>
        <w:rPr>
          <w:i/>
          <w:iCs/>
        </w:rPr>
        <w:t xml:space="preserve">Onderzoek </w:t>
      </w:r>
      <w:r w:rsidRPr="006A1CBC" w:rsidR="00035822">
        <w:rPr>
          <w:i/>
          <w:iCs/>
        </w:rPr>
        <w:t xml:space="preserve">prijscontroles </w:t>
      </w:r>
    </w:p>
    <w:p w:rsidRPr="0077077D" w:rsidR="00153093" w:rsidP="007345C1" w:rsidRDefault="006A4CE3" w14:paraId="73DA0298" w14:textId="0A9F9010">
      <w:r>
        <w:t xml:space="preserve">In het verleden zijn op momenten van ingrijpende aanbodbeperkingen, </w:t>
      </w:r>
      <w:r w:rsidR="00931258">
        <w:t xml:space="preserve">zoals </w:t>
      </w:r>
      <w:r>
        <w:t xml:space="preserve">tijdens oorlogen, </w:t>
      </w:r>
      <w:r w:rsidR="002E7B47">
        <w:t>p</w:t>
      </w:r>
      <w:r w:rsidRPr="006A4CE3" w:rsidR="00035822">
        <w:t xml:space="preserve">rijscontroles </w:t>
      </w:r>
      <w:r w:rsidR="002E7B47">
        <w:t xml:space="preserve">ingevoerd. </w:t>
      </w:r>
      <w:r w:rsidR="00682AC3">
        <w:t xml:space="preserve">Mochten </w:t>
      </w:r>
      <w:r w:rsidR="006E30F0">
        <w:t xml:space="preserve">bijvoorbeeld </w:t>
      </w:r>
      <w:r w:rsidR="001B32F2">
        <w:t>virus</w:t>
      </w:r>
      <w:r w:rsidR="006E30F0">
        <w:t xml:space="preserve"> gerelateerde </w:t>
      </w:r>
      <w:r w:rsidR="001B32F2">
        <w:t xml:space="preserve">ontwikkelingen </w:t>
      </w:r>
      <w:r w:rsidR="006E30F0">
        <w:t xml:space="preserve">leiden tot </w:t>
      </w:r>
      <w:r w:rsidR="001B32F2">
        <w:t xml:space="preserve">nieuwe en zwaardere </w:t>
      </w:r>
      <w:r w:rsidR="002E7B47">
        <w:t xml:space="preserve">beperkingen </w:t>
      </w:r>
      <w:r w:rsidR="00BC63E3">
        <w:t xml:space="preserve">dan </w:t>
      </w:r>
      <w:r w:rsidR="00427467">
        <w:t xml:space="preserve">valt ook </w:t>
      </w:r>
      <w:r w:rsidR="00BC63E3">
        <w:t xml:space="preserve">de inzet van dit </w:t>
      </w:r>
      <w:r w:rsidR="00427467">
        <w:t>instrument te overwegen.</w:t>
      </w:r>
      <w:r w:rsidR="00427467">
        <w:rPr>
          <w:rStyle w:val="Voetnootmarkering"/>
        </w:rPr>
        <w:footnoteReference w:id="33"/>
      </w:r>
    </w:p>
    <w:sectPr w:rsidRPr="0077077D" w:rsidR="00153093">
      <w:footerReference w:type="defaul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3CCD" w14:textId="77777777" w:rsidR="00980CFB" w:rsidRDefault="00980CFB" w:rsidP="000D3A43">
      <w:pPr>
        <w:spacing w:after="0" w:line="240" w:lineRule="auto"/>
      </w:pPr>
      <w:r>
        <w:separator/>
      </w:r>
    </w:p>
  </w:endnote>
  <w:endnote w:type="continuationSeparator" w:id="0">
    <w:p w14:paraId="62DC371E" w14:textId="77777777" w:rsidR="00980CFB" w:rsidRDefault="00980CFB" w:rsidP="000D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19088"/>
      <w:docPartObj>
        <w:docPartGallery w:val="Page Numbers (Bottom of Page)"/>
        <w:docPartUnique/>
      </w:docPartObj>
    </w:sdtPr>
    <w:sdtEndPr/>
    <w:sdtContent>
      <w:p w14:paraId="2A7BC7E6" w14:textId="32C3B609" w:rsidR="00A76AF8" w:rsidRDefault="00A76AF8">
        <w:pPr>
          <w:pStyle w:val="Voettekst"/>
          <w:jc w:val="center"/>
        </w:pPr>
        <w:r>
          <w:fldChar w:fldCharType="begin"/>
        </w:r>
        <w:r>
          <w:instrText>PAGE   \* MERGEFORMAT</w:instrText>
        </w:r>
        <w:r>
          <w:fldChar w:fldCharType="separate"/>
        </w:r>
        <w:r>
          <w:t>2</w:t>
        </w:r>
        <w:r>
          <w:fldChar w:fldCharType="end"/>
        </w:r>
      </w:p>
    </w:sdtContent>
  </w:sdt>
  <w:p w14:paraId="3049A3CD" w14:textId="77777777" w:rsidR="00A76AF8" w:rsidRDefault="00A76A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CD48" w14:textId="77777777" w:rsidR="00980CFB" w:rsidRDefault="00980CFB" w:rsidP="000D3A43">
      <w:pPr>
        <w:spacing w:after="0" w:line="240" w:lineRule="auto"/>
      </w:pPr>
      <w:r>
        <w:separator/>
      </w:r>
    </w:p>
  </w:footnote>
  <w:footnote w:type="continuationSeparator" w:id="0">
    <w:p w14:paraId="7E66E370" w14:textId="77777777" w:rsidR="00980CFB" w:rsidRDefault="00980CFB" w:rsidP="000D3A43">
      <w:pPr>
        <w:spacing w:after="0" w:line="240" w:lineRule="auto"/>
      </w:pPr>
      <w:r>
        <w:continuationSeparator/>
      </w:r>
    </w:p>
  </w:footnote>
  <w:footnote w:id="1">
    <w:p w14:paraId="6320AF65" w14:textId="05F43AEA" w:rsidR="007957B3" w:rsidRPr="007957B3" w:rsidRDefault="007957B3">
      <w:pPr>
        <w:pStyle w:val="Voetnoottekst"/>
      </w:pPr>
      <w:r>
        <w:rPr>
          <w:rStyle w:val="Voetnootmarkering"/>
        </w:rPr>
        <w:footnoteRef/>
      </w:r>
      <w:r>
        <w:t xml:space="preserve"> </w:t>
      </w:r>
      <w:r w:rsidRPr="007957B3">
        <w:t>Met dank aan d</w:t>
      </w:r>
      <w:r>
        <w:t xml:space="preserve">e leden van het Sustainable Finance Lab voor hun commentaar op een eerdere versie. </w:t>
      </w:r>
    </w:p>
  </w:footnote>
  <w:footnote w:id="2">
    <w:p w14:paraId="6D7A6D62" w14:textId="49A370AE" w:rsidR="00035822" w:rsidRPr="007C732D" w:rsidRDefault="00035822">
      <w:pPr>
        <w:pStyle w:val="Voetnoottekst"/>
      </w:pPr>
      <w:r>
        <w:rPr>
          <w:rStyle w:val="Voetnootmarkering"/>
        </w:rPr>
        <w:footnoteRef/>
      </w:r>
      <w:r w:rsidRPr="007C732D">
        <w:t xml:space="preserve"> </w:t>
      </w:r>
      <w:hyperlink r:id="rId1" w:history="1">
        <w:r w:rsidRPr="007C732D">
          <w:rPr>
            <w:rStyle w:val="Hyperlink"/>
          </w:rPr>
          <w:t>CBS</w:t>
        </w:r>
      </w:hyperlink>
      <w:r w:rsidRPr="007C732D">
        <w:t xml:space="preserve"> (2021)</w:t>
      </w:r>
      <w:r w:rsidR="007C732D" w:rsidRPr="007C732D">
        <w:t>.</w:t>
      </w:r>
      <w:r w:rsidRPr="007C732D">
        <w:t xml:space="preserve"> </w:t>
      </w:r>
    </w:p>
  </w:footnote>
  <w:footnote w:id="3">
    <w:p w14:paraId="294A2A64" w14:textId="1E268FB7" w:rsidR="000D3A43" w:rsidRPr="000D3A43" w:rsidRDefault="000D3A43">
      <w:pPr>
        <w:pStyle w:val="Voetnoottekst"/>
      </w:pPr>
      <w:r>
        <w:rPr>
          <w:rStyle w:val="Voetnootmarkering"/>
        </w:rPr>
        <w:footnoteRef/>
      </w:r>
      <w:r>
        <w:t xml:space="preserve"> </w:t>
      </w:r>
      <w:r w:rsidRPr="000D3A43">
        <w:t>HICP waarbij anders dan de CPI de woonlasten zijn uitgezonderd</w:t>
      </w:r>
      <w:r w:rsidR="007C732D">
        <w:t>.</w:t>
      </w:r>
    </w:p>
  </w:footnote>
  <w:footnote w:id="4">
    <w:p w14:paraId="14BED9FE" w14:textId="4B60A937" w:rsidR="00CF52DA" w:rsidRPr="00CF52DA" w:rsidRDefault="00CF52DA">
      <w:pPr>
        <w:pStyle w:val="Voetnoottekst"/>
      </w:pPr>
      <w:r>
        <w:rPr>
          <w:rStyle w:val="Voetnootmarkering"/>
        </w:rPr>
        <w:footnoteRef/>
      </w:r>
      <w:r>
        <w:t xml:space="preserve"> VS inflatie betreft de CPI</w:t>
      </w:r>
      <w:r w:rsidR="00A92681">
        <w:t>. D</w:t>
      </w:r>
      <w:r>
        <w:t xml:space="preserve">eze is voor Nederland </w:t>
      </w:r>
      <w:r w:rsidR="00F263F3">
        <w:t>wat lager dan de HCIP</w:t>
      </w:r>
      <w:r w:rsidR="00166157">
        <w:t xml:space="preserve"> (US </w:t>
      </w:r>
      <w:hyperlink r:id="rId2" w:history="1">
        <w:r w:rsidR="00166157" w:rsidRPr="00166157">
          <w:rPr>
            <w:rStyle w:val="Hyperlink"/>
          </w:rPr>
          <w:t>Bureau of Labor Statistics</w:t>
        </w:r>
      </w:hyperlink>
      <w:r w:rsidR="00166157">
        <w:t>)</w:t>
      </w:r>
      <w:r w:rsidRPr="00E31244">
        <w:t>.</w:t>
      </w:r>
    </w:p>
  </w:footnote>
  <w:footnote w:id="5">
    <w:p w14:paraId="40F3D17F" w14:textId="2EFD9568" w:rsidR="00CB1583" w:rsidRPr="00D02070" w:rsidRDefault="00CB1583">
      <w:pPr>
        <w:pStyle w:val="Voetnoottekst"/>
        <w:rPr>
          <w:lang w:val="en-US"/>
        </w:rPr>
      </w:pPr>
      <w:r>
        <w:rPr>
          <w:rStyle w:val="Voetnootmarkering"/>
        </w:rPr>
        <w:footnoteRef/>
      </w:r>
      <w:r w:rsidRPr="00D02070">
        <w:rPr>
          <w:lang w:val="en-US"/>
        </w:rPr>
        <w:t xml:space="preserve"> Koester, Nordeman en Soudan (</w:t>
      </w:r>
      <w:r w:rsidR="00D02070" w:rsidRPr="00D02070">
        <w:rPr>
          <w:lang w:val="en-US"/>
        </w:rPr>
        <w:t xml:space="preserve">2021) </w:t>
      </w:r>
      <w:hyperlink r:id="rId3" w:history="1">
        <w:r w:rsidR="00D02070" w:rsidRPr="00D02070">
          <w:rPr>
            <w:rStyle w:val="Hyperlink"/>
            <w:lang w:val="en-US"/>
          </w:rPr>
          <w:t>Comparing recent inflation</w:t>
        </w:r>
      </w:hyperlink>
      <w:r w:rsidR="00D02070" w:rsidRPr="00D02070">
        <w:rPr>
          <w:lang w:val="en-US"/>
        </w:rPr>
        <w:t xml:space="preserve"> developments in the United States and the euro area</w:t>
      </w:r>
      <w:r w:rsidR="00577C53">
        <w:rPr>
          <w:lang w:val="en-US"/>
        </w:rPr>
        <w:t>, ECB.</w:t>
      </w:r>
    </w:p>
  </w:footnote>
  <w:footnote w:id="6">
    <w:p w14:paraId="322B7A02" w14:textId="0946CCFD" w:rsidR="00662DB2" w:rsidRPr="00F23F8B" w:rsidRDefault="00662DB2" w:rsidP="00662DB2">
      <w:pPr>
        <w:pStyle w:val="Voetnoottekst"/>
        <w:rPr>
          <w:lang w:val="en-US"/>
        </w:rPr>
      </w:pPr>
      <w:r>
        <w:rPr>
          <w:rStyle w:val="Voetnootmarkering"/>
        </w:rPr>
        <w:footnoteRef/>
      </w:r>
      <w:r w:rsidRPr="00662DB2">
        <w:rPr>
          <w:lang w:val="en-US"/>
        </w:rPr>
        <w:t xml:space="preserve"> </w:t>
      </w:r>
      <w:r>
        <w:rPr>
          <w:lang w:val="en-US"/>
        </w:rPr>
        <w:t>IE</w:t>
      </w:r>
      <w:r w:rsidR="00696336">
        <w:rPr>
          <w:lang w:val="en-US"/>
        </w:rPr>
        <w:t>A</w:t>
      </w:r>
      <w:r>
        <w:rPr>
          <w:lang w:val="en-US"/>
        </w:rPr>
        <w:t xml:space="preserve"> </w:t>
      </w:r>
      <w:hyperlink r:id="rId4" w:history="1">
        <w:r w:rsidRPr="00696336">
          <w:rPr>
            <w:rStyle w:val="Hyperlink"/>
            <w:lang w:val="en-US"/>
          </w:rPr>
          <w:t>Statement</w:t>
        </w:r>
      </w:hyperlink>
      <w:r w:rsidRPr="00662DB2">
        <w:rPr>
          <w:lang w:val="en-US"/>
        </w:rPr>
        <w:t xml:space="preserve"> on recent developments in natural gas and electricity markets</w:t>
      </w:r>
      <w:r w:rsidR="00696336">
        <w:rPr>
          <w:lang w:val="en-US"/>
        </w:rPr>
        <w:t xml:space="preserve">, </w:t>
      </w:r>
      <w:r w:rsidRPr="00662DB2">
        <w:rPr>
          <w:lang w:val="en-US"/>
        </w:rPr>
        <w:t>21 September 2021</w:t>
      </w:r>
      <w:r w:rsidR="00F71DF9" w:rsidRPr="00F23F8B">
        <w:rPr>
          <w:lang w:val="en-US"/>
        </w:rPr>
        <w:t>.</w:t>
      </w:r>
    </w:p>
  </w:footnote>
  <w:footnote w:id="7">
    <w:p w14:paraId="4D14072A" w14:textId="655C7A3F" w:rsidR="0019623B" w:rsidRPr="001A5F29" w:rsidRDefault="0019623B">
      <w:pPr>
        <w:pStyle w:val="Voetnoottekst"/>
        <w:rPr>
          <w:lang w:val="en-US"/>
        </w:rPr>
      </w:pPr>
      <w:r>
        <w:rPr>
          <w:rStyle w:val="Voetnootmarkering"/>
        </w:rPr>
        <w:footnoteRef/>
      </w:r>
      <w:r w:rsidRPr="001A5F29">
        <w:rPr>
          <w:lang w:val="en-US"/>
        </w:rPr>
        <w:t xml:space="preserve"> </w:t>
      </w:r>
      <w:r w:rsidR="001A5F29" w:rsidRPr="001A5F29">
        <w:rPr>
          <w:lang w:val="en-US"/>
        </w:rPr>
        <w:t xml:space="preserve">ECB (2021) </w:t>
      </w:r>
      <w:hyperlink r:id="rId5" w:history="1">
        <w:r w:rsidR="001A5F29" w:rsidRPr="001A5F29">
          <w:rPr>
            <w:rStyle w:val="Hyperlink"/>
            <w:lang w:val="en-US"/>
          </w:rPr>
          <w:t>Eurosystem staff macro economic projections</w:t>
        </w:r>
      </w:hyperlink>
      <w:r w:rsidR="001A5F29" w:rsidRPr="001A5F29">
        <w:rPr>
          <w:lang w:val="en-US"/>
        </w:rPr>
        <w:t xml:space="preserve"> for the euro area, December 2021.</w:t>
      </w:r>
    </w:p>
  </w:footnote>
  <w:footnote w:id="8">
    <w:p w14:paraId="66E82428" w14:textId="736BA7A4" w:rsidR="008B7F6B" w:rsidRPr="008B7F6B" w:rsidRDefault="008B7F6B">
      <w:pPr>
        <w:pStyle w:val="Voetnoottekst"/>
        <w:rPr>
          <w:lang w:val="en-US"/>
        </w:rPr>
      </w:pPr>
      <w:r>
        <w:rPr>
          <w:rStyle w:val="Voetnootmarkering"/>
        </w:rPr>
        <w:footnoteRef/>
      </w:r>
      <w:r w:rsidRPr="008B7F6B">
        <w:rPr>
          <w:lang w:val="en-US"/>
        </w:rPr>
        <w:t xml:space="preserve"> DNB (2021) Euro area inflation and the pandemic.</w:t>
      </w:r>
    </w:p>
  </w:footnote>
  <w:footnote w:id="9">
    <w:p w14:paraId="38DFA81F" w14:textId="4F9C5180" w:rsidR="008E2E51" w:rsidRPr="003E7076" w:rsidRDefault="008E2E51">
      <w:pPr>
        <w:pStyle w:val="Voetnoottekst"/>
        <w:rPr>
          <w:lang w:val="en-US"/>
        </w:rPr>
      </w:pPr>
      <w:r>
        <w:rPr>
          <w:rStyle w:val="Voetnootmarkering"/>
        </w:rPr>
        <w:footnoteRef/>
      </w:r>
      <w:r w:rsidRPr="003E7076">
        <w:rPr>
          <w:lang w:val="en-US"/>
        </w:rPr>
        <w:t xml:space="preserve"> </w:t>
      </w:r>
      <w:r w:rsidR="00072B5B" w:rsidRPr="003E7076">
        <w:rPr>
          <w:lang w:val="en-US"/>
        </w:rPr>
        <w:t xml:space="preserve">CBS Bestaande koopwoningen; </w:t>
      </w:r>
      <w:hyperlink r:id="rId6" w:history="1">
        <w:r w:rsidR="00072B5B" w:rsidRPr="003E7076">
          <w:rPr>
            <w:rStyle w:val="Hyperlink"/>
            <w:lang w:val="en-US"/>
          </w:rPr>
          <w:t>verkoopprijzen</w:t>
        </w:r>
      </w:hyperlink>
      <w:r w:rsidR="00072B5B" w:rsidRPr="003E7076">
        <w:rPr>
          <w:lang w:val="en-US"/>
        </w:rPr>
        <w:t>.</w:t>
      </w:r>
    </w:p>
  </w:footnote>
  <w:footnote w:id="10">
    <w:p w14:paraId="59EDF567" w14:textId="15645CDF" w:rsidR="00C823E9" w:rsidRPr="00170344" w:rsidRDefault="00C823E9">
      <w:pPr>
        <w:pStyle w:val="Voetnoottekst"/>
        <w:rPr>
          <w:lang w:val="en-US"/>
        </w:rPr>
      </w:pPr>
      <w:r>
        <w:rPr>
          <w:rStyle w:val="Voetnootmarkering"/>
        </w:rPr>
        <w:footnoteRef/>
      </w:r>
      <w:r w:rsidRPr="00170344">
        <w:rPr>
          <w:lang w:val="en-US"/>
        </w:rPr>
        <w:t xml:space="preserve"> Bonam en Smădu (2021)</w:t>
      </w:r>
      <w:r w:rsidR="00170344" w:rsidRPr="00170344">
        <w:rPr>
          <w:lang w:val="en-US"/>
        </w:rPr>
        <w:t xml:space="preserve"> The long-run effects of pandemics on inflation: Will this time be different?</w:t>
      </w:r>
      <w:r w:rsidR="00170344">
        <w:rPr>
          <w:lang w:val="en-US"/>
        </w:rPr>
        <w:t>, DNB.</w:t>
      </w:r>
    </w:p>
  </w:footnote>
  <w:footnote w:id="11">
    <w:p w14:paraId="3DB16ED5" w14:textId="230AA9FC" w:rsidR="00AC0AD7" w:rsidRPr="002B3D47" w:rsidRDefault="00AC0AD7" w:rsidP="00AC0AD7">
      <w:pPr>
        <w:pStyle w:val="Voetnoottekst"/>
        <w:rPr>
          <w:lang w:val="en-US"/>
        </w:rPr>
      </w:pPr>
      <w:r>
        <w:rPr>
          <w:rStyle w:val="Voetnootmarkering"/>
        </w:rPr>
        <w:footnoteRef/>
      </w:r>
      <w:r w:rsidRPr="002B3D47">
        <w:rPr>
          <w:lang w:val="en-US"/>
        </w:rPr>
        <w:t xml:space="preserve"> </w:t>
      </w:r>
      <w:r>
        <w:rPr>
          <w:lang w:val="en-US"/>
        </w:rPr>
        <w:t xml:space="preserve">Schnabel (2022) </w:t>
      </w:r>
      <w:hyperlink r:id="rId7" w:history="1">
        <w:r w:rsidRPr="00E97C19">
          <w:rPr>
            <w:rStyle w:val="Hyperlink"/>
            <w:lang w:val="en-US"/>
          </w:rPr>
          <w:t>Looking through</w:t>
        </w:r>
      </w:hyperlink>
      <w:r w:rsidRPr="00AF2D83">
        <w:rPr>
          <w:lang w:val="en-US"/>
        </w:rPr>
        <w:t xml:space="preserve"> higher energy prices? Monetary policy and the green transition</w:t>
      </w:r>
      <w:r>
        <w:rPr>
          <w:lang w:val="en-US"/>
        </w:rPr>
        <w:t>, ECB.</w:t>
      </w:r>
    </w:p>
  </w:footnote>
  <w:footnote w:id="12">
    <w:p w14:paraId="339A4632" w14:textId="1B9E6E63" w:rsidR="001F7169" w:rsidRPr="00F5116A" w:rsidRDefault="001F7169" w:rsidP="00F5116A">
      <w:pPr>
        <w:pStyle w:val="Voetnoottekst"/>
        <w:rPr>
          <w:lang w:val="en-US"/>
        </w:rPr>
      </w:pPr>
      <w:r>
        <w:rPr>
          <w:rStyle w:val="Voetnootmarkering"/>
        </w:rPr>
        <w:footnoteRef/>
      </w:r>
      <w:r w:rsidRPr="001F7169">
        <w:rPr>
          <w:lang w:val="en-US"/>
        </w:rPr>
        <w:t xml:space="preserve"> Faccia, Parker</w:t>
      </w:r>
      <w:r w:rsidR="001B6485">
        <w:rPr>
          <w:lang w:val="en-US"/>
        </w:rPr>
        <w:t xml:space="preserve"> en </w:t>
      </w:r>
      <w:r w:rsidRPr="001F7169">
        <w:rPr>
          <w:lang w:val="en-US"/>
        </w:rPr>
        <w:t>Stracca</w:t>
      </w:r>
      <w:r w:rsidR="00F5116A">
        <w:rPr>
          <w:lang w:val="en-US"/>
        </w:rPr>
        <w:t xml:space="preserve"> (2021) </w:t>
      </w:r>
      <w:hyperlink r:id="rId8" w:history="1">
        <w:r w:rsidR="00F5116A" w:rsidRPr="001B6485">
          <w:rPr>
            <w:rStyle w:val="Hyperlink"/>
            <w:lang w:val="en-US"/>
          </w:rPr>
          <w:t>Feeling the heat</w:t>
        </w:r>
      </w:hyperlink>
      <w:r w:rsidR="00F5116A" w:rsidRPr="00F5116A">
        <w:rPr>
          <w:lang w:val="en-US"/>
        </w:rPr>
        <w:t>: extreme</w:t>
      </w:r>
      <w:r w:rsidR="00F5116A">
        <w:rPr>
          <w:lang w:val="en-US"/>
        </w:rPr>
        <w:t xml:space="preserve"> </w:t>
      </w:r>
      <w:r w:rsidR="00F5116A" w:rsidRPr="00F5116A">
        <w:rPr>
          <w:lang w:val="en-US"/>
        </w:rPr>
        <w:t>temperatures and price stability</w:t>
      </w:r>
      <w:r w:rsidR="00F5116A">
        <w:rPr>
          <w:lang w:val="en-US"/>
        </w:rPr>
        <w:t>, ECB</w:t>
      </w:r>
      <w:r w:rsidR="001B6485">
        <w:rPr>
          <w:lang w:val="en-US"/>
        </w:rPr>
        <w:t>.</w:t>
      </w:r>
    </w:p>
  </w:footnote>
  <w:footnote w:id="13">
    <w:p w14:paraId="0DB36123" w14:textId="11D2F640" w:rsidR="002F7CB3" w:rsidRPr="002F7CB3" w:rsidRDefault="002F7CB3">
      <w:pPr>
        <w:pStyle w:val="Voetnoottekst"/>
        <w:rPr>
          <w:lang w:val="en-US"/>
        </w:rPr>
      </w:pPr>
      <w:r>
        <w:rPr>
          <w:rStyle w:val="Voetnootmarkering"/>
        </w:rPr>
        <w:footnoteRef/>
      </w:r>
      <w:r w:rsidRPr="002F7CB3">
        <w:rPr>
          <w:lang w:val="en-US"/>
        </w:rPr>
        <w:t xml:space="preserve"> </w:t>
      </w:r>
      <w:r>
        <w:rPr>
          <w:lang w:val="en-US"/>
        </w:rPr>
        <w:t xml:space="preserve">NGFS (2021) </w:t>
      </w:r>
      <w:hyperlink r:id="rId9" w:history="1">
        <w:r w:rsidR="006133B9" w:rsidRPr="006133B9">
          <w:rPr>
            <w:rStyle w:val="Hyperlink"/>
            <w:lang w:val="en-US"/>
          </w:rPr>
          <w:t>Climate scenarios</w:t>
        </w:r>
      </w:hyperlink>
      <w:r w:rsidR="006133B9">
        <w:rPr>
          <w:lang w:val="en-US"/>
        </w:rPr>
        <w:t xml:space="preserve"> for central banks and supervisors.</w:t>
      </w:r>
    </w:p>
  </w:footnote>
  <w:footnote w:id="14">
    <w:p w14:paraId="4F648334" w14:textId="095368F4" w:rsidR="00BB78B0" w:rsidRPr="00BB78B0" w:rsidRDefault="00BB78B0">
      <w:pPr>
        <w:pStyle w:val="Voetnoottekst"/>
      </w:pPr>
      <w:r>
        <w:rPr>
          <w:rStyle w:val="Voetnootmarkering"/>
        </w:rPr>
        <w:footnoteRef/>
      </w:r>
      <w:r w:rsidRPr="00BB78B0">
        <w:t xml:space="preserve"> </w:t>
      </w:r>
      <w:r w:rsidR="00AC4D81">
        <w:t>M</w:t>
      </w:r>
      <w:r w:rsidRPr="00BB78B0">
        <w:t>ede als gevolg van de hoge gasprijzen waardoor steenkool concurrerender is geworden waar meer CO2-rechten voor nodig zijn</w:t>
      </w:r>
      <w:r w:rsidR="00AC4D81">
        <w:t>.</w:t>
      </w:r>
    </w:p>
  </w:footnote>
  <w:footnote w:id="15">
    <w:p w14:paraId="2220174D" w14:textId="69409504" w:rsidR="00340EB8" w:rsidRPr="00DF4836" w:rsidRDefault="00340EB8">
      <w:pPr>
        <w:pStyle w:val="Voetnoottekst"/>
        <w:rPr>
          <w:lang w:val="en-US"/>
        </w:rPr>
      </w:pPr>
      <w:r>
        <w:rPr>
          <w:rStyle w:val="Voetnootmarkering"/>
        </w:rPr>
        <w:footnoteRef/>
      </w:r>
      <w:r w:rsidRPr="00DF4836">
        <w:rPr>
          <w:lang w:val="en-US"/>
        </w:rPr>
        <w:t xml:space="preserve"> Boer, Pescatori , Stuermer en Valckx (2021) </w:t>
      </w:r>
      <w:hyperlink r:id="rId10" w:history="1">
        <w:r w:rsidR="00DF4836" w:rsidRPr="00EC4C4B">
          <w:rPr>
            <w:rStyle w:val="Hyperlink"/>
            <w:lang w:val="en-US"/>
          </w:rPr>
          <w:t>Soaring Metal Prices</w:t>
        </w:r>
      </w:hyperlink>
      <w:r w:rsidR="00DF4836" w:rsidRPr="00DF4836">
        <w:rPr>
          <w:lang w:val="en-US"/>
        </w:rPr>
        <w:t xml:space="preserve"> May Delay Energy Transition</w:t>
      </w:r>
      <w:r w:rsidR="00DF4836">
        <w:rPr>
          <w:lang w:val="en-US"/>
        </w:rPr>
        <w:t>, IMF.</w:t>
      </w:r>
    </w:p>
  </w:footnote>
  <w:footnote w:id="16">
    <w:p w14:paraId="21B10B0C" w14:textId="1062B3E5" w:rsidR="00B76E80" w:rsidRPr="00B76E80" w:rsidRDefault="00B76E80">
      <w:pPr>
        <w:pStyle w:val="Voetnoottekst"/>
        <w:rPr>
          <w:lang w:val="en-US"/>
        </w:rPr>
      </w:pPr>
      <w:r>
        <w:rPr>
          <w:rStyle w:val="Voetnootmarkering"/>
        </w:rPr>
        <w:footnoteRef/>
      </w:r>
      <w:r w:rsidRPr="00B76E80">
        <w:rPr>
          <w:lang w:val="en-US"/>
        </w:rPr>
        <w:t xml:space="preserve"> </w:t>
      </w:r>
      <w:r>
        <w:rPr>
          <w:lang w:val="en-US"/>
        </w:rPr>
        <w:t>Lazard (202</w:t>
      </w:r>
      <w:r w:rsidR="00DC6FB0">
        <w:rPr>
          <w:lang w:val="en-US"/>
        </w:rPr>
        <w:t>0</w:t>
      </w:r>
      <w:r>
        <w:rPr>
          <w:lang w:val="en-US"/>
        </w:rPr>
        <w:t>)</w:t>
      </w:r>
      <w:r w:rsidR="00DC6FB0">
        <w:rPr>
          <w:lang w:val="en-US"/>
        </w:rPr>
        <w:t xml:space="preserve"> </w:t>
      </w:r>
      <w:hyperlink r:id="rId11" w:history="1">
        <w:r w:rsidR="00DC6FB0" w:rsidRPr="00EF6C54">
          <w:rPr>
            <w:rStyle w:val="Hyperlink"/>
            <w:lang w:val="en-US"/>
          </w:rPr>
          <w:t>L</w:t>
        </w:r>
        <w:r w:rsidR="00DC6FB0" w:rsidRPr="00EF6C54">
          <w:rPr>
            <w:rStyle w:val="Hyperlink"/>
            <w:lang w:val="en-US"/>
          </w:rPr>
          <w:t>evelized cost</w:t>
        </w:r>
      </w:hyperlink>
      <w:r w:rsidR="00DC6FB0" w:rsidRPr="00DC6FB0">
        <w:rPr>
          <w:lang w:val="en-US"/>
        </w:rPr>
        <w:t xml:space="preserve"> o</w:t>
      </w:r>
      <w:r w:rsidR="00DC6FB0">
        <w:rPr>
          <w:lang w:val="en-US"/>
        </w:rPr>
        <w:t>f energy analysis</w:t>
      </w:r>
      <w:r>
        <w:rPr>
          <w:lang w:val="en-US"/>
        </w:rPr>
        <w:t xml:space="preserve"> </w:t>
      </w:r>
    </w:p>
  </w:footnote>
  <w:footnote w:id="17">
    <w:p w14:paraId="64D45E1E" w14:textId="01C30955" w:rsidR="00693E23" w:rsidRPr="003B6C71" w:rsidRDefault="00693E23">
      <w:pPr>
        <w:pStyle w:val="Voetnoottekst"/>
        <w:rPr>
          <w:lang w:val="en-US"/>
        </w:rPr>
      </w:pPr>
      <w:r>
        <w:rPr>
          <w:rStyle w:val="Voetnootmarkering"/>
        </w:rPr>
        <w:footnoteRef/>
      </w:r>
      <w:r w:rsidRPr="00693E23">
        <w:rPr>
          <w:lang w:val="en-US"/>
        </w:rPr>
        <w:t xml:space="preserve"> </w:t>
      </w:r>
      <w:r w:rsidR="004A57BE">
        <w:rPr>
          <w:lang w:val="en-US"/>
        </w:rPr>
        <w:t xml:space="preserve">Myllyvirta, Thieriot en Suarez </w:t>
      </w:r>
      <w:r w:rsidR="003B6C71">
        <w:rPr>
          <w:lang w:val="en-US"/>
        </w:rPr>
        <w:t xml:space="preserve">(2021) </w:t>
      </w:r>
      <w:hyperlink r:id="rId12" w:history="1">
        <w:r w:rsidRPr="00EE57F6">
          <w:rPr>
            <w:rStyle w:val="Hyperlink"/>
            <w:lang w:val="en-US"/>
          </w:rPr>
          <w:t>Europe’s zero-carbon generation</w:t>
        </w:r>
      </w:hyperlink>
      <w:r w:rsidRPr="00693E23">
        <w:rPr>
          <w:lang w:val="en-US"/>
        </w:rPr>
        <w:t xml:space="preserve"> broke records in the third quarter, cutting fuel bills during the gas crisis</w:t>
      </w:r>
      <w:r w:rsidR="003B6C71">
        <w:rPr>
          <w:lang w:val="en-US"/>
        </w:rPr>
        <w:t xml:space="preserve">, </w:t>
      </w:r>
      <w:r w:rsidR="003B6C71" w:rsidRPr="003B6C71">
        <w:rPr>
          <w:lang w:val="en-US"/>
        </w:rPr>
        <w:t>Centre for Research on Energy and Clean Air</w:t>
      </w:r>
      <w:r w:rsidR="004A57BE">
        <w:rPr>
          <w:lang w:val="en-US"/>
        </w:rPr>
        <w:t>, October 8.</w:t>
      </w:r>
    </w:p>
  </w:footnote>
  <w:footnote w:id="18">
    <w:p w14:paraId="165797AC" w14:textId="07BC117F" w:rsidR="00B2008F" w:rsidRPr="00B2008F" w:rsidRDefault="00B2008F" w:rsidP="00B2008F">
      <w:pPr>
        <w:pStyle w:val="Voetnoottekst"/>
        <w:rPr>
          <w:lang w:val="en-US"/>
        </w:rPr>
      </w:pPr>
      <w:r>
        <w:rPr>
          <w:rStyle w:val="Voetnootmarkering"/>
        </w:rPr>
        <w:footnoteRef/>
      </w:r>
      <w:r w:rsidRPr="00B2008F">
        <w:rPr>
          <w:lang w:val="en-US"/>
        </w:rPr>
        <w:t xml:space="preserve"> Gould</w:t>
      </w:r>
      <w:r w:rsidR="005E64E2">
        <w:rPr>
          <w:lang w:val="en-US"/>
        </w:rPr>
        <w:t xml:space="preserve"> (</w:t>
      </w:r>
      <w:r w:rsidRPr="00B2008F">
        <w:rPr>
          <w:lang w:val="en-US"/>
        </w:rPr>
        <w:t>2021</w:t>
      </w:r>
      <w:r w:rsidR="005E64E2">
        <w:rPr>
          <w:lang w:val="en-US"/>
        </w:rPr>
        <w:t xml:space="preserve">) </w:t>
      </w:r>
      <w:hyperlink r:id="rId13" w:history="1">
        <w:r w:rsidR="00176C0C" w:rsidRPr="00176C0C">
          <w:rPr>
            <w:rStyle w:val="Hyperlink"/>
            <w:lang w:val="en-US"/>
          </w:rPr>
          <w:t>Written Testimony</w:t>
        </w:r>
      </w:hyperlink>
      <w:r w:rsidR="00176C0C">
        <w:rPr>
          <w:lang w:val="en-US"/>
        </w:rPr>
        <w:t xml:space="preserve"> </w:t>
      </w:r>
      <w:r w:rsidR="00E36854" w:rsidRPr="00B2008F">
        <w:rPr>
          <w:lang w:val="en-US"/>
        </w:rPr>
        <w:t>Causes, outlook, and implications of domestic and international energy price trends</w:t>
      </w:r>
      <w:r w:rsidR="00E36854">
        <w:rPr>
          <w:lang w:val="en-US"/>
        </w:rPr>
        <w:t>,</w:t>
      </w:r>
      <w:r w:rsidR="00E36854" w:rsidRPr="00B2008F">
        <w:rPr>
          <w:lang w:val="en-US"/>
        </w:rPr>
        <w:t xml:space="preserve"> </w:t>
      </w:r>
      <w:r w:rsidR="005E64E2" w:rsidRPr="00B2008F">
        <w:rPr>
          <w:lang w:val="en-US"/>
        </w:rPr>
        <w:t>Hearing of the U.S. Senate Energy and Natural Resources Committee</w:t>
      </w:r>
      <w:r w:rsidR="00176C0C">
        <w:rPr>
          <w:lang w:val="en-US"/>
        </w:rPr>
        <w:t xml:space="preserve">, </w:t>
      </w:r>
      <w:r w:rsidR="00176C0C" w:rsidRPr="00B2008F">
        <w:rPr>
          <w:lang w:val="en-US"/>
        </w:rPr>
        <w:t>I</w:t>
      </w:r>
      <w:r w:rsidR="00E472DE">
        <w:rPr>
          <w:lang w:val="en-US"/>
        </w:rPr>
        <w:t>EA</w:t>
      </w:r>
      <w:r w:rsidR="00176C0C">
        <w:rPr>
          <w:lang w:val="en-US"/>
        </w:rPr>
        <w:t>.</w:t>
      </w:r>
    </w:p>
  </w:footnote>
  <w:footnote w:id="19">
    <w:p w14:paraId="282008BD" w14:textId="77777777" w:rsidR="004B585F" w:rsidRPr="00A05601" w:rsidRDefault="004B585F" w:rsidP="004B585F">
      <w:pPr>
        <w:pStyle w:val="Voetnoottekst"/>
        <w:rPr>
          <w:lang w:val="en-US"/>
        </w:rPr>
      </w:pPr>
      <w:r>
        <w:rPr>
          <w:rStyle w:val="Voetnootmarkering"/>
        </w:rPr>
        <w:footnoteRef/>
      </w:r>
      <w:r w:rsidRPr="00A05601">
        <w:rPr>
          <w:lang w:val="en-US"/>
        </w:rPr>
        <w:t xml:space="preserve"> Cerra, Lama </w:t>
      </w:r>
      <w:r>
        <w:rPr>
          <w:lang w:val="en-US"/>
        </w:rPr>
        <w:t xml:space="preserve">en </w:t>
      </w:r>
      <w:r w:rsidRPr="00A05601">
        <w:rPr>
          <w:lang w:val="en-US"/>
        </w:rPr>
        <w:t>Loayza</w:t>
      </w:r>
      <w:r>
        <w:rPr>
          <w:lang w:val="en-US"/>
        </w:rPr>
        <w:t xml:space="preserve"> (2021) </w:t>
      </w:r>
      <w:r w:rsidRPr="00A05601">
        <w:rPr>
          <w:lang w:val="en-US"/>
        </w:rPr>
        <w:t>Links Between Growth, Inequality, and Poverty: A Survey</w:t>
      </w:r>
      <w:r>
        <w:rPr>
          <w:lang w:val="en-US"/>
        </w:rPr>
        <w:t>, IMF Working Paper.</w:t>
      </w:r>
    </w:p>
  </w:footnote>
  <w:footnote w:id="20">
    <w:p w14:paraId="6FFC1060" w14:textId="4C6F30CD" w:rsidR="004B585F" w:rsidRPr="001B7730" w:rsidRDefault="004B585F" w:rsidP="004B585F">
      <w:pPr>
        <w:pStyle w:val="Voetnoottekst"/>
        <w:rPr>
          <w:lang w:val="en-US"/>
        </w:rPr>
      </w:pPr>
      <w:r>
        <w:rPr>
          <w:rStyle w:val="Voetnootmarkering"/>
        </w:rPr>
        <w:footnoteRef/>
      </w:r>
      <w:r w:rsidRPr="003642DE">
        <w:t xml:space="preserve"> </w:t>
      </w:r>
      <w:r>
        <w:t xml:space="preserve">Zo zijn in de VS </w:t>
      </w:r>
      <w:r w:rsidRPr="003642DE">
        <w:t xml:space="preserve">de marges </w:t>
      </w:r>
      <w:r w:rsidR="00466044" w:rsidRPr="003642DE">
        <w:t xml:space="preserve">boven de marginale kosten </w:t>
      </w:r>
      <w:r>
        <w:t xml:space="preserve">gestegen </w:t>
      </w:r>
      <w:r w:rsidRPr="003642DE">
        <w:t xml:space="preserve">van 21% </w:t>
      </w:r>
      <w:r w:rsidR="00E56BB0">
        <w:t xml:space="preserve">in 1980 </w:t>
      </w:r>
      <w:r w:rsidRPr="003642DE">
        <w:t xml:space="preserve">tot </w:t>
      </w:r>
      <w:r w:rsidR="00E56BB0">
        <w:t xml:space="preserve">nu </w:t>
      </w:r>
      <w:r w:rsidRPr="003642DE">
        <w:t xml:space="preserve">61%. </w:t>
      </w:r>
      <w:r w:rsidR="00576FF3">
        <w:t>Dit komt v</w:t>
      </w:r>
      <w:r>
        <w:t xml:space="preserve">ooral vanwege hogere marges bij een klein aantal </w:t>
      </w:r>
      <w:r w:rsidR="00576FF3">
        <w:t xml:space="preserve">zeer grote </w:t>
      </w:r>
      <w:r>
        <w:t>bedrijven</w:t>
      </w:r>
      <w:r w:rsidRPr="003642DE">
        <w:t xml:space="preserve">. </w:t>
      </w:r>
      <w:r w:rsidRPr="003E7076">
        <w:rPr>
          <w:lang w:val="en-US"/>
        </w:rPr>
        <w:t xml:space="preserve">Het gemiddelde winstpercentage steeg van 1% naar 8%. </w:t>
      </w:r>
      <w:r w:rsidRPr="001B7730">
        <w:rPr>
          <w:lang w:val="en-US"/>
        </w:rPr>
        <w:t>Zie: De Loecker, Eeckhout</w:t>
      </w:r>
      <w:r>
        <w:rPr>
          <w:lang w:val="en-US"/>
        </w:rPr>
        <w:t xml:space="preserve"> en </w:t>
      </w:r>
      <w:r w:rsidRPr="001B7730">
        <w:rPr>
          <w:lang w:val="en-US"/>
        </w:rPr>
        <w:t>Unger (2020) The Rise of Market Power and the Macroeconomic Implications, The Quarterly Journal of Economics, Volume 135, Issue 2, May 2020, Pages 561–644.</w:t>
      </w:r>
    </w:p>
  </w:footnote>
  <w:footnote w:id="21">
    <w:p w14:paraId="340D2B49" w14:textId="77777777" w:rsidR="004B585F" w:rsidRPr="006272ED" w:rsidRDefault="004B585F" w:rsidP="004B585F">
      <w:pPr>
        <w:pStyle w:val="Voetnoottekst"/>
        <w:rPr>
          <w:lang w:val="en-US"/>
        </w:rPr>
      </w:pPr>
      <w:r>
        <w:rPr>
          <w:rStyle w:val="Voetnootmarkering"/>
        </w:rPr>
        <w:footnoteRef/>
      </w:r>
      <w:r w:rsidRPr="006272ED">
        <w:rPr>
          <w:lang w:val="en-US"/>
        </w:rPr>
        <w:t xml:space="preserve"> </w:t>
      </w:r>
      <w:r>
        <w:rPr>
          <w:lang w:val="en-US"/>
        </w:rPr>
        <w:t xml:space="preserve">Goodhart en Pradhan (2020) </w:t>
      </w:r>
      <w:r w:rsidRPr="006272ED">
        <w:rPr>
          <w:lang w:val="en-US"/>
        </w:rPr>
        <w:t>The Great Demographic Reversal: Ageing Societies, Waning Inequality, and an Inflation Revival</w:t>
      </w:r>
      <w:r>
        <w:rPr>
          <w:lang w:val="en-US"/>
        </w:rPr>
        <w:t>.</w:t>
      </w:r>
    </w:p>
  </w:footnote>
  <w:footnote w:id="22">
    <w:p w14:paraId="1DAF7CFF" w14:textId="122CE6DA" w:rsidR="00F16CFD" w:rsidRPr="00F16CFD" w:rsidRDefault="00F16CFD">
      <w:pPr>
        <w:pStyle w:val="Voetnoottekst"/>
      </w:pPr>
      <w:r>
        <w:rPr>
          <w:rStyle w:val="Voetnootmarkering"/>
        </w:rPr>
        <w:footnoteRef/>
      </w:r>
      <w:r>
        <w:t xml:space="preserve"> </w:t>
      </w:r>
      <w:r w:rsidR="00B67A5C">
        <w:t xml:space="preserve">In </w:t>
      </w:r>
      <w:r w:rsidRPr="00F16CFD">
        <w:t xml:space="preserve">december 2019 </w:t>
      </w:r>
      <w:r w:rsidR="00B67A5C">
        <w:t xml:space="preserve">was </w:t>
      </w:r>
      <w:r w:rsidRPr="00F16CFD">
        <w:t>de inflatie 0,4% in Portugal, 0,5% in Italië en 0,8% in Spanje versus 2.8% in Nederland (</w:t>
      </w:r>
      <w:hyperlink r:id="rId14" w:history="1">
        <w:r w:rsidRPr="00520148">
          <w:rPr>
            <w:rStyle w:val="Hyperlink"/>
          </w:rPr>
          <w:t>Eurostat</w:t>
        </w:r>
      </w:hyperlink>
      <w:r w:rsidRPr="00F16CFD">
        <w:t xml:space="preserve"> 2020)</w:t>
      </w:r>
      <w:r w:rsidR="00D1799B">
        <w:t>.</w:t>
      </w:r>
      <w:r w:rsidRPr="00F16CFD">
        <w:t xml:space="preserve"> </w:t>
      </w:r>
    </w:p>
  </w:footnote>
  <w:footnote w:id="23">
    <w:p w14:paraId="2481EA4E" w14:textId="3D3F55D3" w:rsidR="00FD56AF" w:rsidRPr="00FD56AF" w:rsidRDefault="00FD56AF">
      <w:pPr>
        <w:pStyle w:val="Voetnoottekst"/>
      </w:pPr>
      <w:r>
        <w:rPr>
          <w:rStyle w:val="Voetnootmarkering"/>
        </w:rPr>
        <w:footnoteRef/>
      </w:r>
      <w:r>
        <w:t xml:space="preserve"> </w:t>
      </w:r>
      <w:r w:rsidRPr="00FD56AF">
        <w:t>De staatsschuld is namelijk vooral hoog in het Zuiden</w:t>
      </w:r>
      <w:r w:rsidR="00A60995">
        <w:t xml:space="preserve"> (</w:t>
      </w:r>
      <w:r w:rsidRPr="00FD56AF">
        <w:t>Frankrijk (118%), Spanje (120%), Portugal (135%), Italië (155%) en Griekenland (206%)</w:t>
      </w:r>
      <w:r w:rsidR="00A60995">
        <w:t>)</w:t>
      </w:r>
      <w:r w:rsidRPr="00FD56AF">
        <w:t xml:space="preserve">. Nederland </w:t>
      </w:r>
      <w:r w:rsidR="00A60995">
        <w:t xml:space="preserve">is </w:t>
      </w:r>
      <w:r w:rsidRPr="00FD56AF">
        <w:t>kwetsbaar vanwege de hoge private (hypotheek)schulden.</w:t>
      </w:r>
    </w:p>
  </w:footnote>
  <w:footnote w:id="24">
    <w:p w14:paraId="41B62302" w14:textId="37FBB285" w:rsidR="00E4045E" w:rsidRPr="00E4045E" w:rsidRDefault="00E4045E">
      <w:pPr>
        <w:pStyle w:val="Voetnoottekst"/>
      </w:pPr>
      <w:r>
        <w:rPr>
          <w:rStyle w:val="Voetnootmarkering"/>
        </w:rPr>
        <w:footnoteRef/>
      </w:r>
      <w:r>
        <w:t xml:space="preserve"> </w:t>
      </w:r>
      <w:r w:rsidRPr="00E4045E">
        <w:t>C</w:t>
      </w:r>
      <w:r>
        <w:t xml:space="preserve">PB (2022) </w:t>
      </w:r>
      <w:r w:rsidR="00532384">
        <w:t>Analyse coalitieakkoord 2022-2025</w:t>
      </w:r>
      <w:r w:rsidR="00035F8C">
        <w:t>.</w:t>
      </w:r>
    </w:p>
  </w:footnote>
  <w:footnote w:id="25">
    <w:p w14:paraId="627B1C55" w14:textId="490E5B61" w:rsidR="008F6376" w:rsidRPr="008F6376" w:rsidRDefault="008F6376">
      <w:pPr>
        <w:pStyle w:val="Voetnoottekst"/>
        <w:rPr>
          <w:lang w:val="en-US"/>
        </w:rPr>
      </w:pPr>
      <w:r>
        <w:rPr>
          <w:rStyle w:val="Voetnootmarkering"/>
        </w:rPr>
        <w:footnoteRef/>
      </w:r>
      <w:r w:rsidRPr="00FD56AF">
        <w:t xml:space="preserve"> Blanchard, Dell’Ariccia </w:t>
      </w:r>
      <w:r w:rsidR="00255C3B" w:rsidRPr="00FD56AF">
        <w:t xml:space="preserve">en </w:t>
      </w:r>
      <w:r w:rsidRPr="00FD56AF">
        <w:t xml:space="preserve">Mauro (2010). </w:t>
      </w:r>
      <w:r w:rsidRPr="00255C3B">
        <w:rPr>
          <w:lang w:val="en-US"/>
        </w:rPr>
        <w:t>“</w:t>
      </w:r>
      <w:hyperlink r:id="rId15" w:tgtFrame="_blank" w:history="1">
        <w:r w:rsidRPr="00255C3B">
          <w:rPr>
            <w:rStyle w:val="Hyperlink"/>
            <w:lang w:val="en-US"/>
          </w:rPr>
          <w:t>Rethinking Macroeconomic Policy</w:t>
        </w:r>
      </w:hyperlink>
      <w:r w:rsidRPr="00255C3B">
        <w:rPr>
          <w:lang w:val="en-US"/>
        </w:rPr>
        <w:t>”, IMF Staff Position Note, SPN/10/03, 12 February 12.</w:t>
      </w:r>
    </w:p>
  </w:footnote>
  <w:footnote w:id="26">
    <w:p w14:paraId="3C662C5D" w14:textId="61032386" w:rsidR="00CB2E9B" w:rsidRPr="0039641C" w:rsidRDefault="00CB2E9B">
      <w:pPr>
        <w:pStyle w:val="Voetnoottekst"/>
      </w:pPr>
      <w:r>
        <w:rPr>
          <w:rStyle w:val="Voetnootmarkering"/>
        </w:rPr>
        <w:footnoteRef/>
      </w:r>
      <w:r>
        <w:t xml:space="preserve"> </w:t>
      </w:r>
      <w:r w:rsidR="0039641C" w:rsidRPr="0039641C">
        <w:t xml:space="preserve">Sanders (2021) </w:t>
      </w:r>
      <w:hyperlink r:id="rId16" w:history="1">
        <w:r w:rsidR="0039641C" w:rsidRPr="00255C3B">
          <w:rPr>
            <w:rStyle w:val="Hyperlink"/>
          </w:rPr>
          <w:t>Hogere inflatie is goed</w:t>
        </w:r>
      </w:hyperlink>
      <w:r w:rsidR="0039641C" w:rsidRPr="0039641C">
        <w:t xml:space="preserve"> v</w:t>
      </w:r>
      <w:r w:rsidR="0039641C">
        <w:t>oor de energietransitie, Het Financieele Dagblad, 9 september.</w:t>
      </w:r>
    </w:p>
  </w:footnote>
  <w:footnote w:id="27">
    <w:p w14:paraId="25F6B529" w14:textId="5C3B93B0" w:rsidR="001712C9" w:rsidRPr="000C29B8" w:rsidRDefault="001712C9">
      <w:pPr>
        <w:pStyle w:val="Voetnoottekst"/>
      </w:pPr>
      <w:r>
        <w:rPr>
          <w:rStyle w:val="Voetnootmarkering"/>
        </w:rPr>
        <w:footnoteRef/>
      </w:r>
      <w:r w:rsidRPr="000C29B8">
        <w:t xml:space="preserve"> </w:t>
      </w:r>
      <w:r w:rsidR="002B7855" w:rsidRPr="000C29B8">
        <w:t xml:space="preserve">De </w:t>
      </w:r>
      <w:hyperlink r:id="rId17" w:history="1">
        <w:r w:rsidRPr="000C29B8">
          <w:rPr>
            <w:rStyle w:val="Hyperlink"/>
          </w:rPr>
          <w:t>Eerlijke Klimaat Agenda</w:t>
        </w:r>
      </w:hyperlink>
      <w:r w:rsidR="00190CB1" w:rsidRPr="000C29B8">
        <w:t xml:space="preserve"> (2021) </w:t>
      </w:r>
      <w:r w:rsidR="004F567E">
        <w:t>Scholingsplan.</w:t>
      </w:r>
    </w:p>
  </w:footnote>
  <w:footnote w:id="28">
    <w:p w14:paraId="7A1F682E" w14:textId="130E411E" w:rsidR="000C29B8" w:rsidRPr="000C29B8" w:rsidRDefault="000C29B8">
      <w:pPr>
        <w:pStyle w:val="Voetnoottekst"/>
      </w:pPr>
      <w:r>
        <w:rPr>
          <w:rStyle w:val="Voetnootmarkering"/>
        </w:rPr>
        <w:footnoteRef/>
      </w:r>
      <w:r>
        <w:t xml:space="preserve"> </w:t>
      </w:r>
      <w:r w:rsidRPr="000C29B8">
        <w:t xml:space="preserve">De </w:t>
      </w:r>
      <w:hyperlink r:id="rId18" w:history="1">
        <w:r w:rsidRPr="000C29B8">
          <w:rPr>
            <w:rStyle w:val="Hyperlink"/>
          </w:rPr>
          <w:t>Eerlijke Klimaat Agenda</w:t>
        </w:r>
      </w:hyperlink>
      <w:r w:rsidRPr="000C29B8">
        <w:t xml:space="preserve"> (2021)</w:t>
      </w:r>
      <w:r w:rsidR="004F567E">
        <w:t xml:space="preserve"> Renovatiegolf.</w:t>
      </w:r>
    </w:p>
  </w:footnote>
  <w:footnote w:id="29">
    <w:p w14:paraId="1A978EE3" w14:textId="71725AD8" w:rsidR="0027098E" w:rsidRPr="004F567E" w:rsidRDefault="0027098E">
      <w:pPr>
        <w:pStyle w:val="Voetnoottekst"/>
        <w:rPr>
          <w:lang w:val="en-US"/>
        </w:rPr>
      </w:pPr>
      <w:r>
        <w:rPr>
          <w:rStyle w:val="Voetnootmarkering"/>
        </w:rPr>
        <w:footnoteRef/>
      </w:r>
      <w:r w:rsidRPr="004F567E">
        <w:rPr>
          <w:lang w:val="en-US"/>
        </w:rPr>
        <w:t xml:space="preserve"> SFL</w:t>
      </w:r>
      <w:r w:rsidR="00670D69" w:rsidRPr="004F567E">
        <w:rPr>
          <w:lang w:val="en-US"/>
        </w:rPr>
        <w:t xml:space="preserve"> (2021) </w:t>
      </w:r>
      <w:hyperlink r:id="rId19" w:history="1">
        <w:r w:rsidRPr="00737D09">
          <w:rPr>
            <w:rStyle w:val="Hyperlink"/>
            <w:lang w:val="en-US"/>
          </w:rPr>
          <w:t>EC consultati</w:t>
        </w:r>
        <w:r w:rsidR="00BD7BF4" w:rsidRPr="00737D09">
          <w:rPr>
            <w:rStyle w:val="Hyperlink"/>
            <w:lang w:val="en-US"/>
          </w:rPr>
          <w:t>on</w:t>
        </w:r>
      </w:hyperlink>
      <w:r w:rsidRPr="004F567E">
        <w:rPr>
          <w:lang w:val="en-US"/>
        </w:rPr>
        <w:t xml:space="preserve"> economic governance reform</w:t>
      </w:r>
      <w:r w:rsidR="001975D9">
        <w:rPr>
          <w:lang w:val="en-US"/>
        </w:rPr>
        <w:t>.</w:t>
      </w:r>
    </w:p>
  </w:footnote>
  <w:footnote w:id="30">
    <w:p w14:paraId="0E77F577" w14:textId="100D6791" w:rsidR="00F330BE" w:rsidRPr="005F1929" w:rsidRDefault="00F330BE">
      <w:pPr>
        <w:pStyle w:val="Voetnoottekst"/>
        <w:rPr>
          <w:lang w:val="en-US"/>
        </w:rPr>
      </w:pPr>
      <w:r>
        <w:rPr>
          <w:rStyle w:val="Voetnootmarkering"/>
        </w:rPr>
        <w:footnoteRef/>
      </w:r>
      <w:r w:rsidRPr="005F1929">
        <w:rPr>
          <w:lang w:val="en-US"/>
        </w:rPr>
        <w:t xml:space="preserve"> </w:t>
      </w:r>
      <w:r w:rsidR="005F1929">
        <w:rPr>
          <w:lang w:val="en-US"/>
        </w:rPr>
        <w:t xml:space="preserve">Economist letter (2021) </w:t>
      </w:r>
      <w:hyperlink r:id="rId20" w:history="1">
        <w:r w:rsidR="005F1929" w:rsidRPr="00C86CDF">
          <w:rPr>
            <w:rStyle w:val="Hyperlink"/>
            <w:lang w:val="en-US"/>
          </w:rPr>
          <w:t>Cancel the public debt</w:t>
        </w:r>
      </w:hyperlink>
      <w:r w:rsidR="005F1929" w:rsidRPr="005F1929">
        <w:rPr>
          <w:lang w:val="en-US"/>
        </w:rPr>
        <w:t xml:space="preserve"> held by the ECB and ‘take back control’ of our destiny</w:t>
      </w:r>
      <w:r w:rsidR="005F1929">
        <w:rPr>
          <w:lang w:val="en-US"/>
        </w:rPr>
        <w:t>, Euractiv</w:t>
      </w:r>
      <w:r w:rsidR="001975D9">
        <w:rPr>
          <w:lang w:val="en-US"/>
        </w:rPr>
        <w:t>.</w:t>
      </w:r>
    </w:p>
  </w:footnote>
  <w:footnote w:id="31">
    <w:p w14:paraId="70FDD899" w14:textId="6D4ACE6F" w:rsidR="009850A9" w:rsidRPr="00F823B6" w:rsidRDefault="009850A9">
      <w:pPr>
        <w:pStyle w:val="Voetnoottekst"/>
      </w:pPr>
      <w:r>
        <w:rPr>
          <w:rStyle w:val="Voetnootmarkering"/>
        </w:rPr>
        <w:footnoteRef/>
      </w:r>
      <w:r w:rsidRPr="00F823B6">
        <w:t xml:space="preserve"> Zie</w:t>
      </w:r>
      <w:r w:rsidR="00F823B6" w:rsidRPr="00F823B6">
        <w:t xml:space="preserve"> interview met DNB-president Klaas Knot (</w:t>
      </w:r>
      <w:r w:rsidRPr="00F823B6">
        <w:t>Trouw</w:t>
      </w:r>
      <w:r w:rsidR="00F823B6" w:rsidRPr="00F823B6">
        <w:t>, 31 decem</w:t>
      </w:r>
      <w:r w:rsidR="00F823B6">
        <w:t>ber 2021)</w:t>
      </w:r>
      <w:r w:rsidR="001975D9">
        <w:t>.</w:t>
      </w:r>
      <w:r w:rsidRPr="00F823B6">
        <w:t xml:space="preserve"> </w:t>
      </w:r>
    </w:p>
  </w:footnote>
  <w:footnote w:id="32">
    <w:p w14:paraId="1F939CF5" w14:textId="36021790" w:rsidR="00184986" w:rsidRPr="00184986" w:rsidRDefault="00184986">
      <w:pPr>
        <w:pStyle w:val="Voetnoottekst"/>
        <w:rPr>
          <w:lang w:val="en-US"/>
        </w:rPr>
      </w:pPr>
      <w:r>
        <w:rPr>
          <w:rStyle w:val="Voetnootmarkering"/>
        </w:rPr>
        <w:footnoteRef/>
      </w:r>
      <w:r w:rsidRPr="00184986">
        <w:rPr>
          <w:lang w:val="en-US"/>
        </w:rPr>
        <w:t xml:space="preserve"> Jan Eeckhout in The Profit Paradox. How Thriving Firms Threaten the Future of Work</w:t>
      </w:r>
      <w:r w:rsidR="00A43984">
        <w:rPr>
          <w:lang w:val="en-US"/>
        </w:rPr>
        <w:t>.</w:t>
      </w:r>
    </w:p>
  </w:footnote>
  <w:footnote w:id="33">
    <w:p w14:paraId="3C1FF833" w14:textId="5A19A1A2" w:rsidR="00427467" w:rsidRPr="00427467" w:rsidRDefault="00427467">
      <w:pPr>
        <w:pStyle w:val="Voetnoottekst"/>
        <w:rPr>
          <w:lang w:val="en-US"/>
        </w:rPr>
      </w:pPr>
      <w:r>
        <w:rPr>
          <w:rStyle w:val="Voetnootmarkering"/>
        </w:rPr>
        <w:footnoteRef/>
      </w:r>
      <w:r w:rsidRPr="00427467">
        <w:rPr>
          <w:lang w:val="en-US"/>
        </w:rPr>
        <w:t xml:space="preserve"> Isabella Weber (2021) </w:t>
      </w:r>
      <w:hyperlink r:id="rId21" w:history="1">
        <w:r w:rsidRPr="00427467">
          <w:rPr>
            <w:rStyle w:val="Hyperlink"/>
            <w:lang w:val="en-US"/>
          </w:rPr>
          <w:t>Could strategic price controls help fight inflation</w:t>
        </w:r>
      </w:hyperlink>
      <w:r w:rsidRPr="00427467">
        <w:rPr>
          <w:lang w:val="en-US"/>
        </w:rPr>
        <w:t>?, Guardian, Opinion, Dec 29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C9F"/>
    <w:multiLevelType w:val="hybridMultilevel"/>
    <w:tmpl w:val="9B464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3344B9"/>
    <w:multiLevelType w:val="hybridMultilevel"/>
    <w:tmpl w:val="489E4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881F6F"/>
    <w:multiLevelType w:val="hybridMultilevel"/>
    <w:tmpl w:val="3D14A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08367F"/>
    <w:multiLevelType w:val="hybridMultilevel"/>
    <w:tmpl w:val="E206A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3E4871"/>
    <w:multiLevelType w:val="hybridMultilevel"/>
    <w:tmpl w:val="2D9C2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7A0FE9"/>
    <w:multiLevelType w:val="hybridMultilevel"/>
    <w:tmpl w:val="166A4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281E73"/>
    <w:multiLevelType w:val="hybridMultilevel"/>
    <w:tmpl w:val="C5C8F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1C"/>
    <w:rsid w:val="000009B0"/>
    <w:rsid w:val="000013F8"/>
    <w:rsid w:val="00001726"/>
    <w:rsid w:val="00003043"/>
    <w:rsid w:val="0000355F"/>
    <w:rsid w:val="0000572F"/>
    <w:rsid w:val="00010D01"/>
    <w:rsid w:val="0001118D"/>
    <w:rsid w:val="00013D0C"/>
    <w:rsid w:val="00027167"/>
    <w:rsid w:val="0003052D"/>
    <w:rsid w:val="00031E3E"/>
    <w:rsid w:val="000321A7"/>
    <w:rsid w:val="00035822"/>
    <w:rsid w:val="00035F8C"/>
    <w:rsid w:val="00036050"/>
    <w:rsid w:val="00044EE6"/>
    <w:rsid w:val="00050ECF"/>
    <w:rsid w:val="00064DED"/>
    <w:rsid w:val="00067C19"/>
    <w:rsid w:val="0007008E"/>
    <w:rsid w:val="0007241E"/>
    <w:rsid w:val="000724EF"/>
    <w:rsid w:val="00072B5B"/>
    <w:rsid w:val="0008244D"/>
    <w:rsid w:val="00083501"/>
    <w:rsid w:val="00084336"/>
    <w:rsid w:val="0008480A"/>
    <w:rsid w:val="00084D94"/>
    <w:rsid w:val="00090758"/>
    <w:rsid w:val="00091E99"/>
    <w:rsid w:val="00093918"/>
    <w:rsid w:val="00093F86"/>
    <w:rsid w:val="00096DC6"/>
    <w:rsid w:val="000A1B2B"/>
    <w:rsid w:val="000A230B"/>
    <w:rsid w:val="000A6B79"/>
    <w:rsid w:val="000B3D22"/>
    <w:rsid w:val="000B4EF4"/>
    <w:rsid w:val="000C29B8"/>
    <w:rsid w:val="000C5701"/>
    <w:rsid w:val="000C5910"/>
    <w:rsid w:val="000C597A"/>
    <w:rsid w:val="000C638E"/>
    <w:rsid w:val="000C7B8E"/>
    <w:rsid w:val="000D2BFE"/>
    <w:rsid w:val="000D3A43"/>
    <w:rsid w:val="000E0438"/>
    <w:rsid w:val="000E58E0"/>
    <w:rsid w:val="000E61E1"/>
    <w:rsid w:val="000F2E57"/>
    <w:rsid w:val="000F6246"/>
    <w:rsid w:val="000F69FF"/>
    <w:rsid w:val="000F731F"/>
    <w:rsid w:val="00102836"/>
    <w:rsid w:val="00103648"/>
    <w:rsid w:val="001131E0"/>
    <w:rsid w:val="00113660"/>
    <w:rsid w:val="0011405C"/>
    <w:rsid w:val="00117533"/>
    <w:rsid w:val="001177BA"/>
    <w:rsid w:val="001200A0"/>
    <w:rsid w:val="001210DE"/>
    <w:rsid w:val="001279B2"/>
    <w:rsid w:val="00130475"/>
    <w:rsid w:val="001308B1"/>
    <w:rsid w:val="001330FA"/>
    <w:rsid w:val="001377BE"/>
    <w:rsid w:val="00143958"/>
    <w:rsid w:val="0015135C"/>
    <w:rsid w:val="00152F1D"/>
    <w:rsid w:val="00153093"/>
    <w:rsid w:val="001546D7"/>
    <w:rsid w:val="00160956"/>
    <w:rsid w:val="00166157"/>
    <w:rsid w:val="001663BF"/>
    <w:rsid w:val="00166580"/>
    <w:rsid w:val="00170344"/>
    <w:rsid w:val="001712C9"/>
    <w:rsid w:val="00176C0C"/>
    <w:rsid w:val="00180553"/>
    <w:rsid w:val="0018486A"/>
    <w:rsid w:val="00184986"/>
    <w:rsid w:val="00185F10"/>
    <w:rsid w:val="001873BF"/>
    <w:rsid w:val="00190CB1"/>
    <w:rsid w:val="0019380C"/>
    <w:rsid w:val="0019623B"/>
    <w:rsid w:val="001975D9"/>
    <w:rsid w:val="001A2D83"/>
    <w:rsid w:val="001A3914"/>
    <w:rsid w:val="001A534B"/>
    <w:rsid w:val="001A5808"/>
    <w:rsid w:val="001A5F29"/>
    <w:rsid w:val="001A622E"/>
    <w:rsid w:val="001A7022"/>
    <w:rsid w:val="001A7675"/>
    <w:rsid w:val="001B1B32"/>
    <w:rsid w:val="001B2D96"/>
    <w:rsid w:val="001B32F2"/>
    <w:rsid w:val="001B5F37"/>
    <w:rsid w:val="001B6485"/>
    <w:rsid w:val="001B7581"/>
    <w:rsid w:val="001B7730"/>
    <w:rsid w:val="001C2CB8"/>
    <w:rsid w:val="001C4F50"/>
    <w:rsid w:val="001C72F2"/>
    <w:rsid w:val="001C7BAD"/>
    <w:rsid w:val="001D4027"/>
    <w:rsid w:val="001D5161"/>
    <w:rsid w:val="001D7665"/>
    <w:rsid w:val="001D7675"/>
    <w:rsid w:val="001E06FB"/>
    <w:rsid w:val="001E1C22"/>
    <w:rsid w:val="001E20A1"/>
    <w:rsid w:val="001E6ECF"/>
    <w:rsid w:val="001E7E24"/>
    <w:rsid w:val="001F0CE8"/>
    <w:rsid w:val="001F12B0"/>
    <w:rsid w:val="001F5C29"/>
    <w:rsid w:val="001F7169"/>
    <w:rsid w:val="002003ED"/>
    <w:rsid w:val="0020598A"/>
    <w:rsid w:val="00207A25"/>
    <w:rsid w:val="0022369B"/>
    <w:rsid w:val="00223D30"/>
    <w:rsid w:val="00226F24"/>
    <w:rsid w:val="002275CD"/>
    <w:rsid w:val="00227CB6"/>
    <w:rsid w:val="00230231"/>
    <w:rsid w:val="002315A5"/>
    <w:rsid w:val="002338BD"/>
    <w:rsid w:val="002444A9"/>
    <w:rsid w:val="002506D9"/>
    <w:rsid w:val="002544AE"/>
    <w:rsid w:val="00255C3B"/>
    <w:rsid w:val="00256CF8"/>
    <w:rsid w:val="00257127"/>
    <w:rsid w:val="00257790"/>
    <w:rsid w:val="00261314"/>
    <w:rsid w:val="00263890"/>
    <w:rsid w:val="0027098E"/>
    <w:rsid w:val="002732A2"/>
    <w:rsid w:val="0027508E"/>
    <w:rsid w:val="002821CE"/>
    <w:rsid w:val="002824D6"/>
    <w:rsid w:val="00282BD7"/>
    <w:rsid w:val="002859D9"/>
    <w:rsid w:val="00287242"/>
    <w:rsid w:val="00293DD5"/>
    <w:rsid w:val="002944F8"/>
    <w:rsid w:val="002B3D47"/>
    <w:rsid w:val="002B7855"/>
    <w:rsid w:val="002C2C78"/>
    <w:rsid w:val="002D0149"/>
    <w:rsid w:val="002D2B4B"/>
    <w:rsid w:val="002D3B60"/>
    <w:rsid w:val="002D42D2"/>
    <w:rsid w:val="002E02EF"/>
    <w:rsid w:val="002E2F2D"/>
    <w:rsid w:val="002E6F48"/>
    <w:rsid w:val="002E7B47"/>
    <w:rsid w:val="002F150F"/>
    <w:rsid w:val="002F6BD3"/>
    <w:rsid w:val="002F7CB3"/>
    <w:rsid w:val="002F7CFF"/>
    <w:rsid w:val="00302D7B"/>
    <w:rsid w:val="003033EE"/>
    <w:rsid w:val="003069F6"/>
    <w:rsid w:val="0032124F"/>
    <w:rsid w:val="003240C0"/>
    <w:rsid w:val="00324EDB"/>
    <w:rsid w:val="00326517"/>
    <w:rsid w:val="00326B30"/>
    <w:rsid w:val="00326DD6"/>
    <w:rsid w:val="00331271"/>
    <w:rsid w:val="0033536B"/>
    <w:rsid w:val="00340EB8"/>
    <w:rsid w:val="00341990"/>
    <w:rsid w:val="0034505F"/>
    <w:rsid w:val="00350144"/>
    <w:rsid w:val="00350D93"/>
    <w:rsid w:val="003528B7"/>
    <w:rsid w:val="00354286"/>
    <w:rsid w:val="00355B21"/>
    <w:rsid w:val="00357EB4"/>
    <w:rsid w:val="00360615"/>
    <w:rsid w:val="003623D3"/>
    <w:rsid w:val="003634F4"/>
    <w:rsid w:val="003642DE"/>
    <w:rsid w:val="00364963"/>
    <w:rsid w:val="00365BDE"/>
    <w:rsid w:val="003705E8"/>
    <w:rsid w:val="00370EE5"/>
    <w:rsid w:val="00375CAF"/>
    <w:rsid w:val="00380413"/>
    <w:rsid w:val="00381031"/>
    <w:rsid w:val="0039089B"/>
    <w:rsid w:val="00391CDF"/>
    <w:rsid w:val="003934D8"/>
    <w:rsid w:val="0039641C"/>
    <w:rsid w:val="003978D4"/>
    <w:rsid w:val="003A25B8"/>
    <w:rsid w:val="003A3C36"/>
    <w:rsid w:val="003A4FEB"/>
    <w:rsid w:val="003A50E7"/>
    <w:rsid w:val="003A64FC"/>
    <w:rsid w:val="003B1F1F"/>
    <w:rsid w:val="003B2C7F"/>
    <w:rsid w:val="003B2F7C"/>
    <w:rsid w:val="003B5C25"/>
    <w:rsid w:val="003B642F"/>
    <w:rsid w:val="003B6C71"/>
    <w:rsid w:val="003B78BF"/>
    <w:rsid w:val="003B79D7"/>
    <w:rsid w:val="003C0ADC"/>
    <w:rsid w:val="003C2DA5"/>
    <w:rsid w:val="003C2E64"/>
    <w:rsid w:val="003C67CF"/>
    <w:rsid w:val="003C7302"/>
    <w:rsid w:val="003D662A"/>
    <w:rsid w:val="003E6908"/>
    <w:rsid w:val="003E7076"/>
    <w:rsid w:val="003F21E3"/>
    <w:rsid w:val="003F3DD5"/>
    <w:rsid w:val="003F5181"/>
    <w:rsid w:val="00411265"/>
    <w:rsid w:val="00414C17"/>
    <w:rsid w:val="004177FF"/>
    <w:rsid w:val="004238F7"/>
    <w:rsid w:val="0042580C"/>
    <w:rsid w:val="00427467"/>
    <w:rsid w:val="0043341F"/>
    <w:rsid w:val="0043638B"/>
    <w:rsid w:val="00441263"/>
    <w:rsid w:val="00443C92"/>
    <w:rsid w:val="00446131"/>
    <w:rsid w:val="0045164A"/>
    <w:rsid w:val="004543BF"/>
    <w:rsid w:val="0045551D"/>
    <w:rsid w:val="00457781"/>
    <w:rsid w:val="00460A60"/>
    <w:rsid w:val="00461407"/>
    <w:rsid w:val="00466044"/>
    <w:rsid w:val="00467FE6"/>
    <w:rsid w:val="00481F47"/>
    <w:rsid w:val="00482079"/>
    <w:rsid w:val="00482AB4"/>
    <w:rsid w:val="004838BD"/>
    <w:rsid w:val="004851FA"/>
    <w:rsid w:val="00485700"/>
    <w:rsid w:val="0048686E"/>
    <w:rsid w:val="0049007B"/>
    <w:rsid w:val="00494B1D"/>
    <w:rsid w:val="004A1242"/>
    <w:rsid w:val="004A5033"/>
    <w:rsid w:val="004A57BE"/>
    <w:rsid w:val="004A6B16"/>
    <w:rsid w:val="004A7EB2"/>
    <w:rsid w:val="004B0240"/>
    <w:rsid w:val="004B1165"/>
    <w:rsid w:val="004B1DF3"/>
    <w:rsid w:val="004B24B6"/>
    <w:rsid w:val="004B585F"/>
    <w:rsid w:val="004B612F"/>
    <w:rsid w:val="004C079B"/>
    <w:rsid w:val="004C498F"/>
    <w:rsid w:val="004D1598"/>
    <w:rsid w:val="004D1AD1"/>
    <w:rsid w:val="004D357F"/>
    <w:rsid w:val="004D5855"/>
    <w:rsid w:val="004D7C50"/>
    <w:rsid w:val="004E1586"/>
    <w:rsid w:val="004E18AA"/>
    <w:rsid w:val="004E252E"/>
    <w:rsid w:val="004E3F5F"/>
    <w:rsid w:val="004E4944"/>
    <w:rsid w:val="004F1609"/>
    <w:rsid w:val="004F37DA"/>
    <w:rsid w:val="004F5401"/>
    <w:rsid w:val="004F567E"/>
    <w:rsid w:val="004F6701"/>
    <w:rsid w:val="00504343"/>
    <w:rsid w:val="00506AF4"/>
    <w:rsid w:val="00512C42"/>
    <w:rsid w:val="00513696"/>
    <w:rsid w:val="00514508"/>
    <w:rsid w:val="00520148"/>
    <w:rsid w:val="005208B7"/>
    <w:rsid w:val="00520BE7"/>
    <w:rsid w:val="005245BF"/>
    <w:rsid w:val="00532384"/>
    <w:rsid w:val="00534AE2"/>
    <w:rsid w:val="005400A6"/>
    <w:rsid w:val="0054482A"/>
    <w:rsid w:val="00553F9D"/>
    <w:rsid w:val="00555A0D"/>
    <w:rsid w:val="00562B41"/>
    <w:rsid w:val="005657D0"/>
    <w:rsid w:val="005660E0"/>
    <w:rsid w:val="005661ED"/>
    <w:rsid w:val="00576FF3"/>
    <w:rsid w:val="00577C53"/>
    <w:rsid w:val="005801AB"/>
    <w:rsid w:val="00580DC5"/>
    <w:rsid w:val="00582736"/>
    <w:rsid w:val="005833B3"/>
    <w:rsid w:val="00583BDB"/>
    <w:rsid w:val="00586C86"/>
    <w:rsid w:val="00587A62"/>
    <w:rsid w:val="00587BDB"/>
    <w:rsid w:val="00590263"/>
    <w:rsid w:val="00596438"/>
    <w:rsid w:val="005A29A6"/>
    <w:rsid w:val="005A3878"/>
    <w:rsid w:val="005A3998"/>
    <w:rsid w:val="005B04D0"/>
    <w:rsid w:val="005B3264"/>
    <w:rsid w:val="005B5B2F"/>
    <w:rsid w:val="005B7955"/>
    <w:rsid w:val="005C009F"/>
    <w:rsid w:val="005C1755"/>
    <w:rsid w:val="005D1091"/>
    <w:rsid w:val="005D5EE0"/>
    <w:rsid w:val="005D6764"/>
    <w:rsid w:val="005E64E2"/>
    <w:rsid w:val="005E7F8D"/>
    <w:rsid w:val="005F1929"/>
    <w:rsid w:val="005F3040"/>
    <w:rsid w:val="005F3B51"/>
    <w:rsid w:val="005F42F8"/>
    <w:rsid w:val="005F6561"/>
    <w:rsid w:val="006133B9"/>
    <w:rsid w:val="00614B46"/>
    <w:rsid w:val="0061776A"/>
    <w:rsid w:val="00617C41"/>
    <w:rsid w:val="006272ED"/>
    <w:rsid w:val="00633626"/>
    <w:rsid w:val="00636D14"/>
    <w:rsid w:val="0064379F"/>
    <w:rsid w:val="00650293"/>
    <w:rsid w:val="00651479"/>
    <w:rsid w:val="00653486"/>
    <w:rsid w:val="0065724A"/>
    <w:rsid w:val="00662DB2"/>
    <w:rsid w:val="0066667E"/>
    <w:rsid w:val="00670D69"/>
    <w:rsid w:val="00671F17"/>
    <w:rsid w:val="00672E14"/>
    <w:rsid w:val="00677844"/>
    <w:rsid w:val="00680E78"/>
    <w:rsid w:val="00682AC3"/>
    <w:rsid w:val="00683D82"/>
    <w:rsid w:val="006907A3"/>
    <w:rsid w:val="006920EB"/>
    <w:rsid w:val="006934E3"/>
    <w:rsid w:val="00693E23"/>
    <w:rsid w:val="00693E38"/>
    <w:rsid w:val="00695A47"/>
    <w:rsid w:val="00696336"/>
    <w:rsid w:val="006A17D2"/>
    <w:rsid w:val="006A1820"/>
    <w:rsid w:val="006A1CBC"/>
    <w:rsid w:val="006A4359"/>
    <w:rsid w:val="006A4CE3"/>
    <w:rsid w:val="006A592C"/>
    <w:rsid w:val="006B1F2F"/>
    <w:rsid w:val="006B4D05"/>
    <w:rsid w:val="006B76F0"/>
    <w:rsid w:val="006C1430"/>
    <w:rsid w:val="006C7979"/>
    <w:rsid w:val="006D1B76"/>
    <w:rsid w:val="006D4085"/>
    <w:rsid w:val="006D4EA4"/>
    <w:rsid w:val="006D6060"/>
    <w:rsid w:val="006E0874"/>
    <w:rsid w:val="006E2696"/>
    <w:rsid w:val="006E30F0"/>
    <w:rsid w:val="006E32A1"/>
    <w:rsid w:val="006E3DA4"/>
    <w:rsid w:val="006F5733"/>
    <w:rsid w:val="00702DE4"/>
    <w:rsid w:val="00703619"/>
    <w:rsid w:val="007076FE"/>
    <w:rsid w:val="00707C6A"/>
    <w:rsid w:val="0071594B"/>
    <w:rsid w:val="00723BD4"/>
    <w:rsid w:val="007337B9"/>
    <w:rsid w:val="007345C1"/>
    <w:rsid w:val="00736DCC"/>
    <w:rsid w:val="00737D09"/>
    <w:rsid w:val="00744ABD"/>
    <w:rsid w:val="0074555D"/>
    <w:rsid w:val="00754593"/>
    <w:rsid w:val="00760837"/>
    <w:rsid w:val="00761434"/>
    <w:rsid w:val="007636E4"/>
    <w:rsid w:val="00764193"/>
    <w:rsid w:val="007656B5"/>
    <w:rsid w:val="00766703"/>
    <w:rsid w:val="00767982"/>
    <w:rsid w:val="0077077D"/>
    <w:rsid w:val="00774DB4"/>
    <w:rsid w:val="00777AD7"/>
    <w:rsid w:val="00781CAE"/>
    <w:rsid w:val="007820A7"/>
    <w:rsid w:val="00783C0A"/>
    <w:rsid w:val="00786F66"/>
    <w:rsid w:val="0079102E"/>
    <w:rsid w:val="007957B3"/>
    <w:rsid w:val="00796AB5"/>
    <w:rsid w:val="007B051E"/>
    <w:rsid w:val="007C03CE"/>
    <w:rsid w:val="007C06A3"/>
    <w:rsid w:val="007C089E"/>
    <w:rsid w:val="007C2887"/>
    <w:rsid w:val="007C732D"/>
    <w:rsid w:val="007D210C"/>
    <w:rsid w:val="007D3487"/>
    <w:rsid w:val="007E20ED"/>
    <w:rsid w:val="007E2922"/>
    <w:rsid w:val="007E303E"/>
    <w:rsid w:val="007E5CCB"/>
    <w:rsid w:val="007E7EE1"/>
    <w:rsid w:val="007F08EE"/>
    <w:rsid w:val="007F1701"/>
    <w:rsid w:val="007F6C25"/>
    <w:rsid w:val="007F76F2"/>
    <w:rsid w:val="00801B00"/>
    <w:rsid w:val="008027EF"/>
    <w:rsid w:val="008113D5"/>
    <w:rsid w:val="00811E6D"/>
    <w:rsid w:val="00821048"/>
    <w:rsid w:val="00832893"/>
    <w:rsid w:val="00832E67"/>
    <w:rsid w:val="0083652C"/>
    <w:rsid w:val="00836A4B"/>
    <w:rsid w:val="0084199B"/>
    <w:rsid w:val="008477C9"/>
    <w:rsid w:val="00850E84"/>
    <w:rsid w:val="00850F1F"/>
    <w:rsid w:val="00851ED2"/>
    <w:rsid w:val="00853265"/>
    <w:rsid w:val="008641E3"/>
    <w:rsid w:val="008653E5"/>
    <w:rsid w:val="00867B02"/>
    <w:rsid w:val="008708FF"/>
    <w:rsid w:val="00871FF7"/>
    <w:rsid w:val="00873D35"/>
    <w:rsid w:val="00874707"/>
    <w:rsid w:val="008754B7"/>
    <w:rsid w:val="00881C0C"/>
    <w:rsid w:val="00882D95"/>
    <w:rsid w:val="00890068"/>
    <w:rsid w:val="00891CA6"/>
    <w:rsid w:val="00896EDB"/>
    <w:rsid w:val="008A382C"/>
    <w:rsid w:val="008A4CAC"/>
    <w:rsid w:val="008A6486"/>
    <w:rsid w:val="008B03E9"/>
    <w:rsid w:val="008B24A9"/>
    <w:rsid w:val="008B5974"/>
    <w:rsid w:val="008B6C8F"/>
    <w:rsid w:val="008B742B"/>
    <w:rsid w:val="008B7F6B"/>
    <w:rsid w:val="008C4250"/>
    <w:rsid w:val="008C671C"/>
    <w:rsid w:val="008C6D82"/>
    <w:rsid w:val="008D441A"/>
    <w:rsid w:val="008D4CFF"/>
    <w:rsid w:val="008E006B"/>
    <w:rsid w:val="008E0197"/>
    <w:rsid w:val="008E2E51"/>
    <w:rsid w:val="008E6166"/>
    <w:rsid w:val="008F0E2B"/>
    <w:rsid w:val="008F54F1"/>
    <w:rsid w:val="008F6376"/>
    <w:rsid w:val="008F78DE"/>
    <w:rsid w:val="00912AE8"/>
    <w:rsid w:val="00912FD1"/>
    <w:rsid w:val="0092247E"/>
    <w:rsid w:val="009244C4"/>
    <w:rsid w:val="009268F5"/>
    <w:rsid w:val="00930F16"/>
    <w:rsid w:val="00931258"/>
    <w:rsid w:val="00932501"/>
    <w:rsid w:val="009358F9"/>
    <w:rsid w:val="00935BC1"/>
    <w:rsid w:val="00941C74"/>
    <w:rsid w:val="00945003"/>
    <w:rsid w:val="0094718C"/>
    <w:rsid w:val="00961B65"/>
    <w:rsid w:val="009620DD"/>
    <w:rsid w:val="00963702"/>
    <w:rsid w:val="00967265"/>
    <w:rsid w:val="009701DA"/>
    <w:rsid w:val="009768BF"/>
    <w:rsid w:val="00980CFB"/>
    <w:rsid w:val="009826A8"/>
    <w:rsid w:val="0098355C"/>
    <w:rsid w:val="009850A9"/>
    <w:rsid w:val="00992AD5"/>
    <w:rsid w:val="009959D4"/>
    <w:rsid w:val="009962CF"/>
    <w:rsid w:val="009969BE"/>
    <w:rsid w:val="009A3CCF"/>
    <w:rsid w:val="009A4AFE"/>
    <w:rsid w:val="009A7611"/>
    <w:rsid w:val="009B2395"/>
    <w:rsid w:val="009B2B0B"/>
    <w:rsid w:val="009B345C"/>
    <w:rsid w:val="009B3486"/>
    <w:rsid w:val="009C2A47"/>
    <w:rsid w:val="009C33CB"/>
    <w:rsid w:val="009C55BA"/>
    <w:rsid w:val="009D1C19"/>
    <w:rsid w:val="009E0B61"/>
    <w:rsid w:val="009E742C"/>
    <w:rsid w:val="009F508C"/>
    <w:rsid w:val="009F66A4"/>
    <w:rsid w:val="009F70D7"/>
    <w:rsid w:val="00A017F0"/>
    <w:rsid w:val="00A029F6"/>
    <w:rsid w:val="00A03AFD"/>
    <w:rsid w:val="00A05601"/>
    <w:rsid w:val="00A078DE"/>
    <w:rsid w:val="00A11B2D"/>
    <w:rsid w:val="00A145C7"/>
    <w:rsid w:val="00A14700"/>
    <w:rsid w:val="00A149DB"/>
    <w:rsid w:val="00A16EE4"/>
    <w:rsid w:val="00A17C61"/>
    <w:rsid w:val="00A2157D"/>
    <w:rsid w:val="00A34EDC"/>
    <w:rsid w:val="00A35E0D"/>
    <w:rsid w:val="00A41F1D"/>
    <w:rsid w:val="00A43984"/>
    <w:rsid w:val="00A562CB"/>
    <w:rsid w:val="00A60995"/>
    <w:rsid w:val="00A71639"/>
    <w:rsid w:val="00A72EFF"/>
    <w:rsid w:val="00A76AF8"/>
    <w:rsid w:val="00A81C6C"/>
    <w:rsid w:val="00A86A98"/>
    <w:rsid w:val="00A9126B"/>
    <w:rsid w:val="00A92681"/>
    <w:rsid w:val="00A970FA"/>
    <w:rsid w:val="00AA5F90"/>
    <w:rsid w:val="00AA6211"/>
    <w:rsid w:val="00AB6269"/>
    <w:rsid w:val="00AC0AD7"/>
    <w:rsid w:val="00AC38FF"/>
    <w:rsid w:val="00AC4D81"/>
    <w:rsid w:val="00AC5407"/>
    <w:rsid w:val="00AC56FE"/>
    <w:rsid w:val="00AC58E7"/>
    <w:rsid w:val="00AC7C06"/>
    <w:rsid w:val="00AD0ECF"/>
    <w:rsid w:val="00AD667F"/>
    <w:rsid w:val="00AD79C5"/>
    <w:rsid w:val="00AE25FC"/>
    <w:rsid w:val="00AE3C38"/>
    <w:rsid w:val="00AF2D83"/>
    <w:rsid w:val="00B126E0"/>
    <w:rsid w:val="00B149AC"/>
    <w:rsid w:val="00B1616F"/>
    <w:rsid w:val="00B2008F"/>
    <w:rsid w:val="00B207BB"/>
    <w:rsid w:val="00B25D05"/>
    <w:rsid w:val="00B32E24"/>
    <w:rsid w:val="00B34AA6"/>
    <w:rsid w:val="00B360BD"/>
    <w:rsid w:val="00B363BB"/>
    <w:rsid w:val="00B36541"/>
    <w:rsid w:val="00B4222C"/>
    <w:rsid w:val="00B4373B"/>
    <w:rsid w:val="00B4482E"/>
    <w:rsid w:val="00B47AB9"/>
    <w:rsid w:val="00B47EA2"/>
    <w:rsid w:val="00B5154A"/>
    <w:rsid w:val="00B52C68"/>
    <w:rsid w:val="00B5713A"/>
    <w:rsid w:val="00B601B1"/>
    <w:rsid w:val="00B61DB1"/>
    <w:rsid w:val="00B6544D"/>
    <w:rsid w:val="00B67A5C"/>
    <w:rsid w:val="00B72DB5"/>
    <w:rsid w:val="00B76E80"/>
    <w:rsid w:val="00B77137"/>
    <w:rsid w:val="00B85425"/>
    <w:rsid w:val="00B97070"/>
    <w:rsid w:val="00BB1BF4"/>
    <w:rsid w:val="00BB2960"/>
    <w:rsid w:val="00BB494E"/>
    <w:rsid w:val="00BB78B0"/>
    <w:rsid w:val="00BC1786"/>
    <w:rsid w:val="00BC3D1C"/>
    <w:rsid w:val="00BC4BF3"/>
    <w:rsid w:val="00BC63E3"/>
    <w:rsid w:val="00BD7BF4"/>
    <w:rsid w:val="00BE0469"/>
    <w:rsid w:val="00BE57F1"/>
    <w:rsid w:val="00BF1061"/>
    <w:rsid w:val="00BF3DD2"/>
    <w:rsid w:val="00BF7718"/>
    <w:rsid w:val="00C02F38"/>
    <w:rsid w:val="00C0398E"/>
    <w:rsid w:val="00C05AAB"/>
    <w:rsid w:val="00C122CD"/>
    <w:rsid w:val="00C13CAA"/>
    <w:rsid w:val="00C2039B"/>
    <w:rsid w:val="00C20765"/>
    <w:rsid w:val="00C22C43"/>
    <w:rsid w:val="00C2584E"/>
    <w:rsid w:val="00C27EB5"/>
    <w:rsid w:val="00C41122"/>
    <w:rsid w:val="00C45E3A"/>
    <w:rsid w:val="00C52ED2"/>
    <w:rsid w:val="00C55BD6"/>
    <w:rsid w:val="00C55CE7"/>
    <w:rsid w:val="00C57BB1"/>
    <w:rsid w:val="00C71FC3"/>
    <w:rsid w:val="00C75004"/>
    <w:rsid w:val="00C800E6"/>
    <w:rsid w:val="00C823E9"/>
    <w:rsid w:val="00C86CDF"/>
    <w:rsid w:val="00CA2AA0"/>
    <w:rsid w:val="00CA4345"/>
    <w:rsid w:val="00CA5D83"/>
    <w:rsid w:val="00CB1583"/>
    <w:rsid w:val="00CB2819"/>
    <w:rsid w:val="00CB2E9B"/>
    <w:rsid w:val="00CB4C57"/>
    <w:rsid w:val="00CB578C"/>
    <w:rsid w:val="00CB6356"/>
    <w:rsid w:val="00CC0409"/>
    <w:rsid w:val="00CC3FD9"/>
    <w:rsid w:val="00CD0F7D"/>
    <w:rsid w:val="00CD2CFE"/>
    <w:rsid w:val="00CD4345"/>
    <w:rsid w:val="00CD7D94"/>
    <w:rsid w:val="00CE50B4"/>
    <w:rsid w:val="00CF4AF0"/>
    <w:rsid w:val="00CF52DA"/>
    <w:rsid w:val="00D02070"/>
    <w:rsid w:val="00D04078"/>
    <w:rsid w:val="00D04902"/>
    <w:rsid w:val="00D04928"/>
    <w:rsid w:val="00D057DC"/>
    <w:rsid w:val="00D0597E"/>
    <w:rsid w:val="00D14012"/>
    <w:rsid w:val="00D16FC3"/>
    <w:rsid w:val="00D1799B"/>
    <w:rsid w:val="00D21EE7"/>
    <w:rsid w:val="00D22389"/>
    <w:rsid w:val="00D22556"/>
    <w:rsid w:val="00D3081D"/>
    <w:rsid w:val="00D331B6"/>
    <w:rsid w:val="00D42D72"/>
    <w:rsid w:val="00D433C2"/>
    <w:rsid w:val="00D4454D"/>
    <w:rsid w:val="00D4535C"/>
    <w:rsid w:val="00D507D5"/>
    <w:rsid w:val="00D5114D"/>
    <w:rsid w:val="00D519D6"/>
    <w:rsid w:val="00D5777E"/>
    <w:rsid w:val="00D619F4"/>
    <w:rsid w:val="00D65886"/>
    <w:rsid w:val="00D71C56"/>
    <w:rsid w:val="00D731C5"/>
    <w:rsid w:val="00D74D73"/>
    <w:rsid w:val="00D7655D"/>
    <w:rsid w:val="00D830BD"/>
    <w:rsid w:val="00D83EC7"/>
    <w:rsid w:val="00D84DAA"/>
    <w:rsid w:val="00D84F02"/>
    <w:rsid w:val="00D8552A"/>
    <w:rsid w:val="00D86EE4"/>
    <w:rsid w:val="00D90096"/>
    <w:rsid w:val="00D952B0"/>
    <w:rsid w:val="00DA298E"/>
    <w:rsid w:val="00DB1424"/>
    <w:rsid w:val="00DB2C54"/>
    <w:rsid w:val="00DB6A5E"/>
    <w:rsid w:val="00DB7183"/>
    <w:rsid w:val="00DB7864"/>
    <w:rsid w:val="00DC2F6F"/>
    <w:rsid w:val="00DC4879"/>
    <w:rsid w:val="00DC6FB0"/>
    <w:rsid w:val="00DD0A68"/>
    <w:rsid w:val="00DE2401"/>
    <w:rsid w:val="00DE5C16"/>
    <w:rsid w:val="00DF0066"/>
    <w:rsid w:val="00DF4836"/>
    <w:rsid w:val="00DF57A1"/>
    <w:rsid w:val="00E00051"/>
    <w:rsid w:val="00E015C0"/>
    <w:rsid w:val="00E020D1"/>
    <w:rsid w:val="00E04192"/>
    <w:rsid w:val="00E110B3"/>
    <w:rsid w:val="00E12870"/>
    <w:rsid w:val="00E17BBE"/>
    <w:rsid w:val="00E20C84"/>
    <w:rsid w:val="00E22ED5"/>
    <w:rsid w:val="00E236B3"/>
    <w:rsid w:val="00E31244"/>
    <w:rsid w:val="00E31D85"/>
    <w:rsid w:val="00E32A68"/>
    <w:rsid w:val="00E34E45"/>
    <w:rsid w:val="00E36854"/>
    <w:rsid w:val="00E4045E"/>
    <w:rsid w:val="00E463EE"/>
    <w:rsid w:val="00E472DE"/>
    <w:rsid w:val="00E514C9"/>
    <w:rsid w:val="00E51B8F"/>
    <w:rsid w:val="00E51C86"/>
    <w:rsid w:val="00E53257"/>
    <w:rsid w:val="00E5537A"/>
    <w:rsid w:val="00E56BB0"/>
    <w:rsid w:val="00E616D7"/>
    <w:rsid w:val="00E675BB"/>
    <w:rsid w:val="00E72C73"/>
    <w:rsid w:val="00E75BC5"/>
    <w:rsid w:val="00E820CA"/>
    <w:rsid w:val="00E8492D"/>
    <w:rsid w:val="00E84E5B"/>
    <w:rsid w:val="00E85B5E"/>
    <w:rsid w:val="00E87C0B"/>
    <w:rsid w:val="00E9394F"/>
    <w:rsid w:val="00E97C19"/>
    <w:rsid w:val="00EA2DD6"/>
    <w:rsid w:val="00EA631D"/>
    <w:rsid w:val="00EA7248"/>
    <w:rsid w:val="00EB0D4E"/>
    <w:rsid w:val="00EB4563"/>
    <w:rsid w:val="00EC2189"/>
    <w:rsid w:val="00EC4C4B"/>
    <w:rsid w:val="00EC5558"/>
    <w:rsid w:val="00EC5FE2"/>
    <w:rsid w:val="00ED15B7"/>
    <w:rsid w:val="00ED2901"/>
    <w:rsid w:val="00ED325A"/>
    <w:rsid w:val="00ED393E"/>
    <w:rsid w:val="00ED4B74"/>
    <w:rsid w:val="00ED5265"/>
    <w:rsid w:val="00EE199B"/>
    <w:rsid w:val="00EE1B93"/>
    <w:rsid w:val="00EE4EEE"/>
    <w:rsid w:val="00EE575D"/>
    <w:rsid w:val="00EE57F6"/>
    <w:rsid w:val="00EE5FF4"/>
    <w:rsid w:val="00EE6EA2"/>
    <w:rsid w:val="00EE7416"/>
    <w:rsid w:val="00EF33F6"/>
    <w:rsid w:val="00EF37F7"/>
    <w:rsid w:val="00EF3F52"/>
    <w:rsid w:val="00EF6C54"/>
    <w:rsid w:val="00F03705"/>
    <w:rsid w:val="00F07AC5"/>
    <w:rsid w:val="00F07E26"/>
    <w:rsid w:val="00F12A14"/>
    <w:rsid w:val="00F16367"/>
    <w:rsid w:val="00F16CFD"/>
    <w:rsid w:val="00F208CD"/>
    <w:rsid w:val="00F20EBF"/>
    <w:rsid w:val="00F23F8B"/>
    <w:rsid w:val="00F25D44"/>
    <w:rsid w:val="00F263F3"/>
    <w:rsid w:val="00F26D08"/>
    <w:rsid w:val="00F32E4F"/>
    <w:rsid w:val="00F330BE"/>
    <w:rsid w:val="00F33416"/>
    <w:rsid w:val="00F33BF0"/>
    <w:rsid w:val="00F35CE2"/>
    <w:rsid w:val="00F367F7"/>
    <w:rsid w:val="00F44163"/>
    <w:rsid w:val="00F45BA4"/>
    <w:rsid w:val="00F45D45"/>
    <w:rsid w:val="00F46C8B"/>
    <w:rsid w:val="00F5116A"/>
    <w:rsid w:val="00F52365"/>
    <w:rsid w:val="00F56791"/>
    <w:rsid w:val="00F64172"/>
    <w:rsid w:val="00F64A53"/>
    <w:rsid w:val="00F66F52"/>
    <w:rsid w:val="00F71DF9"/>
    <w:rsid w:val="00F71E74"/>
    <w:rsid w:val="00F731D3"/>
    <w:rsid w:val="00F7337A"/>
    <w:rsid w:val="00F74F01"/>
    <w:rsid w:val="00F823B6"/>
    <w:rsid w:val="00F82988"/>
    <w:rsid w:val="00F83201"/>
    <w:rsid w:val="00F84315"/>
    <w:rsid w:val="00F91880"/>
    <w:rsid w:val="00F92DDE"/>
    <w:rsid w:val="00F93550"/>
    <w:rsid w:val="00F97C89"/>
    <w:rsid w:val="00FA2441"/>
    <w:rsid w:val="00FB14D9"/>
    <w:rsid w:val="00FB1D77"/>
    <w:rsid w:val="00FC08E4"/>
    <w:rsid w:val="00FC280A"/>
    <w:rsid w:val="00FD2312"/>
    <w:rsid w:val="00FD3DDC"/>
    <w:rsid w:val="00FD56AF"/>
    <w:rsid w:val="00FE285E"/>
    <w:rsid w:val="00FE32DF"/>
    <w:rsid w:val="00FF5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EC09"/>
  <w15:chartTrackingRefBased/>
  <w15:docId w15:val="{89B1A09A-ADA5-43FC-9CB2-75E140F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671C"/>
    <w:pPr>
      <w:ind w:left="720"/>
      <w:contextualSpacing/>
    </w:pPr>
  </w:style>
  <w:style w:type="character" w:styleId="Verwijzingopmerking">
    <w:name w:val="annotation reference"/>
    <w:basedOn w:val="Standaardalinea-lettertype"/>
    <w:uiPriority w:val="99"/>
    <w:semiHidden/>
    <w:unhideWhenUsed/>
    <w:rsid w:val="00653486"/>
    <w:rPr>
      <w:sz w:val="16"/>
      <w:szCs w:val="16"/>
    </w:rPr>
  </w:style>
  <w:style w:type="paragraph" w:styleId="Tekstopmerking">
    <w:name w:val="annotation text"/>
    <w:basedOn w:val="Standaard"/>
    <w:link w:val="TekstopmerkingChar"/>
    <w:uiPriority w:val="99"/>
    <w:semiHidden/>
    <w:unhideWhenUsed/>
    <w:rsid w:val="006534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3486"/>
    <w:rPr>
      <w:sz w:val="20"/>
      <w:szCs w:val="20"/>
    </w:rPr>
  </w:style>
  <w:style w:type="paragraph" w:styleId="Onderwerpvanopmerking">
    <w:name w:val="annotation subject"/>
    <w:basedOn w:val="Tekstopmerking"/>
    <w:next w:val="Tekstopmerking"/>
    <w:link w:val="OnderwerpvanopmerkingChar"/>
    <w:uiPriority w:val="99"/>
    <w:semiHidden/>
    <w:unhideWhenUsed/>
    <w:rsid w:val="00653486"/>
    <w:rPr>
      <w:b/>
      <w:bCs/>
    </w:rPr>
  </w:style>
  <w:style w:type="character" w:customStyle="1" w:styleId="OnderwerpvanopmerkingChar">
    <w:name w:val="Onderwerp van opmerking Char"/>
    <w:basedOn w:val="TekstopmerkingChar"/>
    <w:link w:val="Onderwerpvanopmerking"/>
    <w:uiPriority w:val="99"/>
    <w:semiHidden/>
    <w:rsid w:val="00653486"/>
    <w:rPr>
      <w:b/>
      <w:bCs/>
      <w:sz w:val="20"/>
      <w:szCs w:val="20"/>
    </w:rPr>
  </w:style>
  <w:style w:type="character" w:styleId="Hyperlink">
    <w:name w:val="Hyperlink"/>
    <w:basedOn w:val="Standaardalinea-lettertype"/>
    <w:uiPriority w:val="99"/>
    <w:unhideWhenUsed/>
    <w:rsid w:val="0079102E"/>
    <w:rPr>
      <w:color w:val="0563C1" w:themeColor="hyperlink"/>
      <w:u w:val="single"/>
    </w:rPr>
  </w:style>
  <w:style w:type="character" w:styleId="Onopgelostemelding">
    <w:name w:val="Unresolved Mention"/>
    <w:basedOn w:val="Standaardalinea-lettertype"/>
    <w:uiPriority w:val="99"/>
    <w:semiHidden/>
    <w:unhideWhenUsed/>
    <w:rsid w:val="0079102E"/>
    <w:rPr>
      <w:color w:val="605E5C"/>
      <w:shd w:val="clear" w:color="auto" w:fill="E1DFDD"/>
    </w:rPr>
  </w:style>
  <w:style w:type="paragraph" w:styleId="Voetnoottekst">
    <w:name w:val="footnote text"/>
    <w:basedOn w:val="Standaard"/>
    <w:link w:val="VoetnoottekstChar"/>
    <w:uiPriority w:val="99"/>
    <w:unhideWhenUsed/>
    <w:rsid w:val="000D3A43"/>
    <w:pPr>
      <w:spacing w:after="0" w:line="240" w:lineRule="auto"/>
    </w:pPr>
    <w:rPr>
      <w:sz w:val="20"/>
      <w:szCs w:val="20"/>
    </w:rPr>
  </w:style>
  <w:style w:type="character" w:customStyle="1" w:styleId="VoetnoottekstChar">
    <w:name w:val="Voetnoottekst Char"/>
    <w:basedOn w:val="Standaardalinea-lettertype"/>
    <w:link w:val="Voetnoottekst"/>
    <w:uiPriority w:val="99"/>
    <w:rsid w:val="000D3A43"/>
    <w:rPr>
      <w:sz w:val="20"/>
      <w:szCs w:val="20"/>
    </w:rPr>
  </w:style>
  <w:style w:type="character" w:styleId="Voetnootmarkering">
    <w:name w:val="footnote reference"/>
    <w:basedOn w:val="Standaardalinea-lettertype"/>
    <w:uiPriority w:val="99"/>
    <w:semiHidden/>
    <w:unhideWhenUsed/>
    <w:rsid w:val="000D3A43"/>
    <w:rPr>
      <w:vertAlign w:val="superscript"/>
    </w:rPr>
  </w:style>
  <w:style w:type="character" w:styleId="GevolgdeHyperlink">
    <w:name w:val="FollowedHyperlink"/>
    <w:basedOn w:val="Standaardalinea-lettertype"/>
    <w:uiPriority w:val="99"/>
    <w:semiHidden/>
    <w:unhideWhenUsed/>
    <w:rsid w:val="00EE1B93"/>
    <w:rPr>
      <w:color w:val="954F72" w:themeColor="followedHyperlink"/>
      <w:u w:val="single"/>
    </w:rPr>
  </w:style>
  <w:style w:type="paragraph" w:styleId="Koptekst">
    <w:name w:val="header"/>
    <w:basedOn w:val="Standaard"/>
    <w:link w:val="KoptekstChar"/>
    <w:uiPriority w:val="99"/>
    <w:unhideWhenUsed/>
    <w:rsid w:val="00A76A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6AF8"/>
  </w:style>
  <w:style w:type="paragraph" w:styleId="Voettekst">
    <w:name w:val="footer"/>
    <w:basedOn w:val="Standaard"/>
    <w:link w:val="VoettekstChar"/>
    <w:uiPriority w:val="99"/>
    <w:unhideWhenUsed/>
    <w:rsid w:val="00A76A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614">
      <w:bodyDiv w:val="1"/>
      <w:marLeft w:val="0"/>
      <w:marRight w:val="0"/>
      <w:marTop w:val="0"/>
      <w:marBottom w:val="0"/>
      <w:divBdr>
        <w:top w:val="none" w:sz="0" w:space="0" w:color="auto"/>
        <w:left w:val="none" w:sz="0" w:space="0" w:color="auto"/>
        <w:bottom w:val="none" w:sz="0" w:space="0" w:color="auto"/>
        <w:right w:val="none" w:sz="0" w:space="0" w:color="auto"/>
      </w:divBdr>
    </w:div>
    <w:div w:id="394207504">
      <w:bodyDiv w:val="1"/>
      <w:marLeft w:val="0"/>
      <w:marRight w:val="0"/>
      <w:marTop w:val="0"/>
      <w:marBottom w:val="0"/>
      <w:divBdr>
        <w:top w:val="none" w:sz="0" w:space="0" w:color="auto"/>
        <w:left w:val="none" w:sz="0" w:space="0" w:color="auto"/>
        <w:bottom w:val="none" w:sz="0" w:space="0" w:color="auto"/>
        <w:right w:val="none" w:sz="0" w:space="0" w:color="auto"/>
      </w:divBdr>
    </w:div>
    <w:div w:id="591822006">
      <w:bodyDiv w:val="1"/>
      <w:marLeft w:val="0"/>
      <w:marRight w:val="0"/>
      <w:marTop w:val="0"/>
      <w:marBottom w:val="0"/>
      <w:divBdr>
        <w:top w:val="none" w:sz="0" w:space="0" w:color="auto"/>
        <w:left w:val="none" w:sz="0" w:space="0" w:color="auto"/>
        <w:bottom w:val="none" w:sz="0" w:space="0" w:color="auto"/>
        <w:right w:val="none" w:sz="0" w:space="0" w:color="auto"/>
      </w:divBdr>
    </w:div>
    <w:div w:id="627778995">
      <w:bodyDiv w:val="1"/>
      <w:marLeft w:val="0"/>
      <w:marRight w:val="0"/>
      <w:marTop w:val="0"/>
      <w:marBottom w:val="0"/>
      <w:divBdr>
        <w:top w:val="none" w:sz="0" w:space="0" w:color="auto"/>
        <w:left w:val="none" w:sz="0" w:space="0" w:color="auto"/>
        <w:bottom w:val="none" w:sz="0" w:space="0" w:color="auto"/>
        <w:right w:val="none" w:sz="0" w:space="0" w:color="auto"/>
      </w:divBdr>
    </w:div>
    <w:div w:id="649286084">
      <w:bodyDiv w:val="1"/>
      <w:marLeft w:val="0"/>
      <w:marRight w:val="0"/>
      <w:marTop w:val="0"/>
      <w:marBottom w:val="0"/>
      <w:divBdr>
        <w:top w:val="none" w:sz="0" w:space="0" w:color="auto"/>
        <w:left w:val="none" w:sz="0" w:space="0" w:color="auto"/>
        <w:bottom w:val="none" w:sz="0" w:space="0" w:color="auto"/>
        <w:right w:val="none" w:sz="0" w:space="0" w:color="auto"/>
      </w:divBdr>
      <w:divsChild>
        <w:div w:id="421997489">
          <w:marLeft w:val="0"/>
          <w:marRight w:val="0"/>
          <w:marTop w:val="0"/>
          <w:marBottom w:val="0"/>
          <w:divBdr>
            <w:top w:val="none" w:sz="0" w:space="0" w:color="auto"/>
            <w:left w:val="none" w:sz="0" w:space="0" w:color="auto"/>
            <w:bottom w:val="none" w:sz="0" w:space="0" w:color="auto"/>
            <w:right w:val="none" w:sz="0" w:space="0" w:color="auto"/>
          </w:divBdr>
        </w:div>
        <w:div w:id="1066955688">
          <w:marLeft w:val="0"/>
          <w:marRight w:val="0"/>
          <w:marTop w:val="0"/>
          <w:marBottom w:val="0"/>
          <w:divBdr>
            <w:top w:val="none" w:sz="0" w:space="0" w:color="auto"/>
            <w:left w:val="none" w:sz="0" w:space="0" w:color="auto"/>
            <w:bottom w:val="none" w:sz="0" w:space="0" w:color="auto"/>
            <w:right w:val="none" w:sz="0" w:space="0" w:color="auto"/>
          </w:divBdr>
          <w:divsChild>
            <w:div w:id="742023240">
              <w:marLeft w:val="0"/>
              <w:marRight w:val="0"/>
              <w:marTop w:val="0"/>
              <w:marBottom w:val="165"/>
              <w:divBdr>
                <w:top w:val="none" w:sz="0" w:space="0" w:color="auto"/>
                <w:left w:val="none" w:sz="0" w:space="0" w:color="auto"/>
                <w:bottom w:val="none" w:sz="0" w:space="0" w:color="auto"/>
                <w:right w:val="none" w:sz="0" w:space="0" w:color="auto"/>
              </w:divBdr>
            </w:div>
          </w:divsChild>
        </w:div>
        <w:div w:id="1594436635">
          <w:marLeft w:val="0"/>
          <w:marRight w:val="0"/>
          <w:marTop w:val="165"/>
          <w:marBottom w:val="165"/>
          <w:divBdr>
            <w:top w:val="none" w:sz="0" w:space="0" w:color="auto"/>
            <w:left w:val="none" w:sz="0" w:space="0" w:color="auto"/>
            <w:bottom w:val="none" w:sz="0" w:space="0" w:color="auto"/>
            <w:right w:val="none" w:sz="0" w:space="0" w:color="auto"/>
          </w:divBdr>
          <w:divsChild>
            <w:div w:id="1435398034">
              <w:marLeft w:val="0"/>
              <w:marRight w:val="0"/>
              <w:marTop w:val="0"/>
              <w:marBottom w:val="0"/>
              <w:divBdr>
                <w:top w:val="none" w:sz="0" w:space="0" w:color="auto"/>
                <w:left w:val="none" w:sz="0" w:space="0" w:color="auto"/>
                <w:bottom w:val="none" w:sz="0" w:space="0" w:color="auto"/>
                <w:right w:val="none" w:sz="0" w:space="0" w:color="auto"/>
              </w:divBdr>
              <w:divsChild>
                <w:div w:id="594826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22740541">
      <w:bodyDiv w:val="1"/>
      <w:marLeft w:val="0"/>
      <w:marRight w:val="0"/>
      <w:marTop w:val="0"/>
      <w:marBottom w:val="0"/>
      <w:divBdr>
        <w:top w:val="none" w:sz="0" w:space="0" w:color="auto"/>
        <w:left w:val="none" w:sz="0" w:space="0" w:color="auto"/>
        <w:bottom w:val="none" w:sz="0" w:space="0" w:color="auto"/>
        <w:right w:val="none" w:sz="0" w:space="0" w:color="auto"/>
      </w:divBdr>
      <w:divsChild>
        <w:div w:id="1509254713">
          <w:marLeft w:val="0"/>
          <w:marRight w:val="0"/>
          <w:marTop w:val="0"/>
          <w:marBottom w:val="0"/>
          <w:divBdr>
            <w:top w:val="none" w:sz="0" w:space="0" w:color="auto"/>
            <w:left w:val="none" w:sz="0" w:space="0" w:color="auto"/>
            <w:bottom w:val="none" w:sz="0" w:space="0" w:color="auto"/>
            <w:right w:val="none" w:sz="0" w:space="0" w:color="auto"/>
          </w:divBdr>
          <w:divsChild>
            <w:div w:id="2013483563">
              <w:marLeft w:val="0"/>
              <w:marRight w:val="0"/>
              <w:marTop w:val="0"/>
              <w:marBottom w:val="0"/>
              <w:divBdr>
                <w:top w:val="none" w:sz="0" w:space="0" w:color="auto"/>
                <w:left w:val="none" w:sz="0" w:space="0" w:color="auto"/>
                <w:bottom w:val="none" w:sz="0" w:space="0" w:color="auto"/>
                <w:right w:val="none" w:sz="0" w:space="0" w:color="auto"/>
              </w:divBdr>
              <w:divsChild>
                <w:div w:id="1235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3561">
          <w:marLeft w:val="0"/>
          <w:marRight w:val="0"/>
          <w:marTop w:val="0"/>
          <w:marBottom w:val="0"/>
          <w:divBdr>
            <w:top w:val="none" w:sz="0" w:space="0" w:color="auto"/>
            <w:left w:val="none" w:sz="0" w:space="0" w:color="auto"/>
            <w:bottom w:val="none" w:sz="0" w:space="0" w:color="auto"/>
            <w:right w:val="none" w:sz="0" w:space="0" w:color="auto"/>
          </w:divBdr>
          <w:divsChild>
            <w:div w:id="1517889867">
              <w:marLeft w:val="0"/>
              <w:marRight w:val="0"/>
              <w:marTop w:val="0"/>
              <w:marBottom w:val="0"/>
              <w:divBdr>
                <w:top w:val="none" w:sz="0" w:space="0" w:color="auto"/>
                <w:left w:val="none" w:sz="0" w:space="0" w:color="auto"/>
                <w:bottom w:val="none" w:sz="0" w:space="0" w:color="auto"/>
                <w:right w:val="none" w:sz="0" w:space="0" w:color="auto"/>
              </w:divBdr>
              <w:divsChild>
                <w:div w:id="705107188">
                  <w:marLeft w:val="0"/>
                  <w:marRight w:val="0"/>
                  <w:marTop w:val="0"/>
                  <w:marBottom w:val="0"/>
                  <w:divBdr>
                    <w:top w:val="none" w:sz="0" w:space="0" w:color="auto"/>
                    <w:left w:val="none" w:sz="0" w:space="0" w:color="auto"/>
                    <w:bottom w:val="none" w:sz="0" w:space="0" w:color="auto"/>
                    <w:right w:val="none" w:sz="0" w:space="0" w:color="auto"/>
                  </w:divBdr>
                  <w:divsChild>
                    <w:div w:id="1471901455">
                      <w:marLeft w:val="0"/>
                      <w:marRight w:val="0"/>
                      <w:marTop w:val="0"/>
                      <w:marBottom w:val="0"/>
                      <w:divBdr>
                        <w:top w:val="none" w:sz="0" w:space="0" w:color="auto"/>
                        <w:left w:val="none" w:sz="0" w:space="0" w:color="auto"/>
                        <w:bottom w:val="none" w:sz="0" w:space="0" w:color="auto"/>
                        <w:right w:val="none" w:sz="0" w:space="0" w:color="auto"/>
                      </w:divBdr>
                      <w:divsChild>
                        <w:div w:id="24335478">
                          <w:marLeft w:val="0"/>
                          <w:marRight w:val="0"/>
                          <w:marTop w:val="0"/>
                          <w:marBottom w:val="0"/>
                          <w:divBdr>
                            <w:top w:val="none" w:sz="0" w:space="0" w:color="auto"/>
                            <w:left w:val="none" w:sz="0" w:space="0" w:color="auto"/>
                            <w:bottom w:val="none" w:sz="0" w:space="0" w:color="auto"/>
                            <w:right w:val="none" w:sz="0" w:space="0" w:color="auto"/>
                          </w:divBdr>
                          <w:divsChild>
                            <w:div w:id="10027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066424">
      <w:bodyDiv w:val="1"/>
      <w:marLeft w:val="0"/>
      <w:marRight w:val="0"/>
      <w:marTop w:val="0"/>
      <w:marBottom w:val="0"/>
      <w:divBdr>
        <w:top w:val="none" w:sz="0" w:space="0" w:color="auto"/>
        <w:left w:val="none" w:sz="0" w:space="0" w:color="auto"/>
        <w:bottom w:val="none" w:sz="0" w:space="0" w:color="auto"/>
        <w:right w:val="none" w:sz="0" w:space="0" w:color="auto"/>
      </w:divBdr>
    </w:div>
    <w:div w:id="1705322810">
      <w:bodyDiv w:val="1"/>
      <w:marLeft w:val="0"/>
      <w:marRight w:val="0"/>
      <w:marTop w:val="0"/>
      <w:marBottom w:val="0"/>
      <w:divBdr>
        <w:top w:val="none" w:sz="0" w:space="0" w:color="auto"/>
        <w:left w:val="none" w:sz="0" w:space="0" w:color="auto"/>
        <w:bottom w:val="none" w:sz="0" w:space="0" w:color="auto"/>
        <w:right w:val="none" w:sz="0" w:space="0" w:color="auto"/>
      </w:divBdr>
    </w:div>
    <w:div w:id="1724060736">
      <w:bodyDiv w:val="1"/>
      <w:marLeft w:val="0"/>
      <w:marRight w:val="0"/>
      <w:marTop w:val="0"/>
      <w:marBottom w:val="0"/>
      <w:divBdr>
        <w:top w:val="none" w:sz="0" w:space="0" w:color="auto"/>
        <w:left w:val="none" w:sz="0" w:space="0" w:color="auto"/>
        <w:bottom w:val="none" w:sz="0" w:space="0" w:color="auto"/>
        <w:right w:val="none" w:sz="0" w:space="0" w:color="auto"/>
      </w:divBdr>
    </w:div>
    <w:div w:id="1825050736">
      <w:bodyDiv w:val="1"/>
      <w:marLeft w:val="0"/>
      <w:marRight w:val="0"/>
      <w:marTop w:val="0"/>
      <w:marBottom w:val="0"/>
      <w:divBdr>
        <w:top w:val="none" w:sz="0" w:space="0" w:color="auto"/>
        <w:left w:val="none" w:sz="0" w:space="0" w:color="auto"/>
        <w:bottom w:val="none" w:sz="0" w:space="0" w:color="auto"/>
        <w:right w:val="none" w:sz="0" w:space="0" w:color="auto"/>
      </w:divBdr>
    </w:div>
    <w:div w:id="1903369914">
      <w:bodyDiv w:val="1"/>
      <w:marLeft w:val="0"/>
      <w:marRight w:val="0"/>
      <w:marTop w:val="0"/>
      <w:marBottom w:val="0"/>
      <w:divBdr>
        <w:top w:val="none" w:sz="0" w:space="0" w:color="auto"/>
        <w:left w:val="none" w:sz="0" w:space="0" w:color="auto"/>
        <w:bottom w:val="none" w:sz="0" w:space="0" w:color="auto"/>
        <w:right w:val="none" w:sz="0" w:space="0" w:color="auto"/>
      </w:divBdr>
    </w:div>
    <w:div w:id="20941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eurostat/statistics-explained/index.php?title=File:Euro_area_annual_inflation_and_its_main_components,_November_2011_-_November_2021.png"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hyperlink" Target="https://www.ft.com/content/eefea72d-0441-4edf-9d56-2e4d835cd4dc" TargetMode="External" Id="rId16"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image" Target="media/image3.png"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pub/pdf/scpwps/ecb.wp2626~e86e2be2b4.en.pdf" TargetMode="External"/><Relationship Id="rId13" Type="http://schemas.openxmlformats.org/officeDocument/2006/relationships/hyperlink" Target="https://www.energy.senate.gov/services/files/F45ABE8A-1DB8-4DE2-BF56-932329AD5477" TargetMode="External"/><Relationship Id="rId18" Type="http://schemas.openxmlformats.org/officeDocument/2006/relationships/hyperlink" Target="https://milieudefensie.nl/actueel/eerlijke-klimaatagenda.pdf" TargetMode="External"/><Relationship Id="rId3" Type="http://schemas.openxmlformats.org/officeDocument/2006/relationships/hyperlink" Target="https://www.ecb.europa.eu/pub/economic-bulletin/focus/2021/html/ecb.ebbox202106_01~11705a988e.en.html" TargetMode="External"/><Relationship Id="rId21" Type="http://schemas.openxmlformats.org/officeDocument/2006/relationships/hyperlink" Target="https://www.theguardian.com/business/commentisfree/2021/dec/29/inflation-price-controls-time-we-use-it" TargetMode="External"/><Relationship Id="rId7" Type="http://schemas.openxmlformats.org/officeDocument/2006/relationships/hyperlink" Target="https://www.ecb.europa.eu/press/key/date/2022/html/ecb.sp220108~0425a24eb7.en.html" TargetMode="External"/><Relationship Id="rId12" Type="http://schemas.openxmlformats.org/officeDocument/2006/relationships/hyperlink" Target="https://energyandcleanair.org/wp/wp-content/uploads/2021/10/BRIEFING_-Europes-gas-crisis-the-role-of-clean-energy.pdf" TargetMode="External"/><Relationship Id="rId17" Type="http://schemas.openxmlformats.org/officeDocument/2006/relationships/hyperlink" Target="https://milieudefensie.nl/actueel/eerlijke-klimaatagenda.pdf" TargetMode="External"/><Relationship Id="rId2" Type="http://schemas.openxmlformats.org/officeDocument/2006/relationships/hyperlink" Target="https://www.bls.gov/cpi/home.htm" TargetMode="External"/><Relationship Id="rId16" Type="http://schemas.openxmlformats.org/officeDocument/2006/relationships/hyperlink" Target="https://fd.nl/opinie/1409886/hogere-inflatie-is-goed-voor-energietransitie" TargetMode="External"/><Relationship Id="rId20" Type="http://schemas.openxmlformats.org/officeDocument/2006/relationships/hyperlink" Target="https://www.euractiv.com/section/economy-jobs/opinion/cancel-the-public-debt-held-by-the-ecb-and-take-back-control-of-our-destiny/" TargetMode="External"/><Relationship Id="rId1" Type="http://schemas.openxmlformats.org/officeDocument/2006/relationships/hyperlink" Target="https://www.cbs.nl/nl-nl/nieuws/2021/49/hoogste-inflatie-in-bijna-40-jaar" TargetMode="External"/><Relationship Id="rId6" Type="http://schemas.openxmlformats.org/officeDocument/2006/relationships/hyperlink" Target="https://www.cbs.nl/nl-nl/cijfers/detail/83906NED" TargetMode="External"/><Relationship Id="rId11" Type="http://schemas.openxmlformats.org/officeDocument/2006/relationships/hyperlink" Target="https://www.lazard.com/media/451419/lazards-levelized-cost-of-energy-version-140.pdf" TargetMode="External"/><Relationship Id="rId5" Type="http://schemas.openxmlformats.org/officeDocument/2006/relationships/hyperlink" Target="https://www.ecb.europa.eu/pub/projections/html/ecb.projections202112_eurosystemstaff~32e481d712.en.html" TargetMode="External"/><Relationship Id="rId15" Type="http://schemas.openxmlformats.org/officeDocument/2006/relationships/hyperlink" Target="http://www.imf.org/external/pubs/ft/spn/2010/spn1003.pdf" TargetMode="External"/><Relationship Id="rId10" Type="http://schemas.openxmlformats.org/officeDocument/2006/relationships/hyperlink" Target="https://blogs.imf.org/2021/11/10/soaring-metal-prices-may-delay-energy-transition/" TargetMode="External"/><Relationship Id="rId19" Type="http://schemas.openxmlformats.org/officeDocument/2006/relationships/hyperlink" Target="https://sustainablefinancelab.nl/wp-content/uploads/sites/334/2022/01/20220118POL-Input-EC-Economic-Governance-1.pdf" TargetMode="External"/><Relationship Id="rId4" Type="http://schemas.openxmlformats.org/officeDocument/2006/relationships/hyperlink" Target="https://www.iea.org/news/statement-on-recent-developments-in-natural-gas-and-electricity-markets" TargetMode="External"/><Relationship Id="rId9" Type="http://schemas.openxmlformats.org/officeDocument/2006/relationships/hyperlink" Target="https://www.ngfs.net/sites/default/files/media/2021/08/27/ngfs_climate_scenarios_phase2_june2021.pdf" TargetMode="External"/><Relationship Id="rId14" Type="http://schemas.openxmlformats.org/officeDocument/2006/relationships/hyperlink" Target="https://ec.europa.eu/eurostat/documents/2995521/10159211/2-17012020-AP-EN.pdf/12e497ea-cfce-c8ae-acf5-2b97b5076ba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2436</ap:Words>
  <ap:Characters>13404</ap:Characters>
  <ap:DocSecurity>0</ap:DocSecurity>
  <ap:Lines>111</ap:Lines>
  <ap:Paragraphs>31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2022-01-20T07:40:00.0000000Z</dcterms:created>
  <dcterms:modified xsi:type="dcterms:W3CDTF">2022-01-20T16:55:00.0000000Z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ies>
</file>