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49B8" w:rsidR="00C14DA9" w:rsidP="00F50B26" w:rsidRDefault="00491056" w14:paraId="64571D61" w14:textId="33163FDD">
      <w:pPr>
        <w:pStyle w:val="Kop3"/>
        <w:jc w:val="both"/>
        <w:rPr>
          <w:rFonts w:ascii="Times New Roman" w:hAnsi="Times New Roman"/>
          <w:b/>
          <w:szCs w:val="24"/>
        </w:rPr>
      </w:pPr>
      <w:bookmarkStart w:name="_GoBack" w:id="0"/>
      <w:bookmarkEnd w:id="0"/>
      <w:r w:rsidRPr="00FC49B8">
        <w:rPr>
          <w:rFonts w:ascii="Times New Roman" w:hAnsi="Times New Roman"/>
          <w:b/>
          <w:szCs w:val="24"/>
        </w:rPr>
        <w:t>V</w:t>
      </w:r>
      <w:r w:rsidRPr="00FC49B8" w:rsidR="00C14DA9">
        <w:rPr>
          <w:rFonts w:ascii="Times New Roman" w:hAnsi="Times New Roman"/>
          <w:b/>
          <w:szCs w:val="24"/>
        </w:rPr>
        <w:t>erdrag tussen he</w:t>
      </w:r>
      <w:r w:rsidRPr="00FC49B8" w:rsidR="001E35CF">
        <w:rPr>
          <w:rFonts w:ascii="Times New Roman" w:hAnsi="Times New Roman"/>
          <w:b/>
          <w:szCs w:val="24"/>
        </w:rPr>
        <w:t xml:space="preserve">t Koninkrijk der Nederlanden en </w:t>
      </w:r>
      <w:r w:rsidRPr="00FC49B8" w:rsidR="00DF5B4A">
        <w:rPr>
          <w:rFonts w:ascii="Times New Roman" w:hAnsi="Times New Roman"/>
          <w:b/>
          <w:szCs w:val="24"/>
        </w:rPr>
        <w:t>Oekraïne</w:t>
      </w:r>
      <w:r w:rsidRPr="00FC49B8" w:rsidR="001E35CF">
        <w:rPr>
          <w:rFonts w:ascii="Times New Roman" w:hAnsi="Times New Roman"/>
          <w:b/>
          <w:szCs w:val="24"/>
        </w:rPr>
        <w:t xml:space="preserve"> </w:t>
      </w:r>
      <w:r w:rsidRPr="00FC49B8" w:rsidR="00C14DA9">
        <w:rPr>
          <w:rFonts w:ascii="Times New Roman" w:hAnsi="Times New Roman"/>
          <w:b/>
          <w:szCs w:val="24"/>
        </w:rPr>
        <w:t xml:space="preserve">inzake </w:t>
      </w:r>
      <w:r w:rsidRPr="00B0168D" w:rsidR="00C14DA9">
        <w:rPr>
          <w:rFonts w:ascii="Times New Roman" w:hAnsi="Times New Roman"/>
          <w:b/>
          <w:szCs w:val="24"/>
        </w:rPr>
        <w:t xml:space="preserve">de </w:t>
      </w:r>
      <w:r w:rsidRPr="00B0168D" w:rsidR="007A75E8">
        <w:rPr>
          <w:rFonts w:ascii="Times New Roman" w:hAnsi="Times New Roman"/>
          <w:b/>
          <w:szCs w:val="24"/>
        </w:rPr>
        <w:t>voorrechten</w:t>
      </w:r>
      <w:r w:rsidRPr="00FC49B8" w:rsidR="007A75E8">
        <w:rPr>
          <w:rFonts w:ascii="Times New Roman" w:hAnsi="Times New Roman"/>
          <w:b/>
          <w:szCs w:val="24"/>
        </w:rPr>
        <w:t xml:space="preserve"> </w:t>
      </w:r>
      <w:r w:rsidRPr="00FC49B8" w:rsidR="00C14DA9">
        <w:rPr>
          <w:rFonts w:ascii="Times New Roman" w:hAnsi="Times New Roman"/>
          <w:b/>
          <w:szCs w:val="24"/>
        </w:rPr>
        <w:t xml:space="preserve">en immuniteiten van verbindingsofficieren die door </w:t>
      </w:r>
      <w:r w:rsidRPr="00FC49B8" w:rsidR="00DF5B4A">
        <w:rPr>
          <w:rFonts w:ascii="Times New Roman" w:hAnsi="Times New Roman"/>
          <w:b/>
          <w:szCs w:val="24"/>
        </w:rPr>
        <w:t>O</w:t>
      </w:r>
      <w:r w:rsidRPr="00FC49B8" w:rsidR="003205DB">
        <w:rPr>
          <w:rFonts w:ascii="Times New Roman" w:hAnsi="Times New Roman"/>
          <w:b/>
          <w:szCs w:val="24"/>
        </w:rPr>
        <w:t>e</w:t>
      </w:r>
      <w:r w:rsidRPr="00FC49B8" w:rsidR="00DF5B4A">
        <w:rPr>
          <w:rFonts w:ascii="Times New Roman" w:hAnsi="Times New Roman"/>
          <w:b/>
          <w:szCs w:val="24"/>
        </w:rPr>
        <w:t xml:space="preserve">kraïne </w:t>
      </w:r>
      <w:r w:rsidRPr="00FC49B8" w:rsidR="00C14DA9">
        <w:rPr>
          <w:rFonts w:ascii="Times New Roman" w:hAnsi="Times New Roman"/>
          <w:b/>
          <w:szCs w:val="24"/>
        </w:rPr>
        <w:t xml:space="preserve">bij Europol gedetacheerd worden; </w:t>
      </w:r>
      <w:r w:rsidR="004928F2">
        <w:rPr>
          <w:rFonts w:ascii="Times New Roman" w:hAnsi="Times New Roman"/>
          <w:b/>
          <w:szCs w:val="24"/>
        </w:rPr>
        <w:t>Kiev</w:t>
      </w:r>
      <w:r w:rsidRPr="00FC49B8" w:rsidR="00A93D62">
        <w:rPr>
          <w:rFonts w:ascii="Times New Roman" w:hAnsi="Times New Roman"/>
          <w:b/>
          <w:szCs w:val="24"/>
        </w:rPr>
        <w:t xml:space="preserve">, </w:t>
      </w:r>
      <w:r w:rsidR="004928F2">
        <w:rPr>
          <w:rFonts w:ascii="Times New Roman" w:hAnsi="Times New Roman"/>
          <w:b/>
          <w:szCs w:val="24"/>
        </w:rPr>
        <w:t>20 september 2021 (</w:t>
      </w:r>
      <w:proofErr w:type="spellStart"/>
      <w:r w:rsidRPr="00E12298" w:rsidR="004928F2">
        <w:rPr>
          <w:rFonts w:ascii="Times New Roman" w:hAnsi="Times New Roman"/>
          <w:b/>
          <w:i/>
          <w:szCs w:val="24"/>
        </w:rPr>
        <w:t>Trb</w:t>
      </w:r>
      <w:proofErr w:type="spellEnd"/>
      <w:r w:rsidRPr="00E12298" w:rsidR="004928F2">
        <w:rPr>
          <w:rFonts w:ascii="Times New Roman" w:hAnsi="Times New Roman"/>
          <w:b/>
          <w:i/>
          <w:szCs w:val="24"/>
        </w:rPr>
        <w:t>.</w:t>
      </w:r>
      <w:r w:rsidR="004928F2">
        <w:rPr>
          <w:rFonts w:ascii="Times New Roman" w:hAnsi="Times New Roman"/>
          <w:b/>
          <w:szCs w:val="24"/>
        </w:rPr>
        <w:t xml:space="preserve"> 2021, 121)</w:t>
      </w:r>
    </w:p>
    <w:p w:rsidRPr="00FC49B8" w:rsidR="00C14DA9" w:rsidP="00F50B26" w:rsidRDefault="00C14DA9" w14:paraId="42B413B8" w14:textId="1D31EF82">
      <w:pPr>
        <w:jc w:val="both"/>
        <w:rPr>
          <w:sz w:val="24"/>
          <w:szCs w:val="24"/>
        </w:rPr>
      </w:pPr>
    </w:p>
    <w:p w:rsidRPr="00FC49B8" w:rsidR="00C14DA9" w:rsidP="00F50B26" w:rsidRDefault="00C14DA9" w14:paraId="11655556" w14:textId="77777777">
      <w:pPr>
        <w:pStyle w:val="Kop1"/>
        <w:jc w:val="both"/>
        <w:rPr>
          <w:sz w:val="24"/>
          <w:szCs w:val="24"/>
        </w:rPr>
      </w:pPr>
      <w:r w:rsidRPr="00FC49B8">
        <w:rPr>
          <w:sz w:val="24"/>
          <w:szCs w:val="24"/>
        </w:rPr>
        <w:t>TOELICHTENDE NOTA</w:t>
      </w:r>
    </w:p>
    <w:p w:rsidRPr="00FC49B8" w:rsidR="00C14DA9" w:rsidP="00F50B26" w:rsidRDefault="00C14DA9" w14:paraId="77876F66" w14:textId="77777777">
      <w:pPr>
        <w:jc w:val="both"/>
        <w:rPr>
          <w:sz w:val="24"/>
          <w:szCs w:val="24"/>
        </w:rPr>
      </w:pPr>
    </w:p>
    <w:p w:rsidRPr="00FC49B8" w:rsidR="005C5D2A" w:rsidP="00E52BFC" w:rsidRDefault="00E52BFC" w14:paraId="0380F390" w14:textId="73CA6EDB">
      <w:pPr>
        <w:pStyle w:val="Kop2"/>
        <w:jc w:val="both"/>
        <w:rPr>
          <w:b/>
          <w:szCs w:val="24"/>
        </w:rPr>
      </w:pPr>
      <w:r w:rsidRPr="00FC49B8">
        <w:rPr>
          <w:b/>
          <w:szCs w:val="24"/>
        </w:rPr>
        <w:t xml:space="preserve">I. </w:t>
      </w:r>
      <w:r w:rsidRPr="00FC49B8" w:rsidR="00C14DA9">
        <w:rPr>
          <w:b/>
          <w:szCs w:val="24"/>
        </w:rPr>
        <w:t>Inleiding</w:t>
      </w:r>
    </w:p>
    <w:p w:rsidRPr="00FC49B8" w:rsidR="00C14DA9" w:rsidP="00F50B26" w:rsidRDefault="00C14DA9" w14:paraId="4C547A8E" w14:textId="77777777">
      <w:pPr>
        <w:jc w:val="both"/>
        <w:rPr>
          <w:sz w:val="24"/>
          <w:szCs w:val="24"/>
        </w:rPr>
      </w:pPr>
    </w:p>
    <w:p w:rsidRPr="00FC49B8" w:rsidR="007E4A08" w:rsidP="00F50B26" w:rsidRDefault="00425FD6" w14:paraId="585733E3" w14:textId="54978DA3">
      <w:pPr>
        <w:jc w:val="both"/>
        <w:rPr>
          <w:sz w:val="24"/>
          <w:szCs w:val="24"/>
        </w:rPr>
      </w:pPr>
      <w:r w:rsidRPr="00FC49B8">
        <w:rPr>
          <w:sz w:val="24"/>
          <w:szCs w:val="24"/>
        </w:rPr>
        <w:t>Op 14 december 2016 is tussen de Europese Politiedienst (Europol) en Oekraïne een samenwerkingsovereenkomst gesloten, die op 18 augustus 2017 in werking is getreden.</w:t>
      </w:r>
      <w:r w:rsidRPr="00FC49B8">
        <w:rPr>
          <w:rStyle w:val="Voetnootmarkering"/>
          <w:sz w:val="24"/>
          <w:szCs w:val="24"/>
        </w:rPr>
        <w:footnoteReference w:id="1"/>
      </w:r>
      <w:r w:rsidRPr="00FC49B8">
        <w:rPr>
          <w:sz w:val="24"/>
          <w:szCs w:val="24"/>
        </w:rPr>
        <w:t xml:space="preserve"> </w:t>
      </w:r>
      <w:r w:rsidRPr="00FC49B8" w:rsidR="001B0C32">
        <w:rPr>
          <w:sz w:val="24"/>
          <w:szCs w:val="24"/>
        </w:rPr>
        <w:t xml:space="preserve">Op </w:t>
      </w:r>
      <w:r w:rsidRPr="00FC49B8" w:rsidR="00FC49B8">
        <w:rPr>
          <w:sz w:val="24"/>
          <w:szCs w:val="24"/>
        </w:rPr>
        <w:t>basis</w:t>
      </w:r>
      <w:r w:rsidRPr="00FC49B8" w:rsidR="001B0C32">
        <w:rPr>
          <w:sz w:val="24"/>
          <w:szCs w:val="24"/>
        </w:rPr>
        <w:t xml:space="preserve"> van </w:t>
      </w:r>
      <w:r w:rsidRPr="00FC49B8">
        <w:rPr>
          <w:sz w:val="24"/>
          <w:szCs w:val="24"/>
        </w:rPr>
        <w:t xml:space="preserve">deze samenwerkingsovereenkomst en </w:t>
      </w:r>
      <w:r w:rsidRPr="00FC49B8" w:rsidR="005C6455">
        <w:rPr>
          <w:sz w:val="24"/>
          <w:szCs w:val="24"/>
        </w:rPr>
        <w:t>Verordening (EU) 2016/794 van het Europees Parlement en de Raad van 11</w:t>
      </w:r>
      <w:r w:rsidRPr="00FC49B8" w:rsidR="00FC49B8">
        <w:rPr>
          <w:sz w:val="24"/>
          <w:szCs w:val="24"/>
        </w:rPr>
        <w:t xml:space="preserve"> </w:t>
      </w:r>
      <w:r w:rsidRPr="00FC49B8" w:rsidR="005C6455">
        <w:rPr>
          <w:sz w:val="24"/>
          <w:szCs w:val="24"/>
        </w:rPr>
        <w:t>mei 2016 betreffende het Agentschap van de Europese Unie voor samenwerking op het gebied van rechtshandhaving (Europol)</w:t>
      </w:r>
      <w:r w:rsidRPr="00FC49B8" w:rsidR="00680C5B">
        <w:rPr>
          <w:sz w:val="24"/>
          <w:szCs w:val="24"/>
        </w:rPr>
        <w:t xml:space="preserve"> </w:t>
      </w:r>
      <w:r w:rsidRPr="00FC49B8" w:rsidR="005C6455">
        <w:rPr>
          <w:sz w:val="24"/>
          <w:szCs w:val="24"/>
        </w:rPr>
        <w:t>en tot vervanging en intrekking van de Besluiten 2009/371/JBZ, 2009/934/JBZ, 2009/935/JBZ, 2009/936/JBZ en 2009/968/JBZ van de Raad</w:t>
      </w:r>
      <w:r w:rsidRPr="00FC49B8" w:rsidR="00015C11">
        <w:rPr>
          <w:rStyle w:val="Voetnootmarkering"/>
          <w:sz w:val="24"/>
          <w:szCs w:val="24"/>
        </w:rPr>
        <w:footnoteReference w:id="2"/>
      </w:r>
      <w:r w:rsidRPr="00FC49B8" w:rsidR="00015C11">
        <w:rPr>
          <w:sz w:val="24"/>
          <w:szCs w:val="24"/>
        </w:rPr>
        <w:t xml:space="preserve"> </w:t>
      </w:r>
      <w:r w:rsidRPr="00FC49B8" w:rsidR="001B0C32">
        <w:rPr>
          <w:sz w:val="24"/>
          <w:szCs w:val="24"/>
        </w:rPr>
        <w:t>wo</w:t>
      </w:r>
      <w:r w:rsidRPr="00FC49B8" w:rsidR="00D906E9">
        <w:rPr>
          <w:sz w:val="24"/>
          <w:szCs w:val="24"/>
        </w:rPr>
        <w:t xml:space="preserve">rden verbindingsofficieren door </w:t>
      </w:r>
      <w:r w:rsidRPr="00FC49B8" w:rsidR="003205DB">
        <w:rPr>
          <w:sz w:val="24"/>
          <w:szCs w:val="24"/>
        </w:rPr>
        <w:t>Oekraïne</w:t>
      </w:r>
      <w:r w:rsidRPr="00FC49B8" w:rsidR="001B0C32">
        <w:rPr>
          <w:sz w:val="24"/>
          <w:szCs w:val="24"/>
        </w:rPr>
        <w:t xml:space="preserve"> naar Nederland (als vestigingsstaat van Europol) gezonden en bij Europol te Den Haag gedetacheerd.</w:t>
      </w:r>
      <w:r w:rsidRPr="00FC49B8" w:rsidR="00680C5B">
        <w:rPr>
          <w:sz w:val="24"/>
          <w:szCs w:val="24"/>
        </w:rPr>
        <w:t xml:space="preserve"> </w:t>
      </w:r>
    </w:p>
    <w:p w:rsidRPr="00FC49B8" w:rsidR="007E4A08" w:rsidP="00F50B26" w:rsidRDefault="007E4A08" w14:paraId="5F7CF179" w14:textId="77777777">
      <w:pPr>
        <w:jc w:val="both"/>
        <w:rPr>
          <w:sz w:val="24"/>
          <w:szCs w:val="24"/>
        </w:rPr>
      </w:pPr>
    </w:p>
    <w:p w:rsidRPr="00FC49B8" w:rsidR="001B0C32" w:rsidP="00F50B26" w:rsidRDefault="00F05A06" w14:paraId="5FEE6B8E" w14:textId="79048FF1">
      <w:pPr>
        <w:jc w:val="both"/>
        <w:rPr>
          <w:sz w:val="24"/>
          <w:szCs w:val="24"/>
          <w:lang w:eastAsia="en-US"/>
        </w:rPr>
      </w:pPr>
      <w:r w:rsidRPr="00FC49B8">
        <w:rPr>
          <w:sz w:val="24"/>
          <w:szCs w:val="24"/>
        </w:rPr>
        <w:t xml:space="preserve">De bepalingen van </w:t>
      </w:r>
      <w:r w:rsidRPr="00FC49B8" w:rsidR="00B115F8">
        <w:rPr>
          <w:sz w:val="24"/>
          <w:szCs w:val="24"/>
        </w:rPr>
        <w:t>de oorspronkelijke Overeenkomst tot oprichting van een Europese Politiedienst, tot stand gekomen op 26 juli 1995 te Brussel</w:t>
      </w:r>
      <w:r w:rsidRPr="00FC49B8" w:rsidR="00B115F8">
        <w:rPr>
          <w:rStyle w:val="Voetnootmarkering"/>
          <w:sz w:val="24"/>
          <w:szCs w:val="24"/>
        </w:rPr>
        <w:footnoteReference w:id="3"/>
      </w:r>
      <w:r w:rsidRPr="00FC49B8" w:rsidR="00B115F8">
        <w:rPr>
          <w:sz w:val="24"/>
          <w:szCs w:val="24"/>
        </w:rPr>
        <w:t>,</w:t>
      </w:r>
      <w:r w:rsidRPr="00FC49B8">
        <w:rPr>
          <w:sz w:val="24"/>
          <w:szCs w:val="24"/>
        </w:rPr>
        <w:t xml:space="preserve"> zijn vervangen door het Besluit van de Raad van 6 april 2009 tot oprichting van de Europese politiedienst (Europol) (2009/371/JBZ).</w:t>
      </w:r>
      <w:r w:rsidRPr="00FC49B8" w:rsidR="00B115F8">
        <w:rPr>
          <w:rStyle w:val="Voetnootmarkering"/>
          <w:sz w:val="24"/>
          <w:szCs w:val="24"/>
        </w:rPr>
        <w:footnoteReference w:id="4"/>
      </w:r>
      <w:r w:rsidRPr="00FC49B8" w:rsidR="00680C5B">
        <w:rPr>
          <w:sz w:val="24"/>
          <w:szCs w:val="24"/>
        </w:rPr>
        <w:t xml:space="preserve"> </w:t>
      </w:r>
      <w:r w:rsidRPr="00FC49B8">
        <w:rPr>
          <w:sz w:val="24"/>
          <w:szCs w:val="24"/>
        </w:rPr>
        <w:t>Dit raadsbesluit is vervol</w:t>
      </w:r>
      <w:r w:rsidRPr="00FC49B8" w:rsidR="00AE4EBB">
        <w:rPr>
          <w:sz w:val="24"/>
          <w:szCs w:val="24"/>
        </w:rPr>
        <w:t xml:space="preserve">gens vervangen en ingetrokken door </w:t>
      </w:r>
      <w:r w:rsidRPr="00FC49B8" w:rsidR="00D82C2D">
        <w:rPr>
          <w:sz w:val="24"/>
          <w:szCs w:val="24"/>
        </w:rPr>
        <w:t>V</w:t>
      </w:r>
      <w:r w:rsidRPr="00FC49B8" w:rsidR="00AE4EBB">
        <w:rPr>
          <w:sz w:val="24"/>
          <w:szCs w:val="24"/>
        </w:rPr>
        <w:t>erordening 2016/794.</w:t>
      </w:r>
      <w:r w:rsidRPr="00FC49B8" w:rsidR="00EA7792">
        <w:rPr>
          <w:sz w:val="24"/>
          <w:szCs w:val="24"/>
          <w:lang w:eastAsia="en-US"/>
        </w:rPr>
        <w:t xml:space="preserve"> </w:t>
      </w:r>
      <w:r w:rsidRPr="00FC49B8" w:rsidR="00001408">
        <w:rPr>
          <w:sz w:val="24"/>
          <w:szCs w:val="24"/>
          <w:lang w:eastAsia="en-US"/>
        </w:rPr>
        <w:t>Uit artikel 63 van V</w:t>
      </w:r>
      <w:r w:rsidRPr="00FC49B8" w:rsidR="00F44400">
        <w:rPr>
          <w:sz w:val="24"/>
          <w:szCs w:val="24"/>
          <w:lang w:eastAsia="en-US"/>
        </w:rPr>
        <w:t>erordening</w:t>
      </w:r>
      <w:r w:rsidRPr="00FC49B8" w:rsidR="00001408">
        <w:rPr>
          <w:sz w:val="24"/>
          <w:szCs w:val="24"/>
          <w:lang w:eastAsia="en-US"/>
        </w:rPr>
        <w:t xml:space="preserve"> 2016/794</w:t>
      </w:r>
      <w:r w:rsidRPr="00FC49B8" w:rsidR="00EB2C6E">
        <w:rPr>
          <w:sz w:val="24"/>
          <w:szCs w:val="24"/>
          <w:lang w:eastAsia="en-US"/>
        </w:rPr>
        <w:t xml:space="preserve"> </w:t>
      </w:r>
      <w:r w:rsidRPr="00FC49B8" w:rsidR="00001408">
        <w:rPr>
          <w:sz w:val="24"/>
          <w:szCs w:val="24"/>
          <w:lang w:eastAsia="en-US"/>
        </w:rPr>
        <w:t>vloeit voor Nederland de verplichting voort om als vestigingsstaat van Europol de voorrechten en immuniteiten van verbindingsofficieren afkomstig uit andere lidstaten</w:t>
      </w:r>
      <w:r w:rsidRPr="00FC49B8" w:rsidR="007E4A08">
        <w:rPr>
          <w:sz w:val="24"/>
          <w:szCs w:val="24"/>
          <w:lang w:eastAsia="en-US"/>
        </w:rPr>
        <w:t>,</w:t>
      </w:r>
      <w:r w:rsidRPr="00FC49B8" w:rsidR="00001408">
        <w:rPr>
          <w:sz w:val="24"/>
          <w:szCs w:val="24"/>
          <w:lang w:eastAsia="en-US"/>
        </w:rPr>
        <w:t xml:space="preserve"> en </w:t>
      </w:r>
      <w:r w:rsidRPr="00FC49B8" w:rsidR="007E4A08">
        <w:rPr>
          <w:sz w:val="24"/>
          <w:szCs w:val="24"/>
          <w:lang w:eastAsia="en-US"/>
        </w:rPr>
        <w:t xml:space="preserve">van </w:t>
      </w:r>
      <w:r w:rsidRPr="00FC49B8" w:rsidR="00001408">
        <w:rPr>
          <w:sz w:val="24"/>
          <w:szCs w:val="24"/>
          <w:lang w:eastAsia="en-US"/>
        </w:rPr>
        <w:t>hun gezinsleden</w:t>
      </w:r>
      <w:r w:rsidRPr="00FC49B8" w:rsidR="007E4A08">
        <w:rPr>
          <w:sz w:val="24"/>
          <w:szCs w:val="24"/>
          <w:lang w:eastAsia="en-US"/>
        </w:rPr>
        <w:t>,</w:t>
      </w:r>
      <w:r w:rsidRPr="00FC49B8" w:rsidR="00001408">
        <w:rPr>
          <w:sz w:val="24"/>
          <w:szCs w:val="24"/>
          <w:lang w:eastAsia="en-US"/>
        </w:rPr>
        <w:t xml:space="preserve"> te regelen. </w:t>
      </w:r>
    </w:p>
    <w:p w:rsidRPr="00FC49B8" w:rsidR="000F70F7" w:rsidP="00F50B26" w:rsidRDefault="000F70F7" w14:paraId="2148CC6D" w14:textId="77777777">
      <w:pPr>
        <w:jc w:val="both"/>
        <w:rPr>
          <w:sz w:val="24"/>
          <w:szCs w:val="24"/>
          <w:lang w:eastAsia="en-US"/>
        </w:rPr>
      </w:pPr>
    </w:p>
    <w:p w:rsidRPr="00FC49B8" w:rsidR="009A0597" w:rsidP="00F50B26" w:rsidRDefault="009A0597" w14:paraId="416FAC5B" w14:textId="099F2200">
      <w:pPr>
        <w:jc w:val="both"/>
        <w:rPr>
          <w:sz w:val="24"/>
          <w:szCs w:val="24"/>
        </w:rPr>
      </w:pPr>
      <w:r w:rsidRPr="00FC49B8">
        <w:rPr>
          <w:sz w:val="24"/>
          <w:szCs w:val="24"/>
        </w:rPr>
        <w:t xml:space="preserve">Door de </w:t>
      </w:r>
      <w:r w:rsidRPr="00FC49B8" w:rsidR="00E52BFC">
        <w:rPr>
          <w:sz w:val="24"/>
          <w:szCs w:val="24"/>
        </w:rPr>
        <w:t>Oekraïense</w:t>
      </w:r>
      <w:r w:rsidRPr="00FC49B8" w:rsidR="00C43560">
        <w:rPr>
          <w:sz w:val="24"/>
          <w:szCs w:val="24"/>
        </w:rPr>
        <w:t xml:space="preserve"> </w:t>
      </w:r>
      <w:r w:rsidRPr="00FC49B8">
        <w:rPr>
          <w:sz w:val="24"/>
          <w:szCs w:val="24"/>
        </w:rPr>
        <w:t xml:space="preserve">autoriteiten is verzocht om aan </w:t>
      </w:r>
      <w:r w:rsidRPr="00FC49B8" w:rsidR="003B189E">
        <w:rPr>
          <w:sz w:val="24"/>
          <w:szCs w:val="24"/>
        </w:rPr>
        <w:t>Oekraïense</w:t>
      </w:r>
      <w:r w:rsidRPr="00FC49B8">
        <w:rPr>
          <w:sz w:val="24"/>
          <w:szCs w:val="24"/>
        </w:rPr>
        <w:t xml:space="preserve"> verbindingsofficieren en hun familieleden voorrechten en immuniteiten toe te kennen. Daartoe is </w:t>
      </w:r>
      <w:r w:rsidR="004928F2">
        <w:rPr>
          <w:sz w:val="24"/>
          <w:szCs w:val="24"/>
        </w:rPr>
        <w:t>op 20 september 2021</w:t>
      </w:r>
      <w:r w:rsidRPr="00FC49B8">
        <w:rPr>
          <w:sz w:val="24"/>
          <w:szCs w:val="24"/>
        </w:rPr>
        <w:t xml:space="preserve"> met </w:t>
      </w:r>
      <w:r w:rsidRPr="00FC49B8" w:rsidR="00C43560">
        <w:rPr>
          <w:sz w:val="24"/>
          <w:szCs w:val="24"/>
        </w:rPr>
        <w:t>Oekraïne</w:t>
      </w:r>
      <w:r w:rsidRPr="00FC49B8">
        <w:rPr>
          <w:sz w:val="24"/>
          <w:szCs w:val="24"/>
        </w:rPr>
        <w:t xml:space="preserve"> </w:t>
      </w:r>
      <w:r w:rsidRPr="00FC49B8" w:rsidR="003B189E">
        <w:rPr>
          <w:sz w:val="24"/>
          <w:szCs w:val="24"/>
        </w:rPr>
        <w:t>het onderhavige</w:t>
      </w:r>
      <w:r w:rsidRPr="00FC49B8">
        <w:rPr>
          <w:sz w:val="24"/>
          <w:szCs w:val="24"/>
        </w:rPr>
        <w:t xml:space="preserve"> verdrag gesloten inzake het verlenen van voorrechten en immuniteiten.</w:t>
      </w:r>
    </w:p>
    <w:p w:rsidRPr="00FC49B8" w:rsidR="000F70F7" w:rsidP="00F50B26" w:rsidRDefault="000F70F7" w14:paraId="5A0C2C2F" w14:textId="77777777">
      <w:pPr>
        <w:jc w:val="both"/>
        <w:rPr>
          <w:sz w:val="24"/>
          <w:szCs w:val="24"/>
        </w:rPr>
      </w:pPr>
    </w:p>
    <w:p w:rsidRPr="00FC49B8" w:rsidR="001B0C32" w:rsidP="00F50B26" w:rsidRDefault="001B0C32" w14:paraId="58A11BD9" w14:textId="06DC2179">
      <w:pPr>
        <w:jc w:val="both"/>
        <w:rPr>
          <w:sz w:val="24"/>
          <w:szCs w:val="24"/>
        </w:rPr>
      </w:pPr>
      <w:r w:rsidRPr="00FC49B8">
        <w:rPr>
          <w:sz w:val="24"/>
          <w:szCs w:val="24"/>
        </w:rPr>
        <w:t xml:space="preserve">Aan de </w:t>
      </w:r>
      <w:r w:rsidRPr="00FC49B8" w:rsidR="00D906E9">
        <w:rPr>
          <w:sz w:val="24"/>
          <w:szCs w:val="24"/>
        </w:rPr>
        <w:t>Oekraïense</w:t>
      </w:r>
      <w:r w:rsidRPr="00FC49B8">
        <w:rPr>
          <w:sz w:val="24"/>
          <w:szCs w:val="24"/>
        </w:rPr>
        <w:t xml:space="preserve"> verbindingsofficieren worden dezelfde voorrechten en immuniteiten toegekend die worden verleend aan de verbindingsofficieren van de lidstaten van Europol. Deze voorrechten en immuniteiten zijn geregeld in verdragen die het Koninkrijk der Nederlanden </w:t>
      </w:r>
      <w:r w:rsidRPr="00FC49B8" w:rsidR="00D906E9">
        <w:rPr>
          <w:sz w:val="24"/>
          <w:szCs w:val="24"/>
        </w:rPr>
        <w:t xml:space="preserve">als </w:t>
      </w:r>
      <w:r w:rsidRPr="00FC49B8" w:rsidR="00D24710">
        <w:rPr>
          <w:sz w:val="24"/>
          <w:szCs w:val="24"/>
        </w:rPr>
        <w:t xml:space="preserve">vestigingsstaat </w:t>
      </w:r>
      <w:r w:rsidRPr="00FC49B8">
        <w:rPr>
          <w:sz w:val="24"/>
          <w:szCs w:val="24"/>
        </w:rPr>
        <w:t xml:space="preserve">met de lidstaten van Europol </w:t>
      </w:r>
      <w:r w:rsidRPr="00FC49B8" w:rsidR="00D906E9">
        <w:rPr>
          <w:sz w:val="24"/>
          <w:szCs w:val="24"/>
        </w:rPr>
        <w:t xml:space="preserve">en derde landen </w:t>
      </w:r>
      <w:r w:rsidRPr="00FC49B8">
        <w:rPr>
          <w:sz w:val="24"/>
          <w:szCs w:val="24"/>
        </w:rPr>
        <w:t>sluit</w:t>
      </w:r>
      <w:r w:rsidRPr="00FC49B8" w:rsidR="00072535">
        <w:rPr>
          <w:sz w:val="24"/>
          <w:szCs w:val="24"/>
        </w:rPr>
        <w:t xml:space="preserve"> (zie laatstelijk </w:t>
      </w:r>
      <w:r w:rsidRPr="00FC49B8" w:rsidR="0062759A">
        <w:rPr>
          <w:sz w:val="24"/>
          <w:szCs w:val="24"/>
        </w:rPr>
        <w:t>de</w:t>
      </w:r>
      <w:r w:rsidRPr="00FC49B8" w:rsidR="00072535">
        <w:rPr>
          <w:sz w:val="24"/>
          <w:szCs w:val="24"/>
        </w:rPr>
        <w:t xml:space="preserve"> betreffende </w:t>
      </w:r>
      <w:r w:rsidRPr="00FC49B8" w:rsidR="0062759A">
        <w:rPr>
          <w:sz w:val="24"/>
          <w:szCs w:val="24"/>
        </w:rPr>
        <w:t>notawisseling</w:t>
      </w:r>
      <w:r w:rsidRPr="00FC49B8" w:rsidR="00072535">
        <w:rPr>
          <w:sz w:val="24"/>
          <w:szCs w:val="24"/>
        </w:rPr>
        <w:t xml:space="preserve"> met </w:t>
      </w:r>
      <w:r w:rsidRPr="00FC49B8" w:rsidR="00C43560">
        <w:rPr>
          <w:sz w:val="24"/>
          <w:szCs w:val="24"/>
        </w:rPr>
        <w:t>Montenegro</w:t>
      </w:r>
      <w:r w:rsidRPr="00FC49B8" w:rsidR="004F2095">
        <w:rPr>
          <w:rStyle w:val="Voetnootmarkering"/>
          <w:sz w:val="24"/>
          <w:szCs w:val="24"/>
        </w:rPr>
        <w:footnoteReference w:id="5"/>
      </w:r>
      <w:r w:rsidRPr="00FC49B8" w:rsidR="00072535">
        <w:rPr>
          <w:sz w:val="24"/>
          <w:szCs w:val="24"/>
        </w:rPr>
        <w:t>).</w:t>
      </w:r>
    </w:p>
    <w:p w:rsidRPr="00FC49B8" w:rsidR="00C25551" w:rsidP="00F50B26" w:rsidRDefault="00C25551" w14:paraId="1FAEA587" w14:textId="7A077902">
      <w:pPr>
        <w:jc w:val="both"/>
        <w:rPr>
          <w:sz w:val="24"/>
          <w:szCs w:val="24"/>
        </w:rPr>
      </w:pPr>
    </w:p>
    <w:p w:rsidRPr="00FC49B8" w:rsidR="00C14DA9" w:rsidP="00F50B26" w:rsidRDefault="00E52BFC" w14:paraId="648CBF70" w14:textId="12A559FE">
      <w:pPr>
        <w:pStyle w:val="Kop2"/>
        <w:jc w:val="both"/>
        <w:rPr>
          <w:b/>
          <w:szCs w:val="24"/>
        </w:rPr>
      </w:pPr>
      <w:r w:rsidRPr="00FC49B8">
        <w:rPr>
          <w:b/>
          <w:szCs w:val="24"/>
        </w:rPr>
        <w:t xml:space="preserve">II. </w:t>
      </w:r>
      <w:r w:rsidRPr="00FC49B8" w:rsidR="00C14DA9">
        <w:rPr>
          <w:b/>
          <w:szCs w:val="24"/>
        </w:rPr>
        <w:t>Artikelsgewijze toelichting</w:t>
      </w:r>
    </w:p>
    <w:p w:rsidRPr="00FC49B8" w:rsidR="00C14DA9" w:rsidP="00F50B26" w:rsidRDefault="00C14DA9" w14:paraId="06990FF2" w14:textId="77777777">
      <w:pPr>
        <w:jc w:val="both"/>
        <w:rPr>
          <w:sz w:val="24"/>
          <w:szCs w:val="24"/>
        </w:rPr>
      </w:pPr>
    </w:p>
    <w:p w:rsidRPr="00FC49B8" w:rsidR="00C14DA9" w:rsidP="00F50B26" w:rsidRDefault="00C14DA9" w14:paraId="39056BBD" w14:textId="6F264170">
      <w:pPr>
        <w:jc w:val="both"/>
        <w:rPr>
          <w:sz w:val="24"/>
          <w:szCs w:val="24"/>
        </w:rPr>
      </w:pPr>
      <w:r w:rsidRPr="00FC49B8">
        <w:rPr>
          <w:sz w:val="24"/>
          <w:szCs w:val="24"/>
        </w:rPr>
        <w:t>Artikel 1 bevat definities van enkele veel gebruikte termen in het verdrag.</w:t>
      </w:r>
      <w:r w:rsidRPr="00FC49B8" w:rsidR="00425FD6">
        <w:rPr>
          <w:sz w:val="24"/>
          <w:szCs w:val="24"/>
        </w:rPr>
        <w:t xml:space="preserve"> De Protocolgids van het Koninkrijk der Nederland, zoals genoemd in artikel 1, onder f, </w:t>
      </w:r>
      <w:r w:rsidRPr="00FC49B8" w:rsidR="00F33DE2">
        <w:rPr>
          <w:sz w:val="24"/>
          <w:szCs w:val="24"/>
        </w:rPr>
        <w:t>is te vinden via de Rijksoverheidswebsite.</w:t>
      </w:r>
      <w:r w:rsidRPr="00FC49B8" w:rsidR="00F33DE2">
        <w:rPr>
          <w:rStyle w:val="Voetnootmarkering"/>
          <w:sz w:val="24"/>
          <w:szCs w:val="24"/>
        </w:rPr>
        <w:footnoteReference w:id="6"/>
      </w:r>
    </w:p>
    <w:p w:rsidRPr="00FC49B8" w:rsidR="00C14DA9" w:rsidP="00F50B26" w:rsidRDefault="00C14DA9" w14:paraId="20030DAD" w14:textId="77777777">
      <w:pPr>
        <w:jc w:val="both"/>
        <w:rPr>
          <w:sz w:val="24"/>
          <w:szCs w:val="24"/>
        </w:rPr>
      </w:pPr>
    </w:p>
    <w:p w:rsidRPr="00FC49B8" w:rsidR="00C14DA9" w:rsidP="00F50B26" w:rsidRDefault="00C14DA9" w14:paraId="4A301334" w14:textId="61D6239D">
      <w:pPr>
        <w:jc w:val="both"/>
        <w:rPr>
          <w:sz w:val="24"/>
          <w:szCs w:val="24"/>
        </w:rPr>
      </w:pPr>
      <w:r w:rsidRPr="00FC49B8">
        <w:rPr>
          <w:sz w:val="24"/>
          <w:szCs w:val="24"/>
        </w:rPr>
        <w:t>In artikel 2 wordt aan</w:t>
      </w:r>
      <w:r w:rsidRPr="00FC49B8" w:rsidR="00491884">
        <w:rPr>
          <w:sz w:val="24"/>
          <w:szCs w:val="24"/>
        </w:rPr>
        <w:t xml:space="preserve">gegeven dat aan de door </w:t>
      </w:r>
      <w:r w:rsidRPr="00FC49B8" w:rsidR="00C43560">
        <w:rPr>
          <w:sz w:val="24"/>
          <w:szCs w:val="24"/>
        </w:rPr>
        <w:t xml:space="preserve">Oekraïne </w:t>
      </w:r>
      <w:r w:rsidRPr="00FC49B8">
        <w:rPr>
          <w:sz w:val="24"/>
          <w:szCs w:val="24"/>
        </w:rPr>
        <w:t>gedetacheerde verbindingsofficieren en hun familieleden dezelfde voorrechten en immuniteiten worden verleend die op grond van het op 18 april 1961 te Wenen tot</w:t>
      </w:r>
      <w:r w:rsidRPr="00FC49B8" w:rsidR="001C1151">
        <w:rPr>
          <w:sz w:val="24"/>
          <w:szCs w:val="24"/>
        </w:rPr>
        <w:t xml:space="preserve"> </w:t>
      </w:r>
      <w:r w:rsidRPr="00FC49B8">
        <w:rPr>
          <w:sz w:val="24"/>
          <w:szCs w:val="24"/>
        </w:rPr>
        <w:t>stand</w:t>
      </w:r>
      <w:r w:rsidRPr="00FC49B8" w:rsidR="001C1151">
        <w:rPr>
          <w:sz w:val="24"/>
          <w:szCs w:val="24"/>
        </w:rPr>
        <w:t xml:space="preserve"> </w:t>
      </w:r>
      <w:r w:rsidRPr="00FC49B8">
        <w:rPr>
          <w:sz w:val="24"/>
          <w:szCs w:val="24"/>
        </w:rPr>
        <w:t xml:space="preserve">gekomen Verdrag inzake diplomatiek verkeer (hierna te noemen: </w:t>
      </w:r>
      <w:r w:rsidRPr="00FC49B8" w:rsidR="00D24710">
        <w:rPr>
          <w:sz w:val="24"/>
          <w:szCs w:val="24"/>
        </w:rPr>
        <w:t xml:space="preserve">het </w:t>
      </w:r>
      <w:r w:rsidRPr="00FC49B8">
        <w:rPr>
          <w:sz w:val="24"/>
          <w:szCs w:val="24"/>
        </w:rPr>
        <w:t>Verdrag van Wenen</w:t>
      </w:r>
      <w:r w:rsidRPr="00FC49B8" w:rsidR="004F2095">
        <w:rPr>
          <w:rStyle w:val="Voetnootmarkering"/>
          <w:sz w:val="24"/>
          <w:szCs w:val="24"/>
        </w:rPr>
        <w:footnoteReference w:id="7"/>
      </w:r>
      <w:r w:rsidRPr="00FC49B8">
        <w:rPr>
          <w:sz w:val="24"/>
          <w:szCs w:val="24"/>
        </w:rPr>
        <w:t xml:space="preserve">) toekomen aan diplomatiek personeel, </w:t>
      </w:r>
      <w:r w:rsidRPr="00FC49B8" w:rsidR="001C1151">
        <w:rPr>
          <w:sz w:val="24"/>
          <w:szCs w:val="24"/>
        </w:rPr>
        <w:t>voor zover noodzakelijk voor het onafhankelijk uitoefenen van hun f</w:t>
      </w:r>
      <w:r w:rsidRPr="00FC49B8" w:rsidR="006E463E">
        <w:rPr>
          <w:sz w:val="24"/>
          <w:szCs w:val="24"/>
        </w:rPr>
        <w:t xml:space="preserve">uncties. Daarnaast regelt het tweede lid </w:t>
      </w:r>
      <w:r w:rsidRPr="00FC49B8" w:rsidR="001C1151">
        <w:rPr>
          <w:sz w:val="24"/>
          <w:szCs w:val="24"/>
        </w:rPr>
        <w:t xml:space="preserve">van artikel 2 </w:t>
      </w:r>
      <w:r w:rsidRPr="00FC49B8">
        <w:rPr>
          <w:sz w:val="24"/>
          <w:szCs w:val="24"/>
        </w:rPr>
        <w:t xml:space="preserve">dat de </w:t>
      </w:r>
      <w:r w:rsidRPr="00FC49B8" w:rsidR="00D24710">
        <w:rPr>
          <w:sz w:val="24"/>
          <w:szCs w:val="24"/>
        </w:rPr>
        <w:t xml:space="preserve">in het eerste lid genoemde </w:t>
      </w:r>
      <w:r w:rsidRPr="00FC49B8">
        <w:rPr>
          <w:sz w:val="24"/>
          <w:szCs w:val="24"/>
        </w:rPr>
        <w:t xml:space="preserve">immuniteit uitdrukkelijk </w:t>
      </w:r>
      <w:r w:rsidRPr="00FC49B8" w:rsidR="0062759A">
        <w:rPr>
          <w:sz w:val="24"/>
          <w:szCs w:val="24"/>
        </w:rPr>
        <w:t xml:space="preserve">niet </w:t>
      </w:r>
      <w:r w:rsidRPr="00FC49B8" w:rsidR="00D24710">
        <w:rPr>
          <w:sz w:val="24"/>
          <w:szCs w:val="24"/>
        </w:rPr>
        <w:t xml:space="preserve">geldt </w:t>
      </w:r>
      <w:r w:rsidRPr="00FC49B8" w:rsidR="0062759A">
        <w:rPr>
          <w:sz w:val="24"/>
          <w:szCs w:val="24"/>
        </w:rPr>
        <w:t xml:space="preserve">in geval van </w:t>
      </w:r>
      <w:r w:rsidRPr="00FC49B8" w:rsidR="00D24710">
        <w:rPr>
          <w:sz w:val="24"/>
          <w:szCs w:val="24"/>
        </w:rPr>
        <w:t xml:space="preserve">straf-, bestuurs- of civielrechtelijke procedures inzake </w:t>
      </w:r>
      <w:r w:rsidRPr="00FC49B8" w:rsidR="0062759A">
        <w:rPr>
          <w:sz w:val="24"/>
          <w:szCs w:val="24"/>
        </w:rPr>
        <w:t>verkeersongevallen</w:t>
      </w:r>
      <w:r w:rsidRPr="00FC49B8">
        <w:rPr>
          <w:sz w:val="24"/>
          <w:szCs w:val="24"/>
        </w:rPr>
        <w:t xml:space="preserve">. Het derde lid van artikel 2 verzekert dat </w:t>
      </w:r>
      <w:r w:rsidRPr="00FC49B8" w:rsidR="00C43560">
        <w:rPr>
          <w:sz w:val="24"/>
          <w:szCs w:val="24"/>
        </w:rPr>
        <w:t>Oekraïne</w:t>
      </w:r>
      <w:r w:rsidRPr="00FC49B8" w:rsidR="00E118A1">
        <w:rPr>
          <w:sz w:val="24"/>
          <w:szCs w:val="24"/>
        </w:rPr>
        <w:t xml:space="preserve"> </w:t>
      </w:r>
      <w:r w:rsidRPr="00FC49B8">
        <w:rPr>
          <w:sz w:val="24"/>
          <w:szCs w:val="24"/>
        </w:rPr>
        <w:t xml:space="preserve">en de </w:t>
      </w:r>
      <w:r w:rsidRPr="00FC49B8" w:rsidR="00D24710">
        <w:rPr>
          <w:sz w:val="24"/>
          <w:szCs w:val="24"/>
        </w:rPr>
        <w:t>Oekraïense</w:t>
      </w:r>
      <w:r w:rsidRPr="00FC49B8" w:rsidR="00E118A1">
        <w:rPr>
          <w:sz w:val="24"/>
          <w:szCs w:val="24"/>
        </w:rPr>
        <w:t xml:space="preserve"> </w:t>
      </w:r>
      <w:r w:rsidRPr="00FC49B8">
        <w:rPr>
          <w:sz w:val="24"/>
          <w:szCs w:val="24"/>
        </w:rPr>
        <w:t>verbindingsofficieren niet alleen rechten ontlenen</w:t>
      </w:r>
      <w:r w:rsidRPr="00FC49B8" w:rsidR="00F9418E">
        <w:rPr>
          <w:sz w:val="24"/>
          <w:szCs w:val="24"/>
        </w:rPr>
        <w:t xml:space="preserve"> aan het Verdrag van Wenen, maar</w:t>
      </w:r>
      <w:r w:rsidRPr="00FC49B8">
        <w:rPr>
          <w:sz w:val="24"/>
          <w:szCs w:val="24"/>
        </w:rPr>
        <w:t xml:space="preserve"> dat voor hen ook de verplichtingen in dat Verdrag gelden.</w:t>
      </w:r>
    </w:p>
    <w:p w:rsidRPr="00FC49B8" w:rsidR="00141AE4" w:rsidP="00F50B26" w:rsidRDefault="00141AE4" w14:paraId="7CE5B1FE" w14:textId="77777777">
      <w:pPr>
        <w:jc w:val="both"/>
        <w:rPr>
          <w:sz w:val="24"/>
          <w:szCs w:val="24"/>
        </w:rPr>
      </w:pPr>
    </w:p>
    <w:p w:rsidRPr="00FC49B8" w:rsidR="00C14DA9" w:rsidP="00F50B26" w:rsidRDefault="00C14DA9" w14:paraId="315D8AFB" w14:textId="74EBF07E">
      <w:pPr>
        <w:jc w:val="both"/>
        <w:rPr>
          <w:sz w:val="24"/>
          <w:szCs w:val="24"/>
        </w:rPr>
      </w:pPr>
      <w:r w:rsidRPr="00FC49B8">
        <w:rPr>
          <w:sz w:val="24"/>
          <w:szCs w:val="24"/>
        </w:rPr>
        <w:t>De artikelen 3 en 4 bevatten bepalingen die veel voorkomen in verdragen waarmee voorrechten en immuniteiten worden verleend en waarin het Verdrag van Wenen niet expliciet voorziet. Deze bepalingen hebben tot doel eventuele visumverlening en binnenkomst van de desbetreffende personen te faciliteren en tewerkstelling van familieleden van verbindingsofficieren mogelijk te maken.</w:t>
      </w:r>
      <w:r w:rsidRPr="00FC49B8" w:rsidR="004B72DD">
        <w:rPr>
          <w:sz w:val="24"/>
          <w:szCs w:val="24"/>
        </w:rPr>
        <w:t xml:space="preserve"> Het tweede lid van artikel 4 bepaalt </w:t>
      </w:r>
      <w:r w:rsidRPr="00FC49B8" w:rsidR="00D24710">
        <w:rPr>
          <w:sz w:val="24"/>
          <w:szCs w:val="24"/>
        </w:rPr>
        <w:t xml:space="preserve">uitdrukkelijk </w:t>
      </w:r>
      <w:r w:rsidRPr="00FC49B8" w:rsidR="004B72DD">
        <w:rPr>
          <w:sz w:val="24"/>
          <w:szCs w:val="24"/>
        </w:rPr>
        <w:t xml:space="preserve">dat familieleden </w:t>
      </w:r>
      <w:r w:rsidRPr="00FC49B8" w:rsidR="00D24710">
        <w:rPr>
          <w:sz w:val="24"/>
          <w:szCs w:val="24"/>
        </w:rPr>
        <w:t xml:space="preserve">van de gedetacheerde verbindingsofficieren </w:t>
      </w:r>
      <w:r w:rsidRPr="00FC49B8" w:rsidR="004B72DD">
        <w:rPr>
          <w:sz w:val="24"/>
          <w:szCs w:val="24"/>
        </w:rPr>
        <w:t xml:space="preserve">geen immuniteit </w:t>
      </w:r>
      <w:r w:rsidRPr="00FC49B8" w:rsidR="00D24710">
        <w:rPr>
          <w:sz w:val="24"/>
          <w:szCs w:val="24"/>
        </w:rPr>
        <w:t>zullen genieten</w:t>
      </w:r>
      <w:r w:rsidRPr="00FC49B8" w:rsidR="004B72DD">
        <w:rPr>
          <w:sz w:val="24"/>
          <w:szCs w:val="24"/>
        </w:rPr>
        <w:t xml:space="preserve"> in het kader van een eventuele arbeidsrelatie.</w:t>
      </w:r>
    </w:p>
    <w:p w:rsidRPr="00FC49B8" w:rsidR="003D6A75" w:rsidP="00F50B26" w:rsidRDefault="003D6A75" w14:paraId="503A1F97" w14:textId="1A76041E">
      <w:pPr>
        <w:jc w:val="both"/>
        <w:rPr>
          <w:sz w:val="24"/>
          <w:szCs w:val="24"/>
        </w:rPr>
      </w:pPr>
    </w:p>
    <w:p w:rsidRPr="00FC49B8" w:rsidR="00C14DA9" w:rsidP="00F50B26" w:rsidRDefault="00C14DA9" w14:paraId="41352ECB" w14:textId="2BB8163E">
      <w:pPr>
        <w:jc w:val="both"/>
        <w:rPr>
          <w:sz w:val="24"/>
          <w:szCs w:val="24"/>
        </w:rPr>
      </w:pPr>
      <w:r w:rsidRPr="00FC49B8">
        <w:rPr>
          <w:sz w:val="24"/>
          <w:szCs w:val="24"/>
        </w:rPr>
        <w:t xml:space="preserve">De artikelen 5 tot en met 7 gaan in op de onschendbaarheid van de archieven van de verbindingsofficieren, op hun persoonlijke bescherming, alsmede de faciliteiten en </w:t>
      </w:r>
      <w:r w:rsidRPr="00FC49B8">
        <w:rPr>
          <w:sz w:val="24"/>
          <w:szCs w:val="24"/>
        </w:rPr>
        <w:br/>
        <w:t>immuniteiten betreffende communicatie. Deze onderwerpen zijn in het verdrag opgenomen gelet op de speciale positie die verbindingsofficieren bij Europol innemen.</w:t>
      </w:r>
    </w:p>
    <w:p w:rsidRPr="00FC49B8" w:rsidR="00C14DA9" w:rsidP="00F50B26" w:rsidRDefault="00C14DA9" w14:paraId="758DB5F4" w14:textId="3EA3B919">
      <w:pPr>
        <w:jc w:val="both"/>
        <w:rPr>
          <w:sz w:val="24"/>
          <w:szCs w:val="24"/>
        </w:rPr>
      </w:pPr>
    </w:p>
    <w:p w:rsidRPr="00FC49B8" w:rsidR="00C14DA9" w:rsidP="00F50B26" w:rsidRDefault="00C14DA9" w14:paraId="588A5A62" w14:textId="34015699">
      <w:pPr>
        <w:jc w:val="both"/>
        <w:rPr>
          <w:sz w:val="24"/>
          <w:szCs w:val="24"/>
        </w:rPr>
      </w:pPr>
      <w:r w:rsidRPr="00FC49B8">
        <w:rPr>
          <w:sz w:val="24"/>
          <w:szCs w:val="24"/>
        </w:rPr>
        <w:t xml:space="preserve">Artikel 8 regelt de melding door </w:t>
      </w:r>
      <w:r w:rsidRPr="00FC49B8" w:rsidR="00C43560">
        <w:rPr>
          <w:sz w:val="24"/>
          <w:szCs w:val="24"/>
        </w:rPr>
        <w:t>Oekraïne</w:t>
      </w:r>
      <w:r w:rsidRPr="00FC49B8">
        <w:rPr>
          <w:sz w:val="24"/>
          <w:szCs w:val="24"/>
        </w:rPr>
        <w:t xml:space="preserve"> aan de Nederlandse autoriteiten van de aankomst en het vertrek van de verbindingsofficieren, alsmede de melding indien een familielid van een verbindingsofficier niet langer deel uitmaakt van </w:t>
      </w:r>
      <w:r w:rsidRPr="00FC49B8" w:rsidR="00D24710">
        <w:rPr>
          <w:sz w:val="24"/>
          <w:szCs w:val="24"/>
        </w:rPr>
        <w:t>het</w:t>
      </w:r>
      <w:r w:rsidRPr="00FC49B8">
        <w:rPr>
          <w:sz w:val="24"/>
          <w:szCs w:val="24"/>
        </w:rPr>
        <w:t xml:space="preserve"> huishoud</w:t>
      </w:r>
      <w:r w:rsidRPr="00FC49B8" w:rsidR="00D24710">
        <w:rPr>
          <w:sz w:val="24"/>
          <w:szCs w:val="24"/>
        </w:rPr>
        <w:t>en</w:t>
      </w:r>
      <w:r w:rsidRPr="00FC49B8">
        <w:rPr>
          <w:sz w:val="24"/>
          <w:szCs w:val="24"/>
        </w:rPr>
        <w:t xml:space="preserve"> van deze verbindingsofficier. In het tweede lid wordt de verstrekking van identiteitskaarten geregeld. </w:t>
      </w:r>
    </w:p>
    <w:p w:rsidRPr="00FC49B8" w:rsidR="00C14DA9" w:rsidP="00F50B26" w:rsidRDefault="00C14DA9" w14:paraId="4EBA4E79" w14:textId="77777777">
      <w:pPr>
        <w:jc w:val="both"/>
        <w:rPr>
          <w:sz w:val="24"/>
          <w:szCs w:val="24"/>
        </w:rPr>
      </w:pPr>
    </w:p>
    <w:p w:rsidRPr="00FC49B8" w:rsidR="00E52BFC" w:rsidP="00F50B26" w:rsidRDefault="00C14DA9" w14:paraId="4133BAC2" w14:textId="07C097EA">
      <w:pPr>
        <w:jc w:val="both"/>
        <w:rPr>
          <w:sz w:val="24"/>
          <w:szCs w:val="24"/>
        </w:rPr>
      </w:pPr>
      <w:r w:rsidRPr="00FC49B8">
        <w:rPr>
          <w:sz w:val="24"/>
          <w:szCs w:val="24"/>
        </w:rPr>
        <w:t xml:space="preserve">Artikel 9 bevat een geschillenbeslechtingsregeling, die in voorkomend geval </w:t>
      </w:r>
      <w:r w:rsidRPr="00FC49B8" w:rsidR="00D906E9">
        <w:rPr>
          <w:sz w:val="24"/>
          <w:szCs w:val="24"/>
        </w:rPr>
        <w:t xml:space="preserve">– indien </w:t>
      </w:r>
      <w:r w:rsidRPr="00D234D9" w:rsidR="00D906E9">
        <w:rPr>
          <w:sz w:val="24"/>
          <w:szCs w:val="24"/>
        </w:rPr>
        <w:t xml:space="preserve">onderhandelingen geen uitkomst bieden – </w:t>
      </w:r>
      <w:r w:rsidRPr="00D234D9">
        <w:rPr>
          <w:sz w:val="24"/>
          <w:szCs w:val="24"/>
        </w:rPr>
        <w:t>kan leiden tot oprichting van een ad hoc</w:t>
      </w:r>
      <w:r w:rsidRPr="00D234D9">
        <w:rPr>
          <w:i/>
          <w:sz w:val="24"/>
          <w:szCs w:val="24"/>
        </w:rPr>
        <w:t xml:space="preserve"> </w:t>
      </w:r>
      <w:r w:rsidRPr="00D234D9">
        <w:rPr>
          <w:sz w:val="24"/>
          <w:szCs w:val="24"/>
        </w:rPr>
        <w:t>tribunaal</w:t>
      </w:r>
      <w:r w:rsidRPr="00D234D9" w:rsidR="00D906E9">
        <w:rPr>
          <w:sz w:val="24"/>
          <w:szCs w:val="24"/>
        </w:rPr>
        <w:t xml:space="preserve">. </w:t>
      </w:r>
      <w:r w:rsidRPr="00D234D9" w:rsidR="00B745C9">
        <w:rPr>
          <w:sz w:val="24"/>
          <w:szCs w:val="24"/>
        </w:rPr>
        <w:t>Dit betreft een vergelijkbare geschil</w:t>
      </w:r>
      <w:r w:rsidRPr="00D234D9" w:rsidR="007A75E8">
        <w:rPr>
          <w:sz w:val="24"/>
          <w:szCs w:val="24"/>
        </w:rPr>
        <w:t>len</w:t>
      </w:r>
      <w:r w:rsidRPr="00D234D9" w:rsidR="00B745C9">
        <w:rPr>
          <w:sz w:val="24"/>
          <w:szCs w:val="24"/>
        </w:rPr>
        <w:t xml:space="preserve">beslechtingsregeling als in voorgaande verdragen </w:t>
      </w:r>
      <w:r w:rsidRPr="00D234D9" w:rsidR="00B0168D">
        <w:rPr>
          <w:sz w:val="24"/>
          <w:szCs w:val="24"/>
        </w:rPr>
        <w:t>inzake verbindingsofficieren die door</w:t>
      </w:r>
      <w:r w:rsidRPr="00D234D9" w:rsidR="006D0903">
        <w:rPr>
          <w:sz w:val="24"/>
          <w:szCs w:val="24"/>
        </w:rPr>
        <w:t xml:space="preserve"> het</w:t>
      </w:r>
      <w:r w:rsidRPr="00D234D9" w:rsidR="00B745C9">
        <w:rPr>
          <w:sz w:val="24"/>
          <w:szCs w:val="24"/>
        </w:rPr>
        <w:t xml:space="preserve"> Koninkrijk der Nederlanden als vestigingsstaat </w:t>
      </w:r>
      <w:r w:rsidRPr="00D234D9" w:rsidR="00B0168D">
        <w:rPr>
          <w:sz w:val="24"/>
          <w:szCs w:val="24"/>
        </w:rPr>
        <w:t xml:space="preserve">zijn gesloten </w:t>
      </w:r>
      <w:r w:rsidRPr="00D234D9" w:rsidR="00B745C9">
        <w:rPr>
          <w:sz w:val="24"/>
          <w:szCs w:val="24"/>
        </w:rPr>
        <w:t xml:space="preserve">met lidstaten van Europol en derde landen. </w:t>
      </w:r>
      <w:r w:rsidRPr="00D234D9" w:rsidR="00D906E9">
        <w:rPr>
          <w:sz w:val="24"/>
          <w:szCs w:val="24"/>
        </w:rPr>
        <w:t>De bepalingen omtrent de oprichting van een ad hoc tribunaal voor geschil</w:t>
      </w:r>
      <w:r w:rsidRPr="00D234D9" w:rsidR="007A75E8">
        <w:rPr>
          <w:sz w:val="24"/>
          <w:szCs w:val="24"/>
        </w:rPr>
        <w:t>len</w:t>
      </w:r>
      <w:r w:rsidRPr="00D234D9" w:rsidR="00D906E9">
        <w:rPr>
          <w:sz w:val="24"/>
          <w:szCs w:val="24"/>
        </w:rPr>
        <w:t>beslechting (artikel 9,</w:t>
      </w:r>
      <w:r w:rsidRPr="00FC49B8" w:rsidR="00D906E9">
        <w:rPr>
          <w:sz w:val="24"/>
          <w:szCs w:val="24"/>
        </w:rPr>
        <w:t xml:space="preserve"> tweede tot en met zesde lid) zijn ingevolge artikel 11, eerste lid, uitgesloten van de voorlopige toepassing van het verdrag.</w:t>
      </w:r>
    </w:p>
    <w:p w:rsidRPr="00FC49B8" w:rsidR="00D906E9" w:rsidP="00F50B26" w:rsidRDefault="00D906E9" w14:paraId="7C470423" w14:textId="0927EF6A">
      <w:pPr>
        <w:jc w:val="both"/>
        <w:rPr>
          <w:sz w:val="24"/>
          <w:szCs w:val="24"/>
        </w:rPr>
      </w:pPr>
    </w:p>
    <w:p w:rsidRPr="00FC49B8" w:rsidR="0049113B" w:rsidP="00F50B26" w:rsidRDefault="0049113B" w14:paraId="5C18666F" w14:textId="6308B66E">
      <w:pPr>
        <w:jc w:val="both"/>
        <w:rPr>
          <w:sz w:val="24"/>
          <w:szCs w:val="24"/>
        </w:rPr>
      </w:pPr>
      <w:r w:rsidRPr="00FC49B8">
        <w:rPr>
          <w:sz w:val="24"/>
          <w:szCs w:val="24"/>
        </w:rPr>
        <w:t>Artikel 10 stelt dat het verdrag voor wat betreft het Koninkrijk der Nederlanden alleen voor het Europese deel van Nederland zal gelden.</w:t>
      </w:r>
    </w:p>
    <w:p w:rsidRPr="00FC49B8" w:rsidR="0049113B" w:rsidP="00F50B26" w:rsidRDefault="0049113B" w14:paraId="452AF673" w14:textId="77777777">
      <w:pPr>
        <w:jc w:val="both"/>
        <w:rPr>
          <w:sz w:val="24"/>
          <w:szCs w:val="24"/>
        </w:rPr>
      </w:pPr>
    </w:p>
    <w:p w:rsidRPr="00FC49B8" w:rsidR="00C14DA9" w:rsidP="00F50B26" w:rsidRDefault="003075F5" w14:paraId="6E1B404F" w14:textId="38ADA759">
      <w:pPr>
        <w:pStyle w:val="Kop2"/>
        <w:jc w:val="both"/>
        <w:rPr>
          <w:szCs w:val="24"/>
          <w:u w:val="none"/>
        </w:rPr>
      </w:pPr>
      <w:r w:rsidRPr="00FC49B8">
        <w:rPr>
          <w:szCs w:val="24"/>
          <w:u w:val="none"/>
        </w:rPr>
        <w:t xml:space="preserve">In artikel 11 wordt de datum van </w:t>
      </w:r>
      <w:r w:rsidRPr="00FC49B8" w:rsidR="00E52BFC">
        <w:rPr>
          <w:szCs w:val="24"/>
          <w:u w:val="none"/>
        </w:rPr>
        <w:t xml:space="preserve">voorlopige toepassing en </w:t>
      </w:r>
      <w:r w:rsidRPr="00FC49B8">
        <w:rPr>
          <w:szCs w:val="24"/>
          <w:u w:val="none"/>
        </w:rPr>
        <w:t xml:space="preserve">inwerkingtreding van het verdrag geregeld. </w:t>
      </w:r>
      <w:r w:rsidRPr="00FC49B8" w:rsidR="00E52BFC">
        <w:rPr>
          <w:szCs w:val="24"/>
          <w:u w:val="none"/>
        </w:rPr>
        <w:t xml:space="preserve">Het verdrag wordt vanaf de datum van ondertekening voorlopig toegepast in verband met </w:t>
      </w:r>
      <w:r w:rsidRPr="00FC49B8" w:rsidR="00D906E9">
        <w:rPr>
          <w:szCs w:val="24"/>
          <w:u w:val="none"/>
        </w:rPr>
        <w:t xml:space="preserve">op korte termijn </w:t>
      </w:r>
      <w:r w:rsidRPr="00FC49B8" w:rsidR="00E52BFC">
        <w:rPr>
          <w:szCs w:val="24"/>
          <w:u w:val="none"/>
        </w:rPr>
        <w:t>te plaatsen Oekraïense verbindingsofficieren bij Europol in Den Haag. In dat kader is van belang dat, voorafgaand aan de inwerkingtreding van het verdrag, voor die plaatsingen reeds een juridische basis aanwezig is (zie ook de inleiding).</w:t>
      </w:r>
      <w:r w:rsidRPr="00FC49B8" w:rsidR="00D906E9">
        <w:rPr>
          <w:szCs w:val="24"/>
          <w:u w:val="none"/>
        </w:rPr>
        <w:t xml:space="preserve"> </w:t>
      </w:r>
    </w:p>
    <w:p w:rsidRPr="00FC49B8" w:rsidR="003075F5" w:rsidP="00F50B26" w:rsidRDefault="003075F5" w14:paraId="389D2D62" w14:textId="14B9B908">
      <w:pPr>
        <w:jc w:val="both"/>
        <w:rPr>
          <w:sz w:val="24"/>
          <w:szCs w:val="24"/>
        </w:rPr>
      </w:pPr>
    </w:p>
    <w:p w:rsidRPr="00FC49B8" w:rsidR="00E52BFC" w:rsidP="00F50B26" w:rsidRDefault="00E52BFC" w14:paraId="0C3225EA" w14:textId="46CD1803">
      <w:pPr>
        <w:pStyle w:val="Kop2"/>
        <w:jc w:val="both"/>
        <w:rPr>
          <w:b/>
          <w:szCs w:val="24"/>
        </w:rPr>
      </w:pPr>
      <w:r w:rsidRPr="00FC49B8">
        <w:rPr>
          <w:b/>
          <w:szCs w:val="24"/>
        </w:rPr>
        <w:t>III. Een ieder verbindende bepalingen</w:t>
      </w:r>
    </w:p>
    <w:p w:rsidRPr="00FC49B8" w:rsidR="00E52BFC" w:rsidP="00F50B26" w:rsidRDefault="00E52BFC" w14:paraId="4821B21F" w14:textId="77777777">
      <w:pPr>
        <w:pStyle w:val="Kop2"/>
        <w:jc w:val="both"/>
        <w:rPr>
          <w:szCs w:val="24"/>
        </w:rPr>
      </w:pPr>
    </w:p>
    <w:p w:rsidRPr="00FC49B8" w:rsidR="00E52BFC" w:rsidP="00E52BFC" w:rsidRDefault="00E52BFC" w14:paraId="6B9458FE" w14:textId="11C1170C">
      <w:pPr>
        <w:jc w:val="both"/>
        <w:rPr>
          <w:sz w:val="24"/>
          <w:szCs w:val="24"/>
        </w:rPr>
      </w:pPr>
      <w:r w:rsidRPr="00FC49B8">
        <w:rPr>
          <w:sz w:val="24"/>
          <w:szCs w:val="24"/>
        </w:rPr>
        <w:t xml:space="preserve">Naar het oordeel van de </w:t>
      </w:r>
      <w:r w:rsidR="00DA03A5">
        <w:rPr>
          <w:sz w:val="24"/>
          <w:szCs w:val="24"/>
        </w:rPr>
        <w:t>r</w:t>
      </w:r>
      <w:r w:rsidRPr="00FC49B8">
        <w:rPr>
          <w:sz w:val="24"/>
          <w:szCs w:val="24"/>
        </w:rPr>
        <w:t>egering bevat het verdrag een ieder verbindende bepalingen in de zin van artikel 93 en 94 Grondwet, die aan rechtssubjecten rechtstreeks rechten</w:t>
      </w:r>
      <w:r w:rsidRPr="00FC49B8" w:rsidR="00D24710">
        <w:rPr>
          <w:sz w:val="24"/>
          <w:szCs w:val="24"/>
        </w:rPr>
        <w:t xml:space="preserve"> toekennen of plichten opleggen, te weten</w:t>
      </w:r>
      <w:r w:rsidRPr="00FC49B8">
        <w:rPr>
          <w:sz w:val="24"/>
          <w:szCs w:val="24"/>
        </w:rPr>
        <w:t xml:space="preserve"> (delen van) </w:t>
      </w:r>
      <w:r w:rsidRPr="00FC49B8" w:rsidR="00D24710">
        <w:rPr>
          <w:sz w:val="24"/>
          <w:szCs w:val="24"/>
        </w:rPr>
        <w:t xml:space="preserve">de </w:t>
      </w:r>
      <w:r w:rsidRPr="00FC49B8">
        <w:rPr>
          <w:sz w:val="24"/>
          <w:szCs w:val="24"/>
        </w:rPr>
        <w:t xml:space="preserve">artikelen </w:t>
      </w:r>
      <w:r w:rsidRPr="00FC49B8" w:rsidR="00D24710">
        <w:rPr>
          <w:sz w:val="24"/>
          <w:szCs w:val="24"/>
        </w:rPr>
        <w:t xml:space="preserve">2 tot en met </w:t>
      </w:r>
      <w:r w:rsidRPr="00FC49B8" w:rsidR="00B115F8">
        <w:rPr>
          <w:sz w:val="24"/>
          <w:szCs w:val="24"/>
        </w:rPr>
        <w:t>5 en 7</w:t>
      </w:r>
      <w:r w:rsidRPr="00FC49B8">
        <w:rPr>
          <w:sz w:val="24"/>
          <w:szCs w:val="24"/>
        </w:rPr>
        <w:t xml:space="preserve">. </w:t>
      </w:r>
    </w:p>
    <w:p w:rsidRPr="00FC49B8" w:rsidR="00E52BFC" w:rsidP="00F50B26" w:rsidRDefault="00E52BFC" w14:paraId="0B1F7E62" w14:textId="0B2935D4">
      <w:pPr>
        <w:pStyle w:val="Kop2"/>
        <w:jc w:val="both"/>
        <w:rPr>
          <w:szCs w:val="24"/>
        </w:rPr>
      </w:pPr>
    </w:p>
    <w:p w:rsidRPr="00FC49B8" w:rsidR="00C14DA9" w:rsidP="00F50B26" w:rsidRDefault="00E52BFC" w14:paraId="00E2E90A" w14:textId="55219362">
      <w:pPr>
        <w:pStyle w:val="Kop2"/>
        <w:jc w:val="both"/>
        <w:rPr>
          <w:b/>
          <w:szCs w:val="24"/>
        </w:rPr>
      </w:pPr>
      <w:r w:rsidRPr="00FC49B8">
        <w:rPr>
          <w:b/>
          <w:szCs w:val="24"/>
        </w:rPr>
        <w:t xml:space="preserve">IV. </w:t>
      </w:r>
      <w:proofErr w:type="spellStart"/>
      <w:r w:rsidRPr="00FC49B8" w:rsidR="00C14DA9">
        <w:rPr>
          <w:b/>
          <w:szCs w:val="24"/>
        </w:rPr>
        <w:t>Koninkrijkspositie</w:t>
      </w:r>
      <w:proofErr w:type="spellEnd"/>
    </w:p>
    <w:p w:rsidRPr="00FC49B8" w:rsidR="00C14DA9" w:rsidP="00F50B26" w:rsidRDefault="00C14DA9" w14:paraId="1C12CF58" w14:textId="77777777">
      <w:pPr>
        <w:jc w:val="both"/>
        <w:rPr>
          <w:sz w:val="24"/>
          <w:szCs w:val="24"/>
        </w:rPr>
      </w:pPr>
    </w:p>
    <w:p w:rsidRPr="00FC49B8" w:rsidR="00C14DA9" w:rsidP="00F50B26" w:rsidRDefault="00E52BFC" w14:paraId="2CE28D27" w14:textId="5EF78525">
      <w:pPr>
        <w:jc w:val="both"/>
        <w:rPr>
          <w:sz w:val="24"/>
          <w:szCs w:val="24"/>
        </w:rPr>
      </w:pPr>
      <w:r w:rsidRPr="00FC49B8">
        <w:rPr>
          <w:sz w:val="24"/>
          <w:szCs w:val="24"/>
        </w:rPr>
        <w:t>De Overeenkomst zal</w:t>
      </w:r>
      <w:r w:rsidRPr="00FC49B8" w:rsidR="005952C3">
        <w:rPr>
          <w:sz w:val="24"/>
          <w:szCs w:val="24"/>
        </w:rPr>
        <w:t xml:space="preserve">, ingevolge artikel 10 van het verdrag, </w:t>
      </w:r>
      <w:r w:rsidRPr="00FC49B8">
        <w:rPr>
          <w:sz w:val="24"/>
          <w:szCs w:val="24"/>
        </w:rPr>
        <w:t>wat betreft het Koninkrijk der Nederlanden alleen voor het Eur</w:t>
      </w:r>
      <w:r w:rsidRPr="00FC49B8" w:rsidR="00D906E9">
        <w:rPr>
          <w:sz w:val="24"/>
          <w:szCs w:val="24"/>
        </w:rPr>
        <w:t>opese deel van Nederland gelden.</w:t>
      </w:r>
    </w:p>
    <w:p w:rsidRPr="00FC49B8" w:rsidR="00C14DA9" w:rsidP="00F50B26" w:rsidRDefault="00C14DA9" w14:paraId="0A4DE893" w14:textId="77777777">
      <w:pPr>
        <w:pStyle w:val="Plattetekst"/>
        <w:jc w:val="both"/>
        <w:rPr>
          <w:i w:val="0"/>
          <w:sz w:val="24"/>
          <w:szCs w:val="24"/>
          <w:lang w:val="nl-NL"/>
        </w:rPr>
      </w:pPr>
    </w:p>
    <w:p w:rsidRPr="00FC49B8" w:rsidR="00C14DA9" w:rsidP="00F50B26" w:rsidRDefault="00C14DA9" w14:paraId="69E01199" w14:textId="77777777">
      <w:pPr>
        <w:pStyle w:val="Plattetekst"/>
        <w:jc w:val="both"/>
        <w:rPr>
          <w:i w:val="0"/>
          <w:sz w:val="24"/>
          <w:szCs w:val="24"/>
          <w:lang w:val="nl-NL"/>
        </w:rPr>
      </w:pPr>
    </w:p>
    <w:p w:rsidRPr="00FC49B8" w:rsidR="00054A7D" w:rsidP="00F50B26" w:rsidRDefault="00C14DA9" w14:paraId="1D5511C7" w14:textId="4E52BDA2">
      <w:pPr>
        <w:pStyle w:val="Plattetekst"/>
        <w:jc w:val="both"/>
        <w:rPr>
          <w:i w:val="0"/>
          <w:sz w:val="24"/>
          <w:szCs w:val="24"/>
          <w:lang w:val="nl-NL"/>
        </w:rPr>
      </w:pPr>
      <w:r w:rsidRPr="00FC49B8">
        <w:rPr>
          <w:i w:val="0"/>
          <w:sz w:val="24"/>
          <w:szCs w:val="24"/>
          <w:lang w:val="nl-NL"/>
        </w:rPr>
        <w:t>De Minister van Buitenlandse Zaken,</w:t>
      </w:r>
    </w:p>
    <w:p w:rsidRPr="00FC49B8" w:rsidR="00E52BFC" w:rsidP="00F50B26" w:rsidRDefault="00E52BFC" w14:paraId="070F1323" w14:textId="685DCF86">
      <w:pPr>
        <w:pStyle w:val="Plattetekst"/>
        <w:jc w:val="both"/>
        <w:rPr>
          <w:i w:val="0"/>
          <w:sz w:val="24"/>
          <w:szCs w:val="24"/>
          <w:lang w:val="nl-NL"/>
        </w:rPr>
      </w:pPr>
    </w:p>
    <w:p w:rsidRPr="00FC49B8" w:rsidR="00E52BFC" w:rsidP="00F50B26" w:rsidRDefault="00E52BFC" w14:paraId="71EF2F27" w14:textId="4207DE28">
      <w:pPr>
        <w:pStyle w:val="Plattetekst"/>
        <w:jc w:val="both"/>
        <w:rPr>
          <w:i w:val="0"/>
          <w:sz w:val="24"/>
          <w:szCs w:val="24"/>
          <w:lang w:val="nl-NL"/>
        </w:rPr>
      </w:pPr>
    </w:p>
    <w:p w:rsidRPr="00FC49B8" w:rsidR="00E52BFC" w:rsidP="00F50B26" w:rsidRDefault="00E52BFC" w14:paraId="42E28F28" w14:textId="089AB738">
      <w:pPr>
        <w:pStyle w:val="Plattetekst"/>
        <w:jc w:val="both"/>
        <w:rPr>
          <w:i w:val="0"/>
          <w:sz w:val="24"/>
          <w:szCs w:val="24"/>
          <w:lang w:val="nl-NL"/>
        </w:rPr>
      </w:pPr>
    </w:p>
    <w:p w:rsidR="00E52BFC" w:rsidP="00F50B26" w:rsidRDefault="00E52BFC" w14:paraId="32738FF9" w14:textId="38E80E3A">
      <w:pPr>
        <w:pStyle w:val="Plattetekst"/>
        <w:jc w:val="both"/>
        <w:rPr>
          <w:i w:val="0"/>
          <w:sz w:val="24"/>
          <w:szCs w:val="24"/>
          <w:lang w:val="nl-NL"/>
        </w:rPr>
      </w:pPr>
    </w:p>
    <w:p w:rsidR="004928F2" w:rsidP="00F50B26" w:rsidRDefault="004928F2" w14:paraId="397691B3" w14:textId="14C05693">
      <w:pPr>
        <w:pStyle w:val="Plattetekst"/>
        <w:jc w:val="both"/>
        <w:rPr>
          <w:i w:val="0"/>
          <w:sz w:val="24"/>
          <w:szCs w:val="24"/>
          <w:lang w:val="nl-NL"/>
        </w:rPr>
      </w:pPr>
    </w:p>
    <w:p w:rsidRPr="00FC49B8" w:rsidR="004928F2" w:rsidP="00F50B26" w:rsidRDefault="004928F2" w14:paraId="31C5F103" w14:textId="77777777">
      <w:pPr>
        <w:pStyle w:val="Plattetekst"/>
        <w:jc w:val="both"/>
        <w:rPr>
          <w:i w:val="0"/>
          <w:sz w:val="24"/>
          <w:szCs w:val="24"/>
          <w:lang w:val="nl-NL"/>
        </w:rPr>
      </w:pPr>
    </w:p>
    <w:p w:rsidRPr="00FC49B8" w:rsidR="00E52BFC" w:rsidP="00F50B26" w:rsidRDefault="00E52BFC" w14:paraId="579F5766" w14:textId="16E8D02E">
      <w:pPr>
        <w:pStyle w:val="Plattetekst"/>
        <w:jc w:val="both"/>
        <w:rPr>
          <w:i w:val="0"/>
          <w:sz w:val="24"/>
          <w:szCs w:val="24"/>
          <w:lang w:val="nl-NL"/>
        </w:rPr>
      </w:pPr>
    </w:p>
    <w:p w:rsidRPr="00FC49B8" w:rsidR="00E52BFC" w:rsidP="00F50B26" w:rsidRDefault="00487CAB" w14:paraId="7C872C4E" w14:textId="4E205655">
      <w:pPr>
        <w:pStyle w:val="Plattetekst"/>
        <w:jc w:val="both"/>
        <w:rPr>
          <w:i w:val="0"/>
          <w:sz w:val="24"/>
          <w:szCs w:val="24"/>
          <w:lang w:val="nl-NL"/>
        </w:rPr>
      </w:pPr>
      <w:r>
        <w:rPr>
          <w:i w:val="0"/>
          <w:sz w:val="24"/>
          <w:szCs w:val="24"/>
          <w:lang w:val="nl-NL"/>
        </w:rPr>
        <w:t>W.B. Hoekstra</w:t>
      </w:r>
    </w:p>
    <w:p w:rsidRPr="00FC49B8" w:rsidR="00895661" w:rsidP="00E5056C" w:rsidRDefault="00895661" w14:paraId="256F35B5" w14:textId="3C83D687">
      <w:pPr>
        <w:spacing w:after="160" w:line="259" w:lineRule="auto"/>
        <w:rPr>
          <w:sz w:val="24"/>
          <w:szCs w:val="24"/>
        </w:rPr>
      </w:pPr>
    </w:p>
    <w:sectPr w:rsidRPr="00FC49B8" w:rsidR="00895661" w:rsidSect="00FC49B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B1858" w14:textId="77777777" w:rsidR="00BE5F95" w:rsidRDefault="00BE5F95" w:rsidP="00072535">
      <w:r>
        <w:separator/>
      </w:r>
    </w:p>
  </w:endnote>
  <w:endnote w:type="continuationSeparator" w:id="0">
    <w:p w14:paraId="54A9AA4D" w14:textId="77777777" w:rsidR="00BE5F95" w:rsidRDefault="00BE5F95" w:rsidP="0007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649B1" w14:textId="77777777" w:rsidR="00E16226" w:rsidRDefault="00E1622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7535CC09" w14:textId="77777777" w:rsidR="00E16226" w:rsidRDefault="00E1622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47ED" w14:textId="77777777" w:rsidR="00CA0323" w:rsidRDefault="00CA03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F273" w14:textId="77777777" w:rsidR="00CA0323" w:rsidRDefault="00CA03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4E03B" w14:textId="77777777" w:rsidR="00BE5F95" w:rsidRDefault="00BE5F95" w:rsidP="00072535">
      <w:r>
        <w:separator/>
      </w:r>
    </w:p>
  </w:footnote>
  <w:footnote w:type="continuationSeparator" w:id="0">
    <w:p w14:paraId="1608167D" w14:textId="77777777" w:rsidR="00BE5F95" w:rsidRDefault="00BE5F95" w:rsidP="00072535">
      <w:r>
        <w:continuationSeparator/>
      </w:r>
    </w:p>
  </w:footnote>
  <w:footnote w:id="1">
    <w:p w14:paraId="082B77E1" w14:textId="4437E166" w:rsidR="00425FD6" w:rsidRPr="00425FD6" w:rsidRDefault="00425FD6" w:rsidP="00425FD6">
      <w:pPr>
        <w:pStyle w:val="Voetnoottekst"/>
        <w:ind w:right="-144"/>
        <w:rPr>
          <w:lang w:val="en-US"/>
        </w:rPr>
      </w:pPr>
      <w:r>
        <w:rPr>
          <w:rStyle w:val="Voetnootmarkering"/>
        </w:rPr>
        <w:footnoteRef/>
      </w:r>
      <w:r w:rsidR="00FC49B8">
        <w:rPr>
          <w:lang w:val="en-US"/>
        </w:rPr>
        <w:t xml:space="preserve"> </w:t>
      </w:r>
      <w:r w:rsidRPr="00425FD6">
        <w:rPr>
          <w:lang w:val="en-US"/>
        </w:rPr>
        <w:t>“Agreement on Operational and Strategic Co-operation between Ukraine and the European Police Office”</w:t>
      </w:r>
      <w:r w:rsidR="00FC49B8">
        <w:rPr>
          <w:lang w:val="en-US"/>
        </w:rPr>
        <w:t xml:space="preserve"> of 14 December 2016</w:t>
      </w:r>
      <w:r>
        <w:rPr>
          <w:lang w:val="en-US"/>
        </w:rPr>
        <w:t xml:space="preserve">; via </w:t>
      </w:r>
      <w:r w:rsidRPr="00425FD6">
        <w:rPr>
          <w:lang w:val="en-US"/>
        </w:rPr>
        <w:t xml:space="preserve">de website van Europol, </w:t>
      </w:r>
      <w:proofErr w:type="spellStart"/>
      <w:r w:rsidR="00F33DE2">
        <w:rPr>
          <w:lang w:val="en-US"/>
        </w:rPr>
        <w:t>zie</w:t>
      </w:r>
      <w:proofErr w:type="spellEnd"/>
      <w:r w:rsidR="00F33DE2">
        <w:rPr>
          <w:lang w:val="en-US"/>
        </w:rPr>
        <w:t xml:space="preserve">: </w:t>
      </w:r>
      <w:hyperlink r:id="rId1" w:history="1">
        <w:r w:rsidRPr="00425FD6">
          <w:rPr>
            <w:rStyle w:val="Hyperlink"/>
            <w:lang w:val="en-US"/>
          </w:rPr>
          <w:t>https://www.europol.europa.eu/partners-agreements/operational-agreements</w:t>
        </w:r>
      </w:hyperlink>
      <w:r w:rsidRPr="00425FD6">
        <w:rPr>
          <w:lang w:val="en-US"/>
        </w:rPr>
        <w:t xml:space="preserve">. </w:t>
      </w:r>
    </w:p>
  </w:footnote>
  <w:footnote w:id="2">
    <w:p w14:paraId="73C293E8" w14:textId="2ECFB8C4" w:rsidR="00015C11" w:rsidRPr="00015C11" w:rsidRDefault="00015C11">
      <w:pPr>
        <w:pStyle w:val="Voetnoottekst"/>
        <w:rPr>
          <w:lang w:val="fr-FR"/>
        </w:rPr>
      </w:pPr>
      <w:r>
        <w:rPr>
          <w:rStyle w:val="Voetnootmarkering"/>
        </w:rPr>
        <w:footnoteRef/>
      </w:r>
      <w:r w:rsidRPr="00015C11">
        <w:rPr>
          <w:lang w:val="fr-FR"/>
        </w:rPr>
        <w:t xml:space="preserve"> </w:t>
      </w:r>
      <w:proofErr w:type="spellStart"/>
      <w:r w:rsidRPr="00015C11">
        <w:rPr>
          <w:i/>
          <w:lang w:val="fr-FR"/>
        </w:rPr>
        <w:t>PbEU</w:t>
      </w:r>
      <w:proofErr w:type="spellEnd"/>
      <w:r w:rsidRPr="00015C11">
        <w:rPr>
          <w:lang w:val="fr-FR"/>
        </w:rPr>
        <w:t xml:space="preserve"> 2016, L 135</w:t>
      </w:r>
      <w:r>
        <w:rPr>
          <w:lang w:val="fr-FR"/>
        </w:rPr>
        <w:t>.</w:t>
      </w:r>
    </w:p>
  </w:footnote>
  <w:footnote w:id="3">
    <w:p w14:paraId="514DF8A7" w14:textId="4BC8E3C3" w:rsidR="00B115F8" w:rsidRPr="00015C11" w:rsidRDefault="00B115F8">
      <w:pPr>
        <w:pStyle w:val="Voetnoottekst"/>
        <w:rPr>
          <w:lang w:val="fr-FR"/>
        </w:rPr>
      </w:pPr>
      <w:r>
        <w:rPr>
          <w:rStyle w:val="Voetnootmarkering"/>
        </w:rPr>
        <w:footnoteRef/>
      </w:r>
      <w:r w:rsidRPr="00015C11">
        <w:rPr>
          <w:lang w:val="fr-FR"/>
        </w:rPr>
        <w:t xml:space="preserve"> </w:t>
      </w:r>
      <w:proofErr w:type="spellStart"/>
      <w:r w:rsidRPr="00015C11">
        <w:rPr>
          <w:i/>
          <w:lang w:val="fr-FR"/>
        </w:rPr>
        <w:t>Trb</w:t>
      </w:r>
      <w:proofErr w:type="spellEnd"/>
      <w:r w:rsidRPr="00015C11">
        <w:rPr>
          <w:lang w:val="fr-FR"/>
        </w:rPr>
        <w:t>. 1995, 282.</w:t>
      </w:r>
    </w:p>
  </w:footnote>
  <w:footnote w:id="4">
    <w:p w14:paraId="3F13031E" w14:textId="054B12AD" w:rsidR="00B115F8" w:rsidRPr="00015C11" w:rsidRDefault="00B115F8">
      <w:pPr>
        <w:pStyle w:val="Voetnoottekst"/>
        <w:rPr>
          <w:lang w:val="fr-FR"/>
        </w:rPr>
      </w:pPr>
      <w:r>
        <w:rPr>
          <w:rStyle w:val="Voetnootmarkering"/>
        </w:rPr>
        <w:footnoteRef/>
      </w:r>
      <w:r w:rsidRPr="00015C11">
        <w:rPr>
          <w:lang w:val="fr-FR"/>
        </w:rPr>
        <w:t xml:space="preserve"> </w:t>
      </w:r>
      <w:proofErr w:type="spellStart"/>
      <w:r w:rsidRPr="00015C11">
        <w:rPr>
          <w:i/>
          <w:lang w:val="fr-FR"/>
        </w:rPr>
        <w:t>PbEU</w:t>
      </w:r>
      <w:proofErr w:type="spellEnd"/>
      <w:r w:rsidRPr="00015C11">
        <w:rPr>
          <w:lang w:val="fr-FR"/>
        </w:rPr>
        <w:t xml:space="preserve"> 2009, L 121.</w:t>
      </w:r>
    </w:p>
  </w:footnote>
  <w:footnote w:id="5">
    <w:p w14:paraId="3534AC15" w14:textId="29A2B3BD" w:rsidR="004F2095" w:rsidRDefault="004F2095">
      <w:pPr>
        <w:pStyle w:val="Voetnoottekst"/>
      </w:pPr>
      <w:r>
        <w:rPr>
          <w:rStyle w:val="Voetnootmarkering"/>
        </w:rPr>
        <w:footnoteRef/>
      </w:r>
      <w:r>
        <w:t xml:space="preserve"> </w:t>
      </w:r>
      <w:proofErr w:type="spellStart"/>
      <w:r w:rsidRPr="004F2095">
        <w:rPr>
          <w:i/>
        </w:rPr>
        <w:t>Trb</w:t>
      </w:r>
      <w:proofErr w:type="spellEnd"/>
      <w:r w:rsidRPr="004F2095">
        <w:t>. 2018, 59</w:t>
      </w:r>
      <w:r>
        <w:t>.</w:t>
      </w:r>
    </w:p>
  </w:footnote>
  <w:footnote w:id="6">
    <w:p w14:paraId="29A966DE" w14:textId="667A84D4" w:rsidR="00F33DE2" w:rsidRDefault="00F33DE2">
      <w:pPr>
        <w:pStyle w:val="Voetnoottekst"/>
      </w:pPr>
      <w:r>
        <w:rPr>
          <w:rStyle w:val="Voetnootmarkering"/>
        </w:rPr>
        <w:footnoteRef/>
      </w:r>
      <w:r>
        <w:t xml:space="preserve"> Voor de meest recente versie van de Protocolgids voor Internationale Organisaties </w:t>
      </w:r>
      <w:r w:rsidR="00202F01">
        <w:t>(</w:t>
      </w:r>
      <w:r w:rsidR="00202F01" w:rsidRPr="00202F01">
        <w:t>januari 2020</w:t>
      </w:r>
      <w:r w:rsidR="00202F01">
        <w:t>),</w:t>
      </w:r>
      <w:r w:rsidRPr="00202F01">
        <w:t xml:space="preserve"> zie: </w:t>
      </w:r>
      <w:hyperlink r:id="rId2" w:history="1">
        <w:r w:rsidR="00202F01" w:rsidRPr="00202F01">
          <w:rPr>
            <w:rStyle w:val="Hyperlink"/>
          </w:rPr>
          <w:t>https://www.government.nl/documents/leaflets/2012/12/01/protocol-guide-for-international-organisations</w:t>
        </w:r>
      </w:hyperlink>
      <w:r w:rsidR="00202F01">
        <w:t>.</w:t>
      </w:r>
    </w:p>
  </w:footnote>
  <w:footnote w:id="7">
    <w:p w14:paraId="10696F42" w14:textId="7B774518" w:rsidR="004F2095" w:rsidRDefault="004F2095">
      <w:pPr>
        <w:pStyle w:val="Voetnoottekst"/>
      </w:pPr>
      <w:r>
        <w:rPr>
          <w:rStyle w:val="Voetnootmarkering"/>
        </w:rPr>
        <w:footnoteRef/>
      </w:r>
      <w:r>
        <w:t xml:space="preserve"> </w:t>
      </w:r>
      <w:proofErr w:type="spellStart"/>
      <w:r w:rsidRPr="004F2095">
        <w:rPr>
          <w:i/>
        </w:rPr>
        <w:t>Trb</w:t>
      </w:r>
      <w:proofErr w:type="spellEnd"/>
      <w:r w:rsidRPr="004F2095">
        <w:t>. 1962, 101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FF602" w14:textId="77777777" w:rsidR="00CA0323" w:rsidRDefault="00CA03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76360" w14:textId="77777777" w:rsidR="00CA0323" w:rsidRDefault="00CA03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9202D" w14:textId="77777777" w:rsidR="00CA0323" w:rsidRDefault="00CA032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A5D9B"/>
    <w:multiLevelType w:val="hybridMultilevel"/>
    <w:tmpl w:val="FE08028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A1108FD"/>
    <w:multiLevelType w:val="hybridMultilevel"/>
    <w:tmpl w:val="90D4884C"/>
    <w:lvl w:ilvl="0" w:tplc="7590A8EA">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DA9"/>
    <w:rsid w:val="00001408"/>
    <w:rsid w:val="00002B7C"/>
    <w:rsid w:val="000118A7"/>
    <w:rsid w:val="000130AF"/>
    <w:rsid w:val="00013D59"/>
    <w:rsid w:val="00015C11"/>
    <w:rsid w:val="00035039"/>
    <w:rsid w:val="00054A7D"/>
    <w:rsid w:val="00072535"/>
    <w:rsid w:val="000F1628"/>
    <w:rsid w:val="000F4AEF"/>
    <w:rsid w:val="000F70F7"/>
    <w:rsid w:val="00100338"/>
    <w:rsid w:val="00141AE4"/>
    <w:rsid w:val="00152301"/>
    <w:rsid w:val="001651BC"/>
    <w:rsid w:val="00171266"/>
    <w:rsid w:val="001A1C87"/>
    <w:rsid w:val="001B0C32"/>
    <w:rsid w:val="001C02D1"/>
    <w:rsid w:val="001C1151"/>
    <w:rsid w:val="001C6CCE"/>
    <w:rsid w:val="001E35CF"/>
    <w:rsid w:val="00202F01"/>
    <w:rsid w:val="00213570"/>
    <w:rsid w:val="002307BD"/>
    <w:rsid w:val="002404F9"/>
    <w:rsid w:val="0026021C"/>
    <w:rsid w:val="00291347"/>
    <w:rsid w:val="002B405A"/>
    <w:rsid w:val="002B4A4B"/>
    <w:rsid w:val="002C3F91"/>
    <w:rsid w:val="002E2AB2"/>
    <w:rsid w:val="003075F5"/>
    <w:rsid w:val="003140C6"/>
    <w:rsid w:val="003205DB"/>
    <w:rsid w:val="00360B85"/>
    <w:rsid w:val="00360F65"/>
    <w:rsid w:val="003738E5"/>
    <w:rsid w:val="00377458"/>
    <w:rsid w:val="0038683F"/>
    <w:rsid w:val="003B189E"/>
    <w:rsid w:val="003C4008"/>
    <w:rsid w:val="003D5F58"/>
    <w:rsid w:val="003D6A75"/>
    <w:rsid w:val="003E72B4"/>
    <w:rsid w:val="00425FD6"/>
    <w:rsid w:val="00437512"/>
    <w:rsid w:val="00440857"/>
    <w:rsid w:val="004610A5"/>
    <w:rsid w:val="00486CC1"/>
    <w:rsid w:val="00487CAB"/>
    <w:rsid w:val="00491056"/>
    <w:rsid w:val="0049113B"/>
    <w:rsid w:val="00491884"/>
    <w:rsid w:val="004928F2"/>
    <w:rsid w:val="004B72DD"/>
    <w:rsid w:val="004D1A7B"/>
    <w:rsid w:val="004F2095"/>
    <w:rsid w:val="00537C90"/>
    <w:rsid w:val="005952C3"/>
    <w:rsid w:val="005C5D2A"/>
    <w:rsid w:val="005C6455"/>
    <w:rsid w:val="005E57A1"/>
    <w:rsid w:val="005F398C"/>
    <w:rsid w:val="0062759A"/>
    <w:rsid w:val="00631E64"/>
    <w:rsid w:val="0065460E"/>
    <w:rsid w:val="00680C5B"/>
    <w:rsid w:val="00690F15"/>
    <w:rsid w:val="006D0903"/>
    <w:rsid w:val="006E2459"/>
    <w:rsid w:val="006E463E"/>
    <w:rsid w:val="006F5A35"/>
    <w:rsid w:val="00721830"/>
    <w:rsid w:val="00745441"/>
    <w:rsid w:val="007618A8"/>
    <w:rsid w:val="00771E0B"/>
    <w:rsid w:val="007A75E8"/>
    <w:rsid w:val="007B257F"/>
    <w:rsid w:val="007C20E8"/>
    <w:rsid w:val="007D79C8"/>
    <w:rsid w:val="007E08EA"/>
    <w:rsid w:val="007E4A08"/>
    <w:rsid w:val="007F36D9"/>
    <w:rsid w:val="00803C77"/>
    <w:rsid w:val="008158F2"/>
    <w:rsid w:val="00826778"/>
    <w:rsid w:val="00832F1F"/>
    <w:rsid w:val="00895661"/>
    <w:rsid w:val="008D2AB7"/>
    <w:rsid w:val="00915861"/>
    <w:rsid w:val="009441BE"/>
    <w:rsid w:val="0095484C"/>
    <w:rsid w:val="00956AAB"/>
    <w:rsid w:val="009700A3"/>
    <w:rsid w:val="009760EB"/>
    <w:rsid w:val="009A0597"/>
    <w:rsid w:val="00A1726A"/>
    <w:rsid w:val="00A26AFC"/>
    <w:rsid w:val="00A371DF"/>
    <w:rsid w:val="00A475CC"/>
    <w:rsid w:val="00A56B78"/>
    <w:rsid w:val="00A6502D"/>
    <w:rsid w:val="00A8329B"/>
    <w:rsid w:val="00A93A43"/>
    <w:rsid w:val="00A93D62"/>
    <w:rsid w:val="00AB0CCF"/>
    <w:rsid w:val="00AB159A"/>
    <w:rsid w:val="00AB2102"/>
    <w:rsid w:val="00AC5E69"/>
    <w:rsid w:val="00AD4FF8"/>
    <w:rsid w:val="00AE4EBB"/>
    <w:rsid w:val="00B0168D"/>
    <w:rsid w:val="00B104ED"/>
    <w:rsid w:val="00B115F8"/>
    <w:rsid w:val="00B40D48"/>
    <w:rsid w:val="00B745C9"/>
    <w:rsid w:val="00B902C5"/>
    <w:rsid w:val="00BE5F95"/>
    <w:rsid w:val="00C003F7"/>
    <w:rsid w:val="00C14DA9"/>
    <w:rsid w:val="00C25551"/>
    <w:rsid w:val="00C43560"/>
    <w:rsid w:val="00C64643"/>
    <w:rsid w:val="00C66E18"/>
    <w:rsid w:val="00C87905"/>
    <w:rsid w:val="00CA0323"/>
    <w:rsid w:val="00CB25FE"/>
    <w:rsid w:val="00CB2F36"/>
    <w:rsid w:val="00CD59A9"/>
    <w:rsid w:val="00CE1DD0"/>
    <w:rsid w:val="00CE5C6F"/>
    <w:rsid w:val="00CF5739"/>
    <w:rsid w:val="00D234D9"/>
    <w:rsid w:val="00D24710"/>
    <w:rsid w:val="00D82C2D"/>
    <w:rsid w:val="00D9041A"/>
    <w:rsid w:val="00D906E9"/>
    <w:rsid w:val="00DA03A5"/>
    <w:rsid w:val="00DB0597"/>
    <w:rsid w:val="00DC191F"/>
    <w:rsid w:val="00DD04CE"/>
    <w:rsid w:val="00DE32DF"/>
    <w:rsid w:val="00DF5B4A"/>
    <w:rsid w:val="00E118A1"/>
    <w:rsid w:val="00E12298"/>
    <w:rsid w:val="00E12DC7"/>
    <w:rsid w:val="00E16226"/>
    <w:rsid w:val="00E23DF6"/>
    <w:rsid w:val="00E5056C"/>
    <w:rsid w:val="00E52BFC"/>
    <w:rsid w:val="00E604EF"/>
    <w:rsid w:val="00E713FF"/>
    <w:rsid w:val="00EA4AE8"/>
    <w:rsid w:val="00EA7792"/>
    <w:rsid w:val="00EB2C6E"/>
    <w:rsid w:val="00EB4D2E"/>
    <w:rsid w:val="00F05A06"/>
    <w:rsid w:val="00F23B79"/>
    <w:rsid w:val="00F33DE2"/>
    <w:rsid w:val="00F44400"/>
    <w:rsid w:val="00F45719"/>
    <w:rsid w:val="00F50B26"/>
    <w:rsid w:val="00F73F05"/>
    <w:rsid w:val="00F9418E"/>
    <w:rsid w:val="00FC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6D1B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745C9"/>
    <w:pPr>
      <w:spacing w:after="0" w:line="240" w:lineRule="auto"/>
    </w:pPr>
    <w:rPr>
      <w:rFonts w:ascii="Times New Roman" w:eastAsia="Times New Roman" w:hAnsi="Times New Roman" w:cs="Times New Roman"/>
      <w:szCs w:val="20"/>
      <w:lang w:val="nl-NL" w:eastAsia="zh-CN"/>
    </w:rPr>
  </w:style>
  <w:style w:type="paragraph" w:styleId="Kop1">
    <w:name w:val="heading 1"/>
    <w:basedOn w:val="Standaard"/>
    <w:next w:val="Standaard"/>
    <w:link w:val="Kop1Char"/>
    <w:qFormat/>
    <w:rsid w:val="00C14DA9"/>
    <w:pPr>
      <w:keepNext/>
      <w:outlineLvl w:val="0"/>
    </w:pPr>
    <w:rPr>
      <w:b/>
    </w:rPr>
  </w:style>
  <w:style w:type="paragraph" w:styleId="Kop2">
    <w:name w:val="heading 2"/>
    <w:basedOn w:val="Standaard"/>
    <w:next w:val="Standaard"/>
    <w:link w:val="Kop2Char"/>
    <w:qFormat/>
    <w:rsid w:val="00C14DA9"/>
    <w:pPr>
      <w:keepNext/>
      <w:outlineLvl w:val="1"/>
    </w:pPr>
    <w:rPr>
      <w:sz w:val="24"/>
      <w:u w:val="single"/>
    </w:rPr>
  </w:style>
  <w:style w:type="paragraph" w:styleId="Kop3">
    <w:name w:val="heading 3"/>
    <w:basedOn w:val="Standaard"/>
    <w:next w:val="Standaard"/>
    <w:link w:val="Kop3Char"/>
    <w:qFormat/>
    <w:rsid w:val="00C14DA9"/>
    <w:pPr>
      <w:keepNext/>
      <w:spacing w:before="240" w:after="60"/>
      <w:outlineLvl w:val="2"/>
    </w:pPr>
    <w:rPr>
      <w:rFonts w:ascii="Arial" w:hAnsi="Arial"/>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14DA9"/>
    <w:rPr>
      <w:rFonts w:ascii="Times New Roman" w:eastAsia="Times New Roman" w:hAnsi="Times New Roman" w:cs="Times New Roman"/>
      <w:b/>
      <w:szCs w:val="20"/>
      <w:lang w:val="nl-NL" w:eastAsia="zh-CN"/>
    </w:rPr>
  </w:style>
  <w:style w:type="character" w:customStyle="1" w:styleId="Kop2Char">
    <w:name w:val="Kop 2 Char"/>
    <w:basedOn w:val="Standaardalinea-lettertype"/>
    <w:link w:val="Kop2"/>
    <w:rsid w:val="00C14DA9"/>
    <w:rPr>
      <w:rFonts w:ascii="Times New Roman" w:eastAsia="Times New Roman" w:hAnsi="Times New Roman" w:cs="Times New Roman"/>
      <w:sz w:val="24"/>
      <w:szCs w:val="20"/>
      <w:u w:val="single"/>
      <w:lang w:val="nl-NL" w:eastAsia="zh-CN"/>
    </w:rPr>
  </w:style>
  <w:style w:type="character" w:customStyle="1" w:styleId="Kop3Char">
    <w:name w:val="Kop 3 Char"/>
    <w:basedOn w:val="Standaardalinea-lettertype"/>
    <w:link w:val="Kop3"/>
    <w:rsid w:val="00C14DA9"/>
    <w:rPr>
      <w:rFonts w:ascii="Arial" w:eastAsia="Times New Roman" w:hAnsi="Arial" w:cs="Times New Roman"/>
      <w:sz w:val="24"/>
      <w:szCs w:val="20"/>
      <w:lang w:val="nl-NL" w:eastAsia="zh-CN"/>
    </w:rPr>
  </w:style>
  <w:style w:type="paragraph" w:styleId="Voettekst">
    <w:name w:val="footer"/>
    <w:basedOn w:val="Standaard"/>
    <w:link w:val="VoettekstChar"/>
    <w:uiPriority w:val="99"/>
    <w:rsid w:val="00C14DA9"/>
    <w:pPr>
      <w:tabs>
        <w:tab w:val="center" w:pos="4153"/>
        <w:tab w:val="right" w:pos="8306"/>
      </w:tabs>
    </w:pPr>
  </w:style>
  <w:style w:type="character" w:customStyle="1" w:styleId="VoettekstChar">
    <w:name w:val="Voettekst Char"/>
    <w:basedOn w:val="Standaardalinea-lettertype"/>
    <w:link w:val="Voettekst"/>
    <w:uiPriority w:val="99"/>
    <w:rsid w:val="00C14DA9"/>
    <w:rPr>
      <w:rFonts w:ascii="Times New Roman" w:eastAsia="Times New Roman" w:hAnsi="Times New Roman" w:cs="Times New Roman"/>
      <w:szCs w:val="20"/>
      <w:lang w:val="nl-NL" w:eastAsia="zh-CN"/>
    </w:rPr>
  </w:style>
  <w:style w:type="paragraph" w:styleId="Plattetekst">
    <w:name w:val="Body Text"/>
    <w:basedOn w:val="Standaard"/>
    <w:link w:val="PlattetekstChar"/>
    <w:rsid w:val="00C14DA9"/>
    <w:rPr>
      <w:i/>
      <w:lang w:val="en-US"/>
    </w:rPr>
  </w:style>
  <w:style w:type="character" w:customStyle="1" w:styleId="PlattetekstChar">
    <w:name w:val="Platte tekst Char"/>
    <w:basedOn w:val="Standaardalinea-lettertype"/>
    <w:link w:val="Plattetekst"/>
    <w:rsid w:val="00C14DA9"/>
    <w:rPr>
      <w:rFonts w:ascii="Times New Roman" w:eastAsia="Times New Roman" w:hAnsi="Times New Roman" w:cs="Times New Roman"/>
      <w:i/>
      <w:szCs w:val="20"/>
      <w:lang w:eastAsia="zh-CN"/>
    </w:rPr>
  </w:style>
  <w:style w:type="character" w:styleId="Paginanummer">
    <w:name w:val="page number"/>
    <w:basedOn w:val="Standaardalinea-lettertype"/>
    <w:rsid w:val="00C14DA9"/>
  </w:style>
  <w:style w:type="character" w:styleId="Verwijzingopmerking">
    <w:name w:val="annotation reference"/>
    <w:basedOn w:val="Standaardalinea-lettertype"/>
    <w:uiPriority w:val="99"/>
    <w:semiHidden/>
    <w:unhideWhenUsed/>
    <w:rsid w:val="00152301"/>
    <w:rPr>
      <w:sz w:val="16"/>
      <w:szCs w:val="16"/>
    </w:rPr>
  </w:style>
  <w:style w:type="paragraph" w:styleId="Tekstopmerking">
    <w:name w:val="annotation text"/>
    <w:basedOn w:val="Standaard"/>
    <w:link w:val="TekstopmerkingChar"/>
    <w:uiPriority w:val="99"/>
    <w:semiHidden/>
    <w:unhideWhenUsed/>
    <w:rsid w:val="00152301"/>
    <w:rPr>
      <w:sz w:val="20"/>
    </w:rPr>
  </w:style>
  <w:style w:type="character" w:customStyle="1" w:styleId="TekstopmerkingChar">
    <w:name w:val="Tekst opmerking Char"/>
    <w:basedOn w:val="Standaardalinea-lettertype"/>
    <w:link w:val="Tekstopmerking"/>
    <w:uiPriority w:val="99"/>
    <w:semiHidden/>
    <w:rsid w:val="00152301"/>
    <w:rPr>
      <w:rFonts w:ascii="Times New Roman" w:eastAsia="Times New Roman" w:hAnsi="Times New Roman" w:cs="Times New Roman"/>
      <w:sz w:val="20"/>
      <w:szCs w:val="20"/>
      <w:lang w:val="nl-NL" w:eastAsia="zh-CN"/>
    </w:rPr>
  </w:style>
  <w:style w:type="paragraph" w:styleId="Onderwerpvanopmerking">
    <w:name w:val="annotation subject"/>
    <w:basedOn w:val="Tekstopmerking"/>
    <w:next w:val="Tekstopmerking"/>
    <w:link w:val="OnderwerpvanopmerkingChar"/>
    <w:uiPriority w:val="99"/>
    <w:semiHidden/>
    <w:unhideWhenUsed/>
    <w:rsid w:val="00152301"/>
    <w:rPr>
      <w:b/>
      <w:bCs/>
    </w:rPr>
  </w:style>
  <w:style w:type="character" w:customStyle="1" w:styleId="OnderwerpvanopmerkingChar">
    <w:name w:val="Onderwerp van opmerking Char"/>
    <w:basedOn w:val="TekstopmerkingChar"/>
    <w:link w:val="Onderwerpvanopmerking"/>
    <w:uiPriority w:val="99"/>
    <w:semiHidden/>
    <w:rsid w:val="00152301"/>
    <w:rPr>
      <w:rFonts w:ascii="Times New Roman" w:eastAsia="Times New Roman" w:hAnsi="Times New Roman" w:cs="Times New Roman"/>
      <w:b/>
      <w:bCs/>
      <w:sz w:val="20"/>
      <w:szCs w:val="20"/>
      <w:lang w:val="nl-NL" w:eastAsia="zh-CN"/>
    </w:rPr>
  </w:style>
  <w:style w:type="paragraph" w:styleId="Ballontekst">
    <w:name w:val="Balloon Text"/>
    <w:basedOn w:val="Standaard"/>
    <w:link w:val="BallontekstChar"/>
    <w:uiPriority w:val="99"/>
    <w:semiHidden/>
    <w:unhideWhenUsed/>
    <w:rsid w:val="0015230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52301"/>
    <w:rPr>
      <w:rFonts w:ascii="Segoe UI" w:eastAsia="Times New Roman" w:hAnsi="Segoe UI" w:cs="Segoe UI"/>
      <w:sz w:val="18"/>
      <w:szCs w:val="18"/>
      <w:lang w:val="nl-NL" w:eastAsia="zh-CN"/>
    </w:rPr>
  </w:style>
  <w:style w:type="paragraph" w:styleId="Koptekst">
    <w:name w:val="header"/>
    <w:basedOn w:val="Standaard"/>
    <w:link w:val="KoptekstChar"/>
    <w:uiPriority w:val="99"/>
    <w:unhideWhenUsed/>
    <w:rsid w:val="00072535"/>
    <w:pPr>
      <w:tabs>
        <w:tab w:val="center" w:pos="4513"/>
        <w:tab w:val="right" w:pos="9026"/>
      </w:tabs>
    </w:pPr>
  </w:style>
  <w:style w:type="character" w:customStyle="1" w:styleId="KoptekstChar">
    <w:name w:val="Koptekst Char"/>
    <w:basedOn w:val="Standaardalinea-lettertype"/>
    <w:link w:val="Koptekst"/>
    <w:uiPriority w:val="99"/>
    <w:rsid w:val="00072535"/>
    <w:rPr>
      <w:rFonts w:ascii="Times New Roman" w:eastAsia="Times New Roman" w:hAnsi="Times New Roman" w:cs="Times New Roman"/>
      <w:szCs w:val="20"/>
      <w:lang w:val="nl-NL" w:eastAsia="zh-CN"/>
    </w:rPr>
  </w:style>
  <w:style w:type="paragraph" w:styleId="Voetnoottekst">
    <w:name w:val="footnote text"/>
    <w:basedOn w:val="Standaard"/>
    <w:link w:val="VoetnoottekstChar"/>
    <w:uiPriority w:val="99"/>
    <w:semiHidden/>
    <w:unhideWhenUsed/>
    <w:rsid w:val="0026021C"/>
    <w:rPr>
      <w:sz w:val="20"/>
    </w:rPr>
  </w:style>
  <w:style w:type="character" w:customStyle="1" w:styleId="VoetnoottekstChar">
    <w:name w:val="Voetnoottekst Char"/>
    <w:basedOn w:val="Standaardalinea-lettertype"/>
    <w:link w:val="Voetnoottekst"/>
    <w:uiPriority w:val="99"/>
    <w:semiHidden/>
    <w:rsid w:val="0026021C"/>
    <w:rPr>
      <w:rFonts w:ascii="Times New Roman" w:eastAsia="Times New Roman" w:hAnsi="Times New Roman" w:cs="Times New Roman"/>
      <w:sz w:val="20"/>
      <w:szCs w:val="20"/>
      <w:lang w:val="nl-NL" w:eastAsia="zh-CN"/>
    </w:rPr>
  </w:style>
  <w:style w:type="character" w:styleId="Voetnootmarkering">
    <w:name w:val="footnote reference"/>
    <w:basedOn w:val="Standaardalinea-lettertype"/>
    <w:uiPriority w:val="99"/>
    <w:semiHidden/>
    <w:unhideWhenUsed/>
    <w:rsid w:val="0026021C"/>
    <w:rPr>
      <w:vertAlign w:val="superscript"/>
    </w:rPr>
  </w:style>
  <w:style w:type="character" w:styleId="Hyperlink">
    <w:name w:val="Hyperlink"/>
    <w:basedOn w:val="Standaardalinea-lettertype"/>
    <w:uiPriority w:val="99"/>
    <w:unhideWhenUsed/>
    <w:rsid w:val="0026021C"/>
    <w:rPr>
      <w:color w:val="0000FF"/>
      <w:u w:val="single"/>
    </w:rPr>
  </w:style>
  <w:style w:type="paragraph" w:customStyle="1" w:styleId="doc-ti">
    <w:name w:val="doc-ti"/>
    <w:basedOn w:val="Standaard"/>
    <w:rsid w:val="009441BE"/>
    <w:pPr>
      <w:spacing w:before="100" w:beforeAutospacing="1" w:after="100" w:afterAutospacing="1"/>
    </w:pPr>
    <w:rPr>
      <w:sz w:val="24"/>
      <w:szCs w:val="24"/>
      <w:lang w:eastAsia="nl-NL"/>
    </w:rPr>
  </w:style>
  <w:style w:type="paragraph" w:styleId="Lijstalinea">
    <w:name w:val="List Paragraph"/>
    <w:basedOn w:val="Standaard"/>
    <w:uiPriority w:val="34"/>
    <w:qFormat/>
    <w:rsid w:val="00054A7D"/>
    <w:pPr>
      <w:ind w:left="720"/>
      <w:contextualSpacing/>
    </w:pPr>
    <w:rPr>
      <w:lang w:eastAsia="en-US"/>
    </w:rPr>
  </w:style>
  <w:style w:type="paragraph" w:styleId="Geenafstand">
    <w:name w:val="No Spacing"/>
    <w:uiPriority w:val="1"/>
    <w:qFormat/>
    <w:rsid w:val="00054A7D"/>
    <w:pPr>
      <w:spacing w:after="0" w:line="240" w:lineRule="auto"/>
    </w:pPr>
    <w:rPr>
      <w:rFonts w:ascii="Calibri" w:eastAsia="Times New Roman" w:hAnsi="Calibri" w:cs="Times New Roman"/>
      <w:lang w:val="en-GB"/>
    </w:rPr>
  </w:style>
  <w:style w:type="paragraph" w:styleId="Revisie">
    <w:name w:val="Revision"/>
    <w:hidden/>
    <w:uiPriority w:val="99"/>
    <w:semiHidden/>
    <w:rsid w:val="007E4A08"/>
    <w:pPr>
      <w:spacing w:after="0" w:line="240" w:lineRule="auto"/>
    </w:pPr>
    <w:rPr>
      <w:rFonts w:ascii="Times New Roman" w:eastAsia="Times New Roman" w:hAnsi="Times New Roman" w:cs="Times New Roman"/>
      <w:szCs w:val="20"/>
      <w:lang w:val="nl-NL" w:eastAsia="zh-CN"/>
    </w:rPr>
  </w:style>
  <w:style w:type="paragraph" w:styleId="Plattetekstinspringen">
    <w:name w:val="Body Text Indent"/>
    <w:basedOn w:val="Standaard"/>
    <w:link w:val="PlattetekstinspringenChar"/>
    <w:uiPriority w:val="99"/>
    <w:semiHidden/>
    <w:unhideWhenUsed/>
    <w:rsid w:val="00B745C9"/>
    <w:pPr>
      <w:spacing w:after="120"/>
      <w:ind w:left="283"/>
    </w:pPr>
  </w:style>
  <w:style w:type="character" w:customStyle="1" w:styleId="PlattetekstinspringenChar">
    <w:name w:val="Platte tekst inspringen Char"/>
    <w:basedOn w:val="Standaardalinea-lettertype"/>
    <w:link w:val="Plattetekstinspringen"/>
    <w:uiPriority w:val="99"/>
    <w:semiHidden/>
    <w:rsid w:val="00B745C9"/>
    <w:rPr>
      <w:rFonts w:ascii="Times New Roman" w:eastAsia="Times New Roman" w:hAnsi="Times New Roman" w:cs="Times New Roman"/>
      <w:szCs w:val="20"/>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91133">
      <w:bodyDiv w:val="1"/>
      <w:marLeft w:val="0"/>
      <w:marRight w:val="0"/>
      <w:marTop w:val="0"/>
      <w:marBottom w:val="0"/>
      <w:divBdr>
        <w:top w:val="none" w:sz="0" w:space="0" w:color="auto"/>
        <w:left w:val="none" w:sz="0" w:space="0" w:color="auto"/>
        <w:bottom w:val="none" w:sz="0" w:space="0" w:color="auto"/>
        <w:right w:val="none" w:sz="0" w:space="0" w:color="auto"/>
      </w:divBdr>
    </w:div>
    <w:div w:id="1293827242">
      <w:bodyDiv w:val="1"/>
      <w:marLeft w:val="0"/>
      <w:marRight w:val="0"/>
      <w:marTop w:val="0"/>
      <w:marBottom w:val="0"/>
      <w:divBdr>
        <w:top w:val="none" w:sz="0" w:space="0" w:color="auto"/>
        <w:left w:val="none" w:sz="0" w:space="0" w:color="auto"/>
        <w:bottom w:val="none" w:sz="0" w:space="0" w:color="auto"/>
        <w:right w:val="none" w:sz="0" w:space="0" w:color="auto"/>
      </w:divBdr>
    </w:div>
    <w:div w:id="17747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government.nl/documents/leaflets/2012/12/01/protocol-guide-for-international-organisations" TargetMode="External"/><Relationship Id="rId1" Type="http://schemas.openxmlformats.org/officeDocument/2006/relationships/hyperlink" Target="https://www.europol.europa.eu/partners-agreements/operational-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970</ap:Words>
  <ap:Characters>5337</ap:Characters>
  <ap:DocSecurity>0</ap:DocSecurity>
  <ap:Lines>44</ap:Lines>
  <ap:Paragraphs>12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2022-01-30T20:16:00.0000000Z</dcterms:created>
  <dcterms:modified xsi:type="dcterms:W3CDTF">2022-01-30T20:16:00.0000000Z</dcterms:modified>
  <version/>
  <category/>
</coreProperties>
</file>