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C140F" w:rsidR="00CC7CC5" w:rsidP="0018254B" w:rsidRDefault="00D40F17" w14:paraId="0E727D33" w14:textId="2934551E">
      <w:pPr>
        <w:spacing w:after="0" w:line="240" w:lineRule="atLeast"/>
        <w:rPr>
          <w:rFonts w:ascii="Verdana" w:hAnsi="Verdana"/>
          <w:sz w:val="18"/>
          <w:szCs w:val="18"/>
        </w:rPr>
      </w:pPr>
      <w:r>
        <w:rPr>
          <w:rFonts w:ascii="Verdana" w:hAnsi="Verdana"/>
          <w:b/>
          <w:bCs/>
          <w:sz w:val="18"/>
          <w:szCs w:val="18"/>
        </w:rPr>
        <w:t xml:space="preserve">Bijlage </w:t>
      </w:r>
      <w:r w:rsidR="00297BD8">
        <w:rPr>
          <w:rFonts w:ascii="Verdana" w:hAnsi="Verdana"/>
          <w:b/>
          <w:bCs/>
          <w:sz w:val="18"/>
          <w:szCs w:val="18"/>
        </w:rPr>
        <w:t>–</w:t>
      </w:r>
      <w:r>
        <w:rPr>
          <w:rFonts w:ascii="Verdana" w:hAnsi="Verdana"/>
          <w:b/>
          <w:bCs/>
          <w:sz w:val="18"/>
          <w:szCs w:val="18"/>
        </w:rPr>
        <w:t xml:space="preserve"> </w:t>
      </w:r>
      <w:r w:rsidR="00297BD8">
        <w:rPr>
          <w:rFonts w:ascii="Verdana" w:hAnsi="Verdana"/>
          <w:b/>
          <w:bCs/>
          <w:sz w:val="18"/>
          <w:szCs w:val="18"/>
        </w:rPr>
        <w:t xml:space="preserve">nadere toelichting </w:t>
      </w:r>
      <w:r>
        <w:rPr>
          <w:rFonts w:ascii="Verdana" w:hAnsi="Verdana"/>
          <w:b/>
          <w:bCs/>
          <w:sz w:val="18"/>
          <w:szCs w:val="18"/>
        </w:rPr>
        <w:t>ETS-BRT.</w:t>
      </w:r>
    </w:p>
    <w:p w:rsidRPr="00AC140F" w:rsidR="00CC7CC5" w:rsidP="0018254B" w:rsidRDefault="00CC7CC5" w14:paraId="0D690E8D" w14:textId="4F220C37">
      <w:pPr>
        <w:spacing w:after="0" w:line="240" w:lineRule="atLeast"/>
        <w:rPr>
          <w:rFonts w:ascii="Verdana" w:hAnsi="Verdana"/>
          <w:sz w:val="18"/>
          <w:szCs w:val="18"/>
          <w:u w:val="single"/>
        </w:rPr>
      </w:pPr>
    </w:p>
    <w:p w:rsidRPr="00AC140F" w:rsidR="001718D1" w:rsidP="0018254B" w:rsidRDefault="00311B9D" w14:paraId="103F1181" w14:textId="450C4450">
      <w:pPr>
        <w:spacing w:after="0" w:line="240" w:lineRule="atLeast"/>
        <w:rPr>
          <w:rFonts w:ascii="Verdana" w:hAnsi="Verdana"/>
          <w:b/>
          <w:bCs/>
          <w:sz w:val="18"/>
          <w:szCs w:val="18"/>
        </w:rPr>
      </w:pPr>
      <w:r w:rsidRPr="00AC140F">
        <w:rPr>
          <w:rFonts w:ascii="Verdana" w:hAnsi="Verdana"/>
          <w:b/>
          <w:bCs/>
          <w:sz w:val="18"/>
          <w:szCs w:val="18"/>
        </w:rPr>
        <w:t xml:space="preserve">Het </w:t>
      </w:r>
      <w:r w:rsidRPr="00AC140F" w:rsidR="0093137F">
        <w:rPr>
          <w:rFonts w:ascii="Verdana" w:hAnsi="Verdana"/>
          <w:b/>
          <w:bCs/>
          <w:sz w:val="18"/>
          <w:szCs w:val="18"/>
        </w:rPr>
        <w:t>voorstel</w:t>
      </w:r>
    </w:p>
    <w:p w:rsidRPr="00AC140F" w:rsidR="00627607" w:rsidP="0018254B" w:rsidRDefault="00311B9D" w14:paraId="036B762A" w14:textId="4499E9C5">
      <w:pPr>
        <w:autoSpaceDE w:val="0"/>
        <w:autoSpaceDN w:val="0"/>
        <w:adjustRightInd w:val="0"/>
        <w:spacing w:after="0" w:line="240" w:lineRule="atLeast"/>
        <w:rPr>
          <w:rFonts w:ascii="Verdana" w:hAnsi="Verdana" w:cs="Verdana"/>
          <w:sz w:val="18"/>
          <w:szCs w:val="18"/>
        </w:rPr>
      </w:pPr>
      <w:r w:rsidRPr="00AC140F">
        <w:rPr>
          <w:rFonts w:ascii="Verdana" w:hAnsi="Verdana" w:cs="Verdana"/>
          <w:sz w:val="18"/>
          <w:szCs w:val="18"/>
        </w:rPr>
        <w:t xml:space="preserve">Het </w:t>
      </w:r>
      <w:r w:rsidRPr="00AC140F" w:rsidR="00186E73">
        <w:rPr>
          <w:rFonts w:ascii="Verdana" w:hAnsi="Verdana" w:cs="Verdana"/>
          <w:sz w:val="18"/>
          <w:szCs w:val="18"/>
        </w:rPr>
        <w:t>Commissie</w:t>
      </w:r>
      <w:r w:rsidRPr="00AC140F">
        <w:rPr>
          <w:rFonts w:ascii="Verdana" w:hAnsi="Verdana" w:cs="Verdana"/>
          <w:sz w:val="18"/>
          <w:szCs w:val="18"/>
        </w:rPr>
        <w:t>voorstel</w:t>
      </w:r>
      <w:r w:rsidRPr="00AC140F" w:rsidR="00186E73">
        <w:rPr>
          <w:rFonts w:ascii="Verdana" w:hAnsi="Verdana" w:cs="Verdana"/>
          <w:sz w:val="18"/>
          <w:szCs w:val="18"/>
        </w:rPr>
        <w:t xml:space="preserve"> </w:t>
      </w:r>
      <w:r w:rsidRPr="00AC140F">
        <w:rPr>
          <w:rFonts w:ascii="Verdana" w:hAnsi="Verdana" w:cs="Verdana"/>
          <w:sz w:val="18"/>
          <w:szCs w:val="18"/>
        </w:rPr>
        <w:t xml:space="preserve">introduceert het ETS-BRT </w:t>
      </w:r>
      <w:r w:rsidRPr="00AC140F" w:rsidR="00AB450E">
        <w:rPr>
          <w:rFonts w:ascii="Verdana" w:hAnsi="Verdana" w:cs="Verdana"/>
          <w:sz w:val="18"/>
          <w:szCs w:val="18"/>
        </w:rPr>
        <w:t>per 2026</w:t>
      </w:r>
      <w:r w:rsidRPr="00AC140F">
        <w:rPr>
          <w:rFonts w:ascii="Verdana" w:hAnsi="Verdana" w:cs="Verdana"/>
          <w:sz w:val="18"/>
          <w:szCs w:val="18"/>
        </w:rPr>
        <w:t xml:space="preserve">, </w:t>
      </w:r>
      <w:r w:rsidRPr="00AC140F" w:rsidR="005E0278">
        <w:rPr>
          <w:rFonts w:ascii="Verdana" w:hAnsi="Verdana" w:cs="Verdana"/>
          <w:sz w:val="18"/>
          <w:szCs w:val="18"/>
        </w:rPr>
        <w:t xml:space="preserve">aanvullend op het </w:t>
      </w:r>
      <w:r w:rsidRPr="00AC140F" w:rsidR="00CC7CC5">
        <w:rPr>
          <w:rFonts w:ascii="Verdana" w:hAnsi="Verdana" w:cs="Verdana"/>
          <w:sz w:val="18"/>
          <w:szCs w:val="18"/>
        </w:rPr>
        <w:t xml:space="preserve">bestaande EU-beleidsinstrumentarium </w:t>
      </w:r>
      <w:r w:rsidRPr="00AC140F" w:rsidR="005E0278">
        <w:rPr>
          <w:rFonts w:ascii="Verdana" w:hAnsi="Verdana" w:cs="Verdana"/>
          <w:sz w:val="18"/>
          <w:szCs w:val="18"/>
        </w:rPr>
        <w:t>voor deze sectoren. De Commissie constateert dat deze sectoren tot nu toe nog onvoldoende hebben bijgedragen aan het bereiken van de klimaatdoelen</w:t>
      </w:r>
      <w:r w:rsidRPr="00AC140F" w:rsidR="00D670A5">
        <w:rPr>
          <w:rFonts w:ascii="Verdana" w:hAnsi="Verdana" w:cs="Verdana"/>
          <w:sz w:val="18"/>
          <w:szCs w:val="18"/>
        </w:rPr>
        <w:t xml:space="preserve">, dat er </w:t>
      </w:r>
      <w:r w:rsidRPr="00AC140F" w:rsidR="0097500C">
        <w:rPr>
          <w:rFonts w:ascii="Verdana" w:hAnsi="Verdana" w:cs="Verdana"/>
          <w:sz w:val="18"/>
          <w:szCs w:val="18"/>
        </w:rPr>
        <w:t xml:space="preserve">in de EU </w:t>
      </w:r>
      <w:r w:rsidRPr="00AC140F" w:rsidR="00D670A5">
        <w:rPr>
          <w:rFonts w:ascii="Verdana" w:hAnsi="Verdana" w:cs="Verdana"/>
          <w:sz w:val="18"/>
          <w:szCs w:val="18"/>
        </w:rPr>
        <w:t>groot reductiepotentieel is</w:t>
      </w:r>
      <w:r w:rsidRPr="00AC140F" w:rsidR="005E0278">
        <w:rPr>
          <w:rFonts w:ascii="Verdana" w:hAnsi="Verdana" w:cs="Verdana"/>
          <w:sz w:val="18"/>
          <w:szCs w:val="18"/>
        </w:rPr>
        <w:t xml:space="preserve"> en dat aanvullend instrumentarium noodzakelijk is om de aangescherpte doelen te behalen. </w:t>
      </w:r>
      <w:r w:rsidRPr="00AC140F" w:rsidR="001E4DC2">
        <w:rPr>
          <w:rFonts w:ascii="Verdana" w:hAnsi="Verdana" w:cs="Verdana"/>
          <w:sz w:val="18"/>
          <w:szCs w:val="18"/>
        </w:rPr>
        <w:t xml:space="preserve">Het </w:t>
      </w:r>
      <w:r w:rsidRPr="00AC140F" w:rsidR="005E0278">
        <w:rPr>
          <w:rFonts w:ascii="Verdana" w:hAnsi="Verdana" w:cs="Verdana"/>
          <w:sz w:val="18"/>
          <w:szCs w:val="18"/>
        </w:rPr>
        <w:t xml:space="preserve">ETS-BRT </w:t>
      </w:r>
      <w:r w:rsidRPr="00AC140F" w:rsidR="00CC7CC5">
        <w:rPr>
          <w:rFonts w:ascii="Verdana" w:hAnsi="Verdana" w:cs="Verdana"/>
          <w:sz w:val="18"/>
          <w:szCs w:val="18"/>
        </w:rPr>
        <w:t xml:space="preserve">creëert een </w:t>
      </w:r>
      <w:r w:rsidRPr="00AC140F" w:rsidR="00607A0B">
        <w:rPr>
          <w:rFonts w:ascii="Verdana" w:hAnsi="Verdana" w:cs="Verdana"/>
          <w:sz w:val="18"/>
          <w:szCs w:val="18"/>
        </w:rPr>
        <w:t xml:space="preserve">jaarlijks dalend </w:t>
      </w:r>
      <w:r w:rsidRPr="00AC140F" w:rsidR="00CC7CC5">
        <w:rPr>
          <w:rFonts w:ascii="Verdana" w:hAnsi="Verdana" w:cs="Verdana"/>
          <w:sz w:val="18"/>
          <w:szCs w:val="18"/>
        </w:rPr>
        <w:t>E</w:t>
      </w:r>
      <w:r w:rsidRPr="00AC140F">
        <w:rPr>
          <w:rFonts w:ascii="Verdana" w:hAnsi="Verdana" w:cs="Verdana"/>
          <w:sz w:val="18"/>
          <w:szCs w:val="18"/>
        </w:rPr>
        <w:t>uropees</w:t>
      </w:r>
      <w:r w:rsidRPr="00AC140F" w:rsidR="00CC7CC5">
        <w:rPr>
          <w:rFonts w:ascii="Verdana" w:hAnsi="Verdana" w:cs="Verdana"/>
          <w:sz w:val="18"/>
          <w:szCs w:val="18"/>
        </w:rPr>
        <w:t xml:space="preserve"> plafond voor de </w:t>
      </w:r>
      <w:r w:rsidRPr="00AC140F" w:rsidR="00607A0B">
        <w:rPr>
          <w:rFonts w:ascii="Verdana" w:hAnsi="Verdana" w:cs="Verdana"/>
          <w:sz w:val="18"/>
          <w:szCs w:val="18"/>
        </w:rPr>
        <w:t>totale</w:t>
      </w:r>
      <w:r w:rsidRPr="00AC140F" w:rsidR="00CC7CC5">
        <w:rPr>
          <w:rFonts w:ascii="Verdana" w:hAnsi="Verdana" w:cs="Verdana"/>
          <w:sz w:val="18"/>
          <w:szCs w:val="18"/>
        </w:rPr>
        <w:t xml:space="preserve"> emissies van </w:t>
      </w:r>
      <w:r w:rsidRPr="00AC140F" w:rsidR="00407682">
        <w:rPr>
          <w:rFonts w:ascii="Verdana" w:hAnsi="Verdana" w:cs="Verdana"/>
          <w:sz w:val="18"/>
          <w:szCs w:val="18"/>
        </w:rPr>
        <w:t xml:space="preserve">de gebouwde omgeving en het wegtransport en introduceert </w:t>
      </w:r>
      <w:r w:rsidRPr="00AC140F">
        <w:rPr>
          <w:rFonts w:ascii="Verdana" w:hAnsi="Verdana" w:cs="Verdana"/>
          <w:sz w:val="18"/>
          <w:szCs w:val="18"/>
        </w:rPr>
        <w:t xml:space="preserve">een EU-brede (prijs)prikkel om lidstaten te helpen bij het invullen van de ESR opgaven. </w:t>
      </w:r>
    </w:p>
    <w:p w:rsidRPr="00AC140F" w:rsidR="004E4166" w:rsidP="0018254B" w:rsidRDefault="004E4166" w14:paraId="751A4C08" w14:textId="77777777">
      <w:pPr>
        <w:autoSpaceDE w:val="0"/>
        <w:autoSpaceDN w:val="0"/>
        <w:adjustRightInd w:val="0"/>
        <w:spacing w:after="0" w:line="240" w:lineRule="atLeast"/>
        <w:rPr>
          <w:rFonts w:ascii="Verdana" w:hAnsi="Verdana" w:cs="Verdana"/>
          <w:sz w:val="18"/>
          <w:szCs w:val="18"/>
        </w:rPr>
      </w:pPr>
    </w:p>
    <w:p w:rsidRPr="00AC140F" w:rsidR="00863213" w:rsidP="0018254B" w:rsidRDefault="00311B9D" w14:paraId="736FCB45" w14:textId="67243F89">
      <w:pPr>
        <w:autoSpaceDE w:val="0"/>
        <w:autoSpaceDN w:val="0"/>
        <w:adjustRightInd w:val="0"/>
        <w:spacing w:after="0" w:line="240" w:lineRule="atLeast"/>
        <w:rPr>
          <w:rFonts w:ascii="Verdana" w:hAnsi="Verdana" w:cs="Verdana"/>
          <w:sz w:val="18"/>
          <w:szCs w:val="18"/>
        </w:rPr>
      </w:pPr>
      <w:r w:rsidRPr="00AC140F">
        <w:rPr>
          <w:rFonts w:ascii="Verdana" w:hAnsi="Verdana" w:cs="Verdana"/>
          <w:sz w:val="18"/>
          <w:szCs w:val="18"/>
        </w:rPr>
        <w:t>Het kabinet deelt het uitgangspunt van de Commissie dat aanvullend beleid nodig is voor deze sectoren om de aangescherpte doelen te halen</w:t>
      </w:r>
      <w:r w:rsidRPr="00AC140F" w:rsidR="00407682">
        <w:rPr>
          <w:rFonts w:ascii="Verdana" w:hAnsi="Verdana" w:cs="Verdana"/>
          <w:sz w:val="18"/>
          <w:szCs w:val="18"/>
        </w:rPr>
        <w:t>,</w:t>
      </w:r>
      <w:r w:rsidRPr="00AC140F" w:rsidR="001766B7">
        <w:rPr>
          <w:rFonts w:ascii="Verdana" w:hAnsi="Verdana" w:cs="Verdana"/>
          <w:sz w:val="18"/>
          <w:szCs w:val="18"/>
        </w:rPr>
        <w:t xml:space="preserve"> dat wordt ook in het </w:t>
      </w:r>
      <w:r w:rsidRPr="00AC140F" w:rsidR="005E42AB">
        <w:rPr>
          <w:rFonts w:ascii="Verdana" w:hAnsi="Verdana" w:cs="Verdana"/>
          <w:sz w:val="18"/>
          <w:szCs w:val="18"/>
        </w:rPr>
        <w:t>C</w:t>
      </w:r>
      <w:r w:rsidRPr="00AC140F" w:rsidR="001766B7">
        <w:rPr>
          <w:rFonts w:ascii="Verdana" w:hAnsi="Verdana" w:cs="Verdana"/>
          <w:sz w:val="18"/>
          <w:szCs w:val="18"/>
        </w:rPr>
        <w:t>oalitieakkoord onderstreept,</w:t>
      </w:r>
      <w:r w:rsidRPr="00AC140F" w:rsidR="00407682">
        <w:rPr>
          <w:rFonts w:ascii="Verdana" w:hAnsi="Verdana" w:cs="Verdana"/>
          <w:sz w:val="18"/>
          <w:szCs w:val="18"/>
        </w:rPr>
        <w:t xml:space="preserve"> en dat </w:t>
      </w:r>
      <w:r w:rsidRPr="00AC140F">
        <w:rPr>
          <w:rFonts w:ascii="Verdana" w:hAnsi="Verdana" w:cs="Verdana"/>
          <w:sz w:val="18"/>
          <w:szCs w:val="18"/>
        </w:rPr>
        <w:t>CO</w:t>
      </w:r>
      <w:r w:rsidRPr="00AC140F">
        <w:rPr>
          <w:rFonts w:ascii="Verdana" w:hAnsi="Verdana" w:cs="Verdana"/>
          <w:sz w:val="18"/>
          <w:szCs w:val="18"/>
          <w:vertAlign w:val="subscript"/>
        </w:rPr>
        <w:t>2</w:t>
      </w:r>
      <w:r w:rsidRPr="00AC140F">
        <w:rPr>
          <w:rFonts w:ascii="Verdana" w:hAnsi="Verdana" w:cs="Verdana"/>
          <w:sz w:val="18"/>
          <w:szCs w:val="18"/>
        </w:rPr>
        <w:t xml:space="preserve">-beprijzing een belangrijke rol </w:t>
      </w:r>
      <w:r w:rsidRPr="00AC140F" w:rsidR="000E660B">
        <w:rPr>
          <w:rFonts w:ascii="Verdana" w:hAnsi="Verdana" w:cs="Verdana"/>
          <w:sz w:val="18"/>
          <w:szCs w:val="18"/>
        </w:rPr>
        <w:t xml:space="preserve">heeft </w:t>
      </w:r>
      <w:r w:rsidRPr="00AC140F">
        <w:rPr>
          <w:rFonts w:ascii="Verdana" w:hAnsi="Verdana" w:cs="Verdana"/>
          <w:sz w:val="18"/>
          <w:szCs w:val="18"/>
        </w:rPr>
        <w:t xml:space="preserve">in een gebalanceerde beleidsmix. </w:t>
      </w:r>
      <w:r w:rsidRPr="00AC140F" w:rsidR="005E0278">
        <w:rPr>
          <w:rFonts w:ascii="Verdana" w:hAnsi="Verdana" w:cs="Verdana"/>
          <w:sz w:val="18"/>
          <w:szCs w:val="18"/>
        </w:rPr>
        <w:t xml:space="preserve">Het </w:t>
      </w:r>
      <w:r w:rsidRPr="00AC140F">
        <w:rPr>
          <w:rFonts w:ascii="Verdana" w:hAnsi="Verdana" w:cs="Verdana"/>
          <w:sz w:val="18"/>
          <w:szCs w:val="18"/>
        </w:rPr>
        <w:t xml:space="preserve">ETS-BRT is </w:t>
      </w:r>
      <w:r w:rsidRPr="00AC140F" w:rsidR="005E0278">
        <w:rPr>
          <w:rFonts w:ascii="Verdana" w:hAnsi="Verdana" w:cs="Verdana"/>
          <w:sz w:val="18"/>
          <w:szCs w:val="18"/>
        </w:rPr>
        <w:t xml:space="preserve">een belangrijk </w:t>
      </w:r>
      <w:r w:rsidRPr="00AC140F" w:rsidR="00407682">
        <w:rPr>
          <w:rFonts w:ascii="Verdana" w:hAnsi="Verdana" w:cs="Verdana"/>
          <w:sz w:val="18"/>
          <w:szCs w:val="18"/>
        </w:rPr>
        <w:t xml:space="preserve">instrument in </w:t>
      </w:r>
      <w:r w:rsidRPr="00AC140F" w:rsidR="005E0278">
        <w:rPr>
          <w:rFonts w:ascii="Verdana" w:hAnsi="Verdana" w:cs="Verdana"/>
          <w:sz w:val="18"/>
          <w:szCs w:val="18"/>
        </w:rPr>
        <w:t>het pakket omdat het EU-breed zorgt voor emissiereductie</w:t>
      </w:r>
      <w:r w:rsidRPr="00AC140F" w:rsidR="001766B7">
        <w:rPr>
          <w:rFonts w:ascii="Verdana" w:hAnsi="Verdana" w:cs="Verdana"/>
          <w:sz w:val="18"/>
          <w:szCs w:val="18"/>
        </w:rPr>
        <w:t xml:space="preserve"> en</w:t>
      </w:r>
      <w:r w:rsidRPr="00AC140F" w:rsidR="00627607">
        <w:rPr>
          <w:rFonts w:ascii="Verdana" w:hAnsi="Verdana" w:cs="Verdana"/>
          <w:sz w:val="18"/>
          <w:szCs w:val="18"/>
        </w:rPr>
        <w:t xml:space="preserve"> de kosteneffectiviteit van de transitie </w:t>
      </w:r>
      <w:r w:rsidRPr="00AC140F" w:rsidR="00915898">
        <w:rPr>
          <w:rFonts w:ascii="Verdana" w:hAnsi="Verdana" w:cs="Verdana"/>
          <w:sz w:val="18"/>
          <w:szCs w:val="18"/>
        </w:rPr>
        <w:t>vergroot</w:t>
      </w:r>
      <w:r w:rsidRPr="00AC140F" w:rsidR="001766B7">
        <w:rPr>
          <w:rFonts w:ascii="Verdana" w:hAnsi="Verdana" w:cs="Verdana"/>
          <w:sz w:val="18"/>
          <w:szCs w:val="18"/>
        </w:rPr>
        <w:t>.</w:t>
      </w:r>
      <w:r w:rsidRPr="00AC140F" w:rsidR="00915898">
        <w:rPr>
          <w:rFonts w:ascii="Verdana" w:hAnsi="Verdana" w:cs="Verdana"/>
          <w:sz w:val="18"/>
          <w:szCs w:val="18"/>
        </w:rPr>
        <w:t xml:space="preserve"> </w:t>
      </w:r>
      <w:r w:rsidRPr="00AC140F" w:rsidR="001766B7">
        <w:rPr>
          <w:rFonts w:ascii="Verdana" w:hAnsi="Verdana" w:cs="Verdana"/>
          <w:sz w:val="18"/>
          <w:szCs w:val="18"/>
        </w:rPr>
        <w:t xml:space="preserve">Daarnaast wordt </w:t>
      </w:r>
      <w:r w:rsidRPr="00AC140F" w:rsidR="005E0278">
        <w:rPr>
          <w:rFonts w:ascii="Verdana" w:hAnsi="Verdana" w:cs="Verdana"/>
          <w:sz w:val="18"/>
          <w:szCs w:val="18"/>
        </w:rPr>
        <w:t xml:space="preserve">de kans om de 2030 doelen te halen in alle </w:t>
      </w:r>
      <w:r w:rsidRPr="00AC140F" w:rsidR="00627607">
        <w:rPr>
          <w:rFonts w:ascii="Verdana" w:hAnsi="Verdana" w:cs="Verdana"/>
          <w:sz w:val="18"/>
          <w:szCs w:val="18"/>
        </w:rPr>
        <w:t xml:space="preserve">lidstaten </w:t>
      </w:r>
      <w:r w:rsidRPr="00AC140F" w:rsidR="004E4166">
        <w:rPr>
          <w:rFonts w:ascii="Verdana" w:hAnsi="Verdana" w:cs="Verdana"/>
          <w:sz w:val="18"/>
          <w:szCs w:val="18"/>
        </w:rPr>
        <w:t xml:space="preserve">aanzienlijk </w:t>
      </w:r>
      <w:r w:rsidRPr="00AC140F" w:rsidR="00915898">
        <w:rPr>
          <w:rFonts w:ascii="Verdana" w:hAnsi="Verdana" w:cs="Verdana"/>
          <w:sz w:val="18"/>
          <w:szCs w:val="18"/>
        </w:rPr>
        <w:t>versterkt</w:t>
      </w:r>
      <w:r w:rsidRPr="00AC140F" w:rsidR="001766B7">
        <w:rPr>
          <w:rFonts w:ascii="Verdana" w:hAnsi="Verdana" w:cs="Verdana"/>
          <w:sz w:val="18"/>
          <w:szCs w:val="18"/>
        </w:rPr>
        <w:t xml:space="preserve"> door de introductie van een EU-breed dalend emissieplafond voor deze sectoren welke ook na 2030 kan worden doorgetrokken richting 2050. </w:t>
      </w:r>
      <w:r w:rsidRPr="00AC140F" w:rsidR="004E4166">
        <w:rPr>
          <w:rFonts w:ascii="Verdana" w:hAnsi="Verdana" w:cs="Verdana"/>
          <w:sz w:val="18"/>
          <w:szCs w:val="18"/>
        </w:rPr>
        <w:t xml:space="preserve">Het zorgt </w:t>
      </w:r>
      <w:r w:rsidRPr="00AC140F" w:rsidR="00A44F77">
        <w:rPr>
          <w:rFonts w:ascii="Verdana" w:hAnsi="Verdana" w:cs="Verdana"/>
          <w:sz w:val="18"/>
          <w:szCs w:val="18"/>
        </w:rPr>
        <w:t xml:space="preserve">ook </w:t>
      </w:r>
      <w:r w:rsidRPr="00AC140F" w:rsidR="004E4166">
        <w:rPr>
          <w:rFonts w:ascii="Verdana" w:hAnsi="Verdana" w:cs="Verdana"/>
          <w:sz w:val="18"/>
          <w:szCs w:val="18"/>
        </w:rPr>
        <w:t xml:space="preserve">voor convergentie </w:t>
      </w:r>
      <w:r w:rsidRPr="00AC140F" w:rsidR="00915898">
        <w:rPr>
          <w:rFonts w:ascii="Verdana" w:hAnsi="Verdana" w:cs="Verdana"/>
          <w:sz w:val="18"/>
          <w:szCs w:val="18"/>
        </w:rPr>
        <w:t xml:space="preserve">tussen lidstaten </w:t>
      </w:r>
      <w:r w:rsidRPr="00AC140F" w:rsidR="00407682">
        <w:rPr>
          <w:rFonts w:ascii="Verdana" w:hAnsi="Verdana" w:cs="Verdana"/>
          <w:sz w:val="18"/>
          <w:szCs w:val="18"/>
        </w:rPr>
        <w:t xml:space="preserve">omdat het meeste effect </w:t>
      </w:r>
      <w:r w:rsidRPr="00AC140F" w:rsidR="00915898">
        <w:rPr>
          <w:rFonts w:ascii="Verdana" w:hAnsi="Verdana" w:cs="Verdana"/>
          <w:sz w:val="18"/>
          <w:szCs w:val="18"/>
        </w:rPr>
        <w:t>valt</w:t>
      </w:r>
      <w:r w:rsidRPr="00AC140F" w:rsidR="00407682">
        <w:rPr>
          <w:rFonts w:ascii="Verdana" w:hAnsi="Verdana" w:cs="Verdana"/>
          <w:sz w:val="18"/>
          <w:szCs w:val="18"/>
        </w:rPr>
        <w:t xml:space="preserve"> te verwachten in lidstaten met </w:t>
      </w:r>
      <w:r w:rsidRPr="00AC140F" w:rsidR="00915898">
        <w:rPr>
          <w:rFonts w:ascii="Verdana" w:hAnsi="Verdana" w:cs="Verdana"/>
          <w:sz w:val="18"/>
          <w:szCs w:val="18"/>
        </w:rPr>
        <w:t xml:space="preserve">op dit moment nog </w:t>
      </w:r>
      <w:r w:rsidRPr="00AC140F" w:rsidR="00407682">
        <w:rPr>
          <w:rFonts w:ascii="Verdana" w:hAnsi="Verdana" w:cs="Verdana"/>
          <w:sz w:val="18"/>
          <w:szCs w:val="18"/>
        </w:rPr>
        <w:t>relatief lage CO</w:t>
      </w:r>
      <w:r w:rsidRPr="00AC140F" w:rsidR="00407682">
        <w:rPr>
          <w:rFonts w:ascii="Verdana" w:hAnsi="Verdana" w:cs="Verdana"/>
          <w:sz w:val="18"/>
          <w:szCs w:val="18"/>
          <w:vertAlign w:val="subscript"/>
        </w:rPr>
        <w:t>2</w:t>
      </w:r>
      <w:r w:rsidRPr="00AC140F" w:rsidR="00407682">
        <w:rPr>
          <w:rFonts w:ascii="Verdana" w:hAnsi="Verdana" w:cs="Verdana"/>
          <w:sz w:val="18"/>
          <w:szCs w:val="18"/>
        </w:rPr>
        <w:t>-beprijzing.</w:t>
      </w:r>
      <w:r w:rsidRPr="00AC140F" w:rsidR="004C55C7">
        <w:t xml:space="preserve"> </w:t>
      </w:r>
      <w:r w:rsidRPr="00AC140F" w:rsidR="004C55C7">
        <w:rPr>
          <w:rFonts w:ascii="Verdana" w:hAnsi="Verdana" w:cs="Verdana"/>
          <w:sz w:val="18"/>
          <w:szCs w:val="18"/>
        </w:rPr>
        <w:t xml:space="preserve">Zo blijkt uit een analyse van Cambridge </w:t>
      </w:r>
      <w:proofErr w:type="spellStart"/>
      <w:r w:rsidRPr="00AC140F" w:rsidR="004C55C7">
        <w:rPr>
          <w:rFonts w:ascii="Verdana" w:hAnsi="Verdana" w:cs="Verdana"/>
          <w:sz w:val="18"/>
          <w:szCs w:val="18"/>
        </w:rPr>
        <w:t>Economics</w:t>
      </w:r>
      <w:proofErr w:type="spellEnd"/>
      <w:r w:rsidRPr="00AC140F" w:rsidR="004C55C7">
        <w:rPr>
          <w:rFonts w:ascii="Verdana" w:hAnsi="Verdana" w:cs="Verdana"/>
          <w:sz w:val="18"/>
          <w:szCs w:val="18"/>
        </w:rPr>
        <w:t xml:space="preserve"> in opdracht van de Europese Commissie</w:t>
      </w:r>
      <w:r w:rsidRPr="00AC140F" w:rsidR="004C55C7">
        <w:rPr>
          <w:rStyle w:val="Voetnootmarkering"/>
          <w:rFonts w:ascii="Verdana" w:hAnsi="Verdana" w:cs="Verdana"/>
          <w:sz w:val="18"/>
          <w:szCs w:val="18"/>
        </w:rPr>
        <w:footnoteReference w:id="2"/>
      </w:r>
      <w:r w:rsidRPr="00AC140F" w:rsidR="004C55C7">
        <w:rPr>
          <w:rFonts w:ascii="Verdana" w:hAnsi="Verdana" w:cs="Verdana"/>
          <w:sz w:val="18"/>
          <w:szCs w:val="18"/>
        </w:rPr>
        <w:t xml:space="preserve"> dat een CO</w:t>
      </w:r>
      <w:r w:rsidRPr="00AC140F" w:rsidR="004C55C7">
        <w:rPr>
          <w:rFonts w:ascii="Verdana" w:hAnsi="Verdana" w:cs="Verdana"/>
          <w:sz w:val="18"/>
          <w:szCs w:val="18"/>
          <w:vertAlign w:val="subscript"/>
        </w:rPr>
        <w:t>2</w:t>
      </w:r>
      <w:r w:rsidRPr="00AC140F" w:rsidR="004C55C7">
        <w:rPr>
          <w:rFonts w:ascii="Verdana" w:hAnsi="Verdana" w:cs="Verdana"/>
          <w:sz w:val="18"/>
          <w:szCs w:val="18"/>
        </w:rPr>
        <w:t>-prijs van 50 euro per ton in Nederland zou leiden tot 3,7% emissiereductie in de gebouwde omgeving, terwijl het in Bulgarije tot 8,1% reductie zou leiden.</w:t>
      </w:r>
      <w:r w:rsidRPr="00AC140F" w:rsidR="00407682">
        <w:rPr>
          <w:rFonts w:ascii="Verdana" w:hAnsi="Verdana" w:cs="Verdana"/>
          <w:sz w:val="18"/>
          <w:szCs w:val="18"/>
        </w:rPr>
        <w:t xml:space="preserve"> </w:t>
      </w:r>
      <w:r w:rsidRPr="00AC140F" w:rsidR="00863213">
        <w:rPr>
          <w:rFonts w:ascii="Verdana" w:hAnsi="Verdana"/>
          <w:sz w:val="18"/>
          <w:szCs w:val="18"/>
        </w:rPr>
        <w:t xml:space="preserve">Het is van belang dat er in alle lidstaten en sectoren voldoende </w:t>
      </w:r>
      <w:r w:rsidRPr="00AC140F" w:rsidR="00CF4500">
        <w:rPr>
          <w:rFonts w:ascii="Verdana" w:hAnsi="Verdana"/>
          <w:sz w:val="18"/>
          <w:szCs w:val="18"/>
        </w:rPr>
        <w:t>prijs</w:t>
      </w:r>
      <w:r w:rsidRPr="00AC140F" w:rsidR="00863213">
        <w:rPr>
          <w:rFonts w:ascii="Verdana" w:hAnsi="Verdana"/>
          <w:sz w:val="18"/>
          <w:szCs w:val="18"/>
        </w:rPr>
        <w:t>prikkel bestaat tot verduurzaming</w:t>
      </w:r>
      <w:r w:rsidRPr="00AC140F" w:rsidR="00915898">
        <w:rPr>
          <w:rFonts w:ascii="Verdana" w:hAnsi="Verdana"/>
          <w:sz w:val="18"/>
          <w:szCs w:val="18"/>
        </w:rPr>
        <w:t xml:space="preserve"> om de doelen te halen</w:t>
      </w:r>
      <w:r w:rsidRPr="00AC140F" w:rsidR="00863213">
        <w:rPr>
          <w:rFonts w:ascii="Verdana" w:hAnsi="Verdana"/>
          <w:sz w:val="18"/>
          <w:szCs w:val="18"/>
        </w:rPr>
        <w:t>.</w:t>
      </w:r>
      <w:r w:rsidRPr="00AC140F" w:rsidR="00863213">
        <w:rPr>
          <w:rFonts w:ascii="Verdana" w:hAnsi="Verdana" w:cs="Verdana"/>
          <w:sz w:val="18"/>
          <w:szCs w:val="18"/>
        </w:rPr>
        <w:t xml:space="preserve"> Dat is nu nog niet het geval. In </w:t>
      </w:r>
      <w:r w:rsidRPr="00AC140F" w:rsidR="004E4166">
        <w:rPr>
          <w:rFonts w:ascii="Verdana" w:hAnsi="Verdana" w:cs="Verdana"/>
          <w:sz w:val="18"/>
          <w:szCs w:val="18"/>
        </w:rPr>
        <w:t xml:space="preserve">Nederland </w:t>
      </w:r>
      <w:r w:rsidRPr="00AC140F" w:rsidR="00863213">
        <w:rPr>
          <w:rFonts w:ascii="Verdana" w:hAnsi="Verdana" w:cs="Verdana"/>
          <w:sz w:val="18"/>
          <w:szCs w:val="18"/>
        </w:rPr>
        <w:t>beta</w:t>
      </w:r>
      <w:r w:rsidR="007A3D46">
        <w:rPr>
          <w:rFonts w:ascii="Verdana" w:hAnsi="Verdana" w:cs="Verdana"/>
          <w:sz w:val="18"/>
          <w:szCs w:val="18"/>
        </w:rPr>
        <w:t>alden</w:t>
      </w:r>
      <w:r w:rsidRPr="00AC140F" w:rsidR="00863213">
        <w:rPr>
          <w:rFonts w:ascii="Verdana" w:hAnsi="Verdana" w:cs="Verdana"/>
          <w:sz w:val="18"/>
          <w:szCs w:val="18"/>
        </w:rPr>
        <w:t xml:space="preserve"> huishoudens </w:t>
      </w:r>
      <w:r w:rsidR="007A3D46">
        <w:rPr>
          <w:rFonts w:ascii="Verdana" w:hAnsi="Verdana" w:cs="Verdana"/>
          <w:sz w:val="18"/>
          <w:szCs w:val="18"/>
        </w:rPr>
        <w:t xml:space="preserve">in 2020 nog </w:t>
      </w:r>
      <w:r w:rsidRPr="00AC140F" w:rsidR="00863213">
        <w:rPr>
          <w:rFonts w:ascii="Verdana" w:hAnsi="Verdana" w:cs="Verdana"/>
          <w:sz w:val="18"/>
          <w:szCs w:val="18"/>
        </w:rPr>
        <w:t xml:space="preserve">een </w:t>
      </w:r>
      <w:r w:rsidRPr="00AC140F" w:rsidR="004E4166">
        <w:rPr>
          <w:rFonts w:ascii="Verdana" w:hAnsi="Verdana" w:cs="Verdana"/>
          <w:sz w:val="18"/>
          <w:szCs w:val="18"/>
        </w:rPr>
        <w:t>impliciete CO</w:t>
      </w:r>
      <w:r w:rsidRPr="00AC140F" w:rsidR="004E4166">
        <w:rPr>
          <w:rFonts w:ascii="Verdana" w:hAnsi="Verdana" w:cs="Verdana"/>
          <w:sz w:val="18"/>
          <w:szCs w:val="18"/>
          <w:vertAlign w:val="subscript"/>
        </w:rPr>
        <w:t>2</w:t>
      </w:r>
      <w:r w:rsidRPr="00AC140F" w:rsidR="004E4166">
        <w:rPr>
          <w:rFonts w:ascii="Verdana" w:hAnsi="Verdana" w:cs="Verdana"/>
          <w:sz w:val="18"/>
          <w:szCs w:val="18"/>
        </w:rPr>
        <w:t xml:space="preserve">-prijs op aardgas (via de energiebelasting) </w:t>
      </w:r>
      <w:r w:rsidRPr="00AC140F" w:rsidR="00863213">
        <w:rPr>
          <w:rFonts w:ascii="Verdana" w:hAnsi="Verdana" w:cs="Verdana"/>
          <w:sz w:val="18"/>
          <w:szCs w:val="18"/>
        </w:rPr>
        <w:t xml:space="preserve">van omgerekend </w:t>
      </w:r>
      <w:r w:rsidRPr="00AC140F" w:rsidR="004E4166">
        <w:rPr>
          <w:rFonts w:ascii="Verdana" w:hAnsi="Verdana" w:cs="Verdana"/>
          <w:sz w:val="18"/>
          <w:szCs w:val="18"/>
        </w:rPr>
        <w:t>240 euro per ton CO</w:t>
      </w:r>
      <w:r w:rsidRPr="00AC140F" w:rsidR="004E4166">
        <w:rPr>
          <w:rFonts w:ascii="Verdana" w:hAnsi="Verdana" w:cs="Verdana"/>
          <w:sz w:val="18"/>
          <w:szCs w:val="18"/>
          <w:vertAlign w:val="subscript"/>
        </w:rPr>
        <w:t>2</w:t>
      </w:r>
      <w:r w:rsidRPr="00AC140F" w:rsidR="004E4166">
        <w:rPr>
          <w:rFonts w:ascii="Verdana" w:hAnsi="Verdana" w:cs="Verdana"/>
          <w:sz w:val="18"/>
          <w:szCs w:val="18"/>
        </w:rPr>
        <w:t xml:space="preserve">, </w:t>
      </w:r>
      <w:r w:rsidRPr="00AC140F" w:rsidR="00863213">
        <w:rPr>
          <w:rFonts w:ascii="Verdana" w:hAnsi="Verdana" w:cs="Verdana"/>
          <w:sz w:val="18"/>
          <w:szCs w:val="18"/>
        </w:rPr>
        <w:t>tegenover een E</w:t>
      </w:r>
      <w:r w:rsidRPr="00AC140F" w:rsidR="00627607">
        <w:rPr>
          <w:rFonts w:ascii="Verdana" w:hAnsi="Verdana" w:cs="Verdana"/>
          <w:sz w:val="18"/>
          <w:szCs w:val="18"/>
        </w:rPr>
        <w:t xml:space="preserve">uropees </w:t>
      </w:r>
      <w:r w:rsidRPr="00AC140F" w:rsidR="00863213">
        <w:rPr>
          <w:rFonts w:ascii="Verdana" w:hAnsi="Verdana" w:cs="Verdana"/>
          <w:sz w:val="18"/>
          <w:szCs w:val="18"/>
        </w:rPr>
        <w:t xml:space="preserve">gemiddelde van </w:t>
      </w:r>
      <w:r w:rsidRPr="00AC140F" w:rsidR="004E4166">
        <w:rPr>
          <w:rFonts w:ascii="Verdana" w:hAnsi="Verdana" w:cs="Verdana"/>
          <w:sz w:val="18"/>
          <w:szCs w:val="18"/>
        </w:rPr>
        <w:t>slechts 25 euro per ton. Veel Oost-Europese landen, maar ook bijvoorbeeld België, hanteren een prijs van slechts 10 euro per ton</w:t>
      </w:r>
      <w:r w:rsidRPr="00AC140F" w:rsidR="00627607">
        <w:rPr>
          <w:rStyle w:val="Voetnootmarkering"/>
          <w:rFonts w:ascii="Verdana" w:hAnsi="Verdana" w:cs="Verdana"/>
          <w:sz w:val="18"/>
          <w:szCs w:val="18"/>
        </w:rPr>
        <w:footnoteReference w:id="3"/>
      </w:r>
      <w:r w:rsidRPr="00AC140F" w:rsidR="004E4166">
        <w:rPr>
          <w:rFonts w:ascii="Verdana" w:hAnsi="Verdana" w:cs="Verdana"/>
          <w:sz w:val="18"/>
          <w:szCs w:val="18"/>
        </w:rPr>
        <w:t xml:space="preserve">. </w:t>
      </w:r>
      <w:r w:rsidRPr="00AC140F" w:rsidR="00863213">
        <w:rPr>
          <w:rFonts w:ascii="Verdana" w:hAnsi="Verdana" w:cs="Verdana"/>
          <w:sz w:val="18"/>
          <w:szCs w:val="18"/>
        </w:rPr>
        <w:t xml:space="preserve">Het voorstel </w:t>
      </w:r>
      <w:r w:rsidRPr="00AC140F" w:rsidR="00915898">
        <w:rPr>
          <w:rFonts w:ascii="Verdana" w:hAnsi="Verdana" w:cs="Verdana"/>
          <w:sz w:val="18"/>
          <w:szCs w:val="18"/>
        </w:rPr>
        <w:t xml:space="preserve">voor ETS-BRT </w:t>
      </w:r>
      <w:r w:rsidRPr="00AC140F" w:rsidR="00863213">
        <w:rPr>
          <w:rFonts w:ascii="Verdana" w:hAnsi="Verdana" w:cs="Verdana"/>
          <w:sz w:val="18"/>
          <w:szCs w:val="18"/>
        </w:rPr>
        <w:t xml:space="preserve">draagt daarmee bij aan een kosteneffectieve transitie op Europees niveau door </w:t>
      </w:r>
      <w:r w:rsidRPr="00AC140F" w:rsidR="002D4B1A">
        <w:rPr>
          <w:rFonts w:ascii="Verdana" w:hAnsi="Verdana" w:cs="Verdana"/>
          <w:sz w:val="18"/>
          <w:szCs w:val="18"/>
        </w:rPr>
        <w:t xml:space="preserve">bij te dragen aan de </w:t>
      </w:r>
      <w:r w:rsidRPr="00AC140F" w:rsidR="00863213">
        <w:rPr>
          <w:rFonts w:ascii="Verdana" w:hAnsi="Verdana" w:cs="Verdana"/>
          <w:sz w:val="18"/>
          <w:szCs w:val="18"/>
        </w:rPr>
        <w:t>harmonisatie van</w:t>
      </w:r>
      <w:r w:rsidRPr="00AC140F" w:rsidR="00627607">
        <w:rPr>
          <w:rFonts w:ascii="Verdana" w:hAnsi="Verdana" w:cs="Verdana"/>
          <w:sz w:val="18"/>
          <w:szCs w:val="18"/>
        </w:rPr>
        <w:t xml:space="preserve"> deze</w:t>
      </w:r>
      <w:r w:rsidRPr="00AC140F" w:rsidR="00863213">
        <w:rPr>
          <w:rFonts w:ascii="Verdana" w:hAnsi="Verdana" w:cs="Verdana"/>
          <w:sz w:val="18"/>
          <w:szCs w:val="18"/>
        </w:rPr>
        <w:t xml:space="preserve"> Europese CO</w:t>
      </w:r>
      <w:r w:rsidRPr="00AC140F" w:rsidR="00863213">
        <w:rPr>
          <w:rFonts w:ascii="Verdana" w:hAnsi="Verdana" w:cs="Verdana"/>
          <w:sz w:val="18"/>
          <w:szCs w:val="18"/>
          <w:vertAlign w:val="subscript"/>
        </w:rPr>
        <w:t>2</w:t>
      </w:r>
      <w:r w:rsidRPr="00AC140F" w:rsidR="00863213">
        <w:rPr>
          <w:rFonts w:ascii="Verdana" w:hAnsi="Verdana" w:cs="Verdana"/>
          <w:sz w:val="18"/>
          <w:szCs w:val="18"/>
        </w:rPr>
        <w:t>-prijzen</w:t>
      </w:r>
      <w:r w:rsidRPr="00AC140F" w:rsidR="00627607">
        <w:rPr>
          <w:rFonts w:ascii="Verdana" w:hAnsi="Verdana" w:cs="Verdana"/>
          <w:sz w:val="18"/>
          <w:szCs w:val="18"/>
        </w:rPr>
        <w:t>.</w:t>
      </w:r>
      <w:r w:rsidRPr="00AC140F" w:rsidR="000E660B">
        <w:rPr>
          <w:rFonts w:ascii="Verdana" w:hAnsi="Verdana" w:cs="Verdana"/>
          <w:sz w:val="18"/>
          <w:szCs w:val="18"/>
        </w:rPr>
        <w:t xml:space="preserve"> </w:t>
      </w:r>
    </w:p>
    <w:p w:rsidRPr="00AC140F" w:rsidR="00A91001" w:rsidP="0018254B" w:rsidRDefault="00A91001" w14:paraId="1643CF0E" w14:textId="77777777">
      <w:pPr>
        <w:autoSpaceDE w:val="0"/>
        <w:autoSpaceDN w:val="0"/>
        <w:adjustRightInd w:val="0"/>
        <w:spacing w:after="0" w:line="240" w:lineRule="atLeast"/>
        <w:rPr>
          <w:rFonts w:ascii="Verdana" w:hAnsi="Verdana" w:cs="Verdana"/>
          <w:sz w:val="18"/>
          <w:szCs w:val="18"/>
        </w:rPr>
      </w:pPr>
    </w:p>
    <w:p w:rsidRPr="00AC140F" w:rsidR="00863213" w:rsidP="0018254B" w:rsidRDefault="00863213" w14:paraId="3BEE8945" w14:textId="30C00E15">
      <w:pPr>
        <w:suppressAutoHyphens/>
        <w:autoSpaceDN w:val="0"/>
        <w:spacing w:after="0" w:line="240" w:lineRule="atLeast"/>
        <w:contextualSpacing/>
        <w:textAlignment w:val="baseline"/>
        <w:rPr>
          <w:rFonts w:ascii="Verdana" w:hAnsi="Verdana"/>
          <w:sz w:val="18"/>
          <w:szCs w:val="18"/>
        </w:rPr>
      </w:pPr>
      <w:r w:rsidRPr="00AC140F">
        <w:rPr>
          <w:rFonts w:ascii="Verdana" w:hAnsi="Verdana" w:cs="Verdana"/>
          <w:sz w:val="18"/>
          <w:szCs w:val="18"/>
        </w:rPr>
        <w:t>Daarnaast</w:t>
      </w:r>
      <w:r w:rsidRPr="00AC140F" w:rsidR="00BF6E48">
        <w:rPr>
          <w:rFonts w:ascii="Verdana" w:hAnsi="Verdana" w:cs="Verdana"/>
          <w:sz w:val="18"/>
          <w:szCs w:val="18"/>
        </w:rPr>
        <w:t xml:space="preserve"> </w:t>
      </w:r>
      <w:r w:rsidRPr="00AC140F" w:rsidR="005C21B1">
        <w:rPr>
          <w:rFonts w:ascii="Verdana" w:hAnsi="Verdana" w:cs="Verdana"/>
          <w:sz w:val="18"/>
          <w:szCs w:val="18"/>
        </w:rPr>
        <w:t xml:space="preserve">is de </w:t>
      </w:r>
      <w:r w:rsidRPr="00AC140F" w:rsidR="00FB0003">
        <w:rPr>
          <w:rFonts w:ascii="Verdana" w:hAnsi="Verdana" w:cs="Verdana"/>
          <w:sz w:val="18"/>
          <w:szCs w:val="18"/>
        </w:rPr>
        <w:t xml:space="preserve">voorgestelde </w:t>
      </w:r>
      <w:r w:rsidRPr="00AC140F" w:rsidR="005C21B1">
        <w:rPr>
          <w:rFonts w:ascii="Verdana" w:hAnsi="Verdana" w:cs="Verdana"/>
          <w:sz w:val="18"/>
          <w:szCs w:val="18"/>
        </w:rPr>
        <w:t xml:space="preserve">vormgeving </w:t>
      </w:r>
      <w:r w:rsidRPr="00AC140F" w:rsidR="00FB0003">
        <w:rPr>
          <w:rFonts w:ascii="Verdana" w:hAnsi="Verdana" w:cs="Verdana"/>
          <w:sz w:val="18"/>
          <w:szCs w:val="18"/>
        </w:rPr>
        <w:t xml:space="preserve">van het systeem effectief. </w:t>
      </w:r>
      <w:r w:rsidRPr="00AC140F" w:rsidR="00EC1E51">
        <w:rPr>
          <w:rFonts w:ascii="Verdana" w:hAnsi="Verdana"/>
          <w:sz w:val="18"/>
          <w:szCs w:val="18"/>
        </w:rPr>
        <w:t xml:space="preserve">Zo wordt </w:t>
      </w:r>
      <w:r w:rsidRPr="00AC140F">
        <w:rPr>
          <w:rFonts w:ascii="Verdana" w:hAnsi="Verdana"/>
          <w:sz w:val="18"/>
          <w:szCs w:val="18"/>
        </w:rPr>
        <w:t xml:space="preserve">er een apart emissiehandelssysteem voorgesteld in plaats van verbreding van het huidige ETS, </w:t>
      </w:r>
      <w:r w:rsidRPr="00AC140F" w:rsidR="00EC1E51">
        <w:rPr>
          <w:rFonts w:ascii="Verdana" w:hAnsi="Verdana"/>
          <w:sz w:val="18"/>
          <w:szCs w:val="18"/>
        </w:rPr>
        <w:t>waardoor</w:t>
      </w:r>
      <w:r w:rsidRPr="00AC140F">
        <w:rPr>
          <w:rFonts w:ascii="Verdana" w:hAnsi="Verdana"/>
          <w:sz w:val="18"/>
          <w:szCs w:val="18"/>
        </w:rPr>
        <w:t xml:space="preserve"> ongewenste prijs</w:t>
      </w:r>
      <w:r w:rsidRPr="00AC140F" w:rsidR="000E660B">
        <w:rPr>
          <w:rFonts w:ascii="Verdana" w:hAnsi="Verdana"/>
          <w:sz w:val="18"/>
          <w:szCs w:val="18"/>
        </w:rPr>
        <w:t xml:space="preserve">schokken </w:t>
      </w:r>
      <w:r w:rsidRPr="00AC140F">
        <w:rPr>
          <w:rFonts w:ascii="Verdana" w:hAnsi="Verdana"/>
          <w:sz w:val="18"/>
          <w:szCs w:val="18"/>
        </w:rPr>
        <w:t xml:space="preserve">in het </w:t>
      </w:r>
      <w:r w:rsidRPr="00AC140F" w:rsidR="00407682">
        <w:rPr>
          <w:rFonts w:ascii="Verdana" w:hAnsi="Verdana"/>
          <w:sz w:val="18"/>
          <w:szCs w:val="18"/>
        </w:rPr>
        <w:t xml:space="preserve">huidige </w:t>
      </w:r>
      <w:r w:rsidRPr="00AC140F">
        <w:rPr>
          <w:rFonts w:ascii="Verdana" w:hAnsi="Verdana"/>
          <w:sz w:val="18"/>
          <w:szCs w:val="18"/>
        </w:rPr>
        <w:t>ETS</w:t>
      </w:r>
      <w:r w:rsidRPr="00AC140F" w:rsidR="00EC1E51">
        <w:rPr>
          <w:rFonts w:ascii="Verdana" w:hAnsi="Verdana"/>
          <w:sz w:val="18"/>
          <w:szCs w:val="18"/>
        </w:rPr>
        <w:t xml:space="preserve"> worden voorkomen</w:t>
      </w:r>
      <w:r w:rsidRPr="00AC140F" w:rsidR="001766B7">
        <w:rPr>
          <w:rFonts w:ascii="Verdana" w:hAnsi="Verdana"/>
          <w:sz w:val="18"/>
          <w:szCs w:val="18"/>
        </w:rPr>
        <w:t xml:space="preserve"> en</w:t>
      </w:r>
      <w:r w:rsidRPr="00AC140F" w:rsidR="00A44F77">
        <w:rPr>
          <w:rFonts w:ascii="Verdana" w:hAnsi="Verdana"/>
          <w:sz w:val="18"/>
          <w:szCs w:val="18"/>
        </w:rPr>
        <w:t xml:space="preserve"> het noodzakelijke transitietempo </w:t>
      </w:r>
      <w:r w:rsidRPr="00AC140F" w:rsidR="001766B7">
        <w:rPr>
          <w:rFonts w:ascii="Verdana" w:hAnsi="Verdana"/>
          <w:sz w:val="18"/>
          <w:szCs w:val="18"/>
        </w:rPr>
        <w:t>geborgd</w:t>
      </w:r>
      <w:r w:rsidRPr="00AC140F" w:rsidR="005E42AB">
        <w:rPr>
          <w:rFonts w:ascii="Verdana" w:hAnsi="Verdana"/>
          <w:sz w:val="18"/>
          <w:szCs w:val="18"/>
        </w:rPr>
        <w:t xml:space="preserve"> blijft</w:t>
      </w:r>
      <w:r w:rsidRPr="00AC140F">
        <w:rPr>
          <w:rFonts w:ascii="Verdana" w:hAnsi="Verdana"/>
          <w:sz w:val="18"/>
          <w:szCs w:val="18"/>
        </w:rPr>
        <w:t xml:space="preserve">. Het is ook positief dat het </w:t>
      </w:r>
      <w:r w:rsidRPr="00AC140F" w:rsidR="00407682">
        <w:rPr>
          <w:rFonts w:ascii="Verdana" w:hAnsi="Verdana"/>
          <w:sz w:val="18"/>
          <w:szCs w:val="18"/>
        </w:rPr>
        <w:t>systeem</w:t>
      </w:r>
      <w:r w:rsidRPr="00AC140F">
        <w:rPr>
          <w:rFonts w:ascii="Verdana" w:hAnsi="Verdana"/>
          <w:sz w:val="18"/>
          <w:szCs w:val="18"/>
        </w:rPr>
        <w:t xml:space="preserve"> een rustige start kent</w:t>
      </w:r>
      <w:r w:rsidRPr="00AC140F" w:rsidR="00FB0003">
        <w:rPr>
          <w:rStyle w:val="Voetnootmarkering"/>
          <w:rFonts w:ascii="Verdana" w:hAnsi="Verdana"/>
          <w:sz w:val="18"/>
          <w:szCs w:val="18"/>
        </w:rPr>
        <w:footnoteReference w:id="4"/>
      </w:r>
      <w:r w:rsidRPr="00AC140F">
        <w:rPr>
          <w:rFonts w:ascii="Verdana" w:hAnsi="Verdana"/>
          <w:sz w:val="18"/>
          <w:szCs w:val="18"/>
        </w:rPr>
        <w:t>, waar</w:t>
      </w:r>
      <w:r w:rsidRPr="00AC140F" w:rsidR="00EC1E51">
        <w:rPr>
          <w:rFonts w:ascii="Verdana" w:hAnsi="Verdana"/>
          <w:sz w:val="18"/>
          <w:szCs w:val="18"/>
        </w:rPr>
        <w:t>door</w:t>
      </w:r>
      <w:r w:rsidRPr="00AC140F">
        <w:rPr>
          <w:rFonts w:ascii="Verdana" w:hAnsi="Verdana"/>
          <w:sz w:val="18"/>
          <w:szCs w:val="18"/>
        </w:rPr>
        <w:t xml:space="preserve"> de CO</w:t>
      </w:r>
      <w:r w:rsidRPr="00AC140F">
        <w:rPr>
          <w:rFonts w:ascii="Verdana" w:hAnsi="Verdana"/>
          <w:sz w:val="18"/>
          <w:szCs w:val="18"/>
          <w:vertAlign w:val="subscript"/>
        </w:rPr>
        <w:t>2</w:t>
      </w:r>
      <w:r w:rsidRPr="00AC140F">
        <w:rPr>
          <w:rFonts w:ascii="Verdana" w:hAnsi="Verdana"/>
          <w:sz w:val="18"/>
          <w:szCs w:val="18"/>
        </w:rPr>
        <w:t xml:space="preserve">-prijzen en de impact op de energierekening </w:t>
      </w:r>
      <w:r w:rsidRPr="00AC140F" w:rsidR="00EC1E51">
        <w:rPr>
          <w:rFonts w:ascii="Verdana" w:hAnsi="Verdana"/>
          <w:sz w:val="18"/>
          <w:szCs w:val="18"/>
        </w:rPr>
        <w:t xml:space="preserve">naar verwachting </w:t>
      </w:r>
      <w:r w:rsidRPr="00AC140F">
        <w:rPr>
          <w:rFonts w:ascii="Verdana" w:hAnsi="Verdana"/>
          <w:sz w:val="18"/>
          <w:szCs w:val="18"/>
        </w:rPr>
        <w:t xml:space="preserve">geleidelijk stijgen </w:t>
      </w:r>
      <w:r w:rsidRPr="00AC140F" w:rsidR="00EC1E51">
        <w:rPr>
          <w:rFonts w:ascii="Verdana" w:hAnsi="Verdana"/>
          <w:sz w:val="18"/>
          <w:szCs w:val="18"/>
        </w:rPr>
        <w:t xml:space="preserve">in de jaren na </w:t>
      </w:r>
      <w:r w:rsidRPr="00AC140F">
        <w:rPr>
          <w:rFonts w:ascii="Verdana" w:hAnsi="Verdana"/>
          <w:sz w:val="18"/>
          <w:szCs w:val="18"/>
        </w:rPr>
        <w:t xml:space="preserve">2026. Daarnaast is het positief dat de sectoren nog ten minste tot 2030 onder de Effort </w:t>
      </w:r>
      <w:proofErr w:type="spellStart"/>
      <w:r w:rsidRPr="00AC140F">
        <w:rPr>
          <w:rFonts w:ascii="Verdana" w:hAnsi="Verdana"/>
          <w:sz w:val="18"/>
          <w:szCs w:val="18"/>
        </w:rPr>
        <w:t>Sharing</w:t>
      </w:r>
      <w:proofErr w:type="spellEnd"/>
      <w:r w:rsidRPr="00AC140F">
        <w:rPr>
          <w:rFonts w:ascii="Verdana" w:hAnsi="Verdana"/>
          <w:sz w:val="18"/>
          <w:szCs w:val="18"/>
        </w:rPr>
        <w:t xml:space="preserve"> </w:t>
      </w:r>
      <w:proofErr w:type="spellStart"/>
      <w:r w:rsidRPr="00AC140F">
        <w:rPr>
          <w:rFonts w:ascii="Verdana" w:hAnsi="Verdana"/>
          <w:sz w:val="18"/>
          <w:szCs w:val="18"/>
        </w:rPr>
        <w:t>Regulation</w:t>
      </w:r>
      <w:proofErr w:type="spellEnd"/>
      <w:r w:rsidRPr="00AC140F">
        <w:rPr>
          <w:rFonts w:ascii="Verdana" w:hAnsi="Verdana"/>
          <w:sz w:val="18"/>
          <w:szCs w:val="18"/>
        </w:rPr>
        <w:t xml:space="preserve"> (ESR) blijven vallen. </w:t>
      </w:r>
      <w:r w:rsidRPr="00AC140F" w:rsidR="00A44F77">
        <w:rPr>
          <w:rFonts w:ascii="Verdana" w:hAnsi="Verdana"/>
          <w:sz w:val="18"/>
          <w:szCs w:val="18"/>
        </w:rPr>
        <w:t xml:space="preserve">Zo </w:t>
      </w:r>
      <w:r w:rsidRPr="00AC140F" w:rsidR="00A853CB">
        <w:rPr>
          <w:rFonts w:ascii="Verdana" w:hAnsi="Verdana"/>
          <w:sz w:val="18"/>
          <w:szCs w:val="18"/>
        </w:rPr>
        <w:t xml:space="preserve">behouden de </w:t>
      </w:r>
      <w:r w:rsidRPr="00AC140F" w:rsidR="00A44F77">
        <w:rPr>
          <w:rFonts w:ascii="Verdana" w:hAnsi="Verdana"/>
          <w:sz w:val="18"/>
          <w:szCs w:val="18"/>
        </w:rPr>
        <w:t xml:space="preserve">lidstaten </w:t>
      </w:r>
      <w:r w:rsidRPr="00AC140F" w:rsidR="00A853CB">
        <w:rPr>
          <w:rFonts w:ascii="Verdana" w:hAnsi="Verdana"/>
          <w:sz w:val="18"/>
          <w:szCs w:val="18"/>
        </w:rPr>
        <w:t xml:space="preserve">de </w:t>
      </w:r>
      <w:r w:rsidRPr="00AC140F" w:rsidR="00A44F77">
        <w:rPr>
          <w:rFonts w:ascii="Verdana" w:hAnsi="Verdana"/>
          <w:sz w:val="18"/>
          <w:szCs w:val="18"/>
        </w:rPr>
        <w:t>verantwoordelijk</w:t>
      </w:r>
      <w:r w:rsidRPr="00AC140F" w:rsidR="00A853CB">
        <w:rPr>
          <w:rFonts w:ascii="Verdana" w:hAnsi="Verdana"/>
          <w:sz w:val="18"/>
          <w:szCs w:val="18"/>
        </w:rPr>
        <w:t>heid</w:t>
      </w:r>
      <w:r w:rsidRPr="00AC140F" w:rsidR="00A44F77">
        <w:rPr>
          <w:rFonts w:ascii="Verdana" w:hAnsi="Verdana"/>
          <w:sz w:val="18"/>
          <w:szCs w:val="18"/>
        </w:rPr>
        <w:t xml:space="preserve"> om </w:t>
      </w:r>
      <w:r w:rsidRPr="00AC140F" w:rsidR="00A853CB">
        <w:rPr>
          <w:rFonts w:ascii="Verdana" w:hAnsi="Verdana"/>
          <w:sz w:val="18"/>
          <w:szCs w:val="18"/>
        </w:rPr>
        <w:t xml:space="preserve">voldoende emissiereductie in </w:t>
      </w:r>
      <w:r w:rsidRPr="00AC140F" w:rsidR="00A44F77">
        <w:rPr>
          <w:rFonts w:ascii="Verdana" w:hAnsi="Verdana"/>
          <w:sz w:val="18"/>
          <w:szCs w:val="18"/>
        </w:rPr>
        <w:t xml:space="preserve">ESR sectoren </w:t>
      </w:r>
      <w:r w:rsidRPr="00AC140F" w:rsidR="00A853CB">
        <w:rPr>
          <w:rFonts w:ascii="Verdana" w:hAnsi="Verdana"/>
          <w:sz w:val="18"/>
          <w:szCs w:val="18"/>
        </w:rPr>
        <w:t>te realiseren</w:t>
      </w:r>
      <w:r w:rsidRPr="00AC140F" w:rsidR="00A44F77">
        <w:rPr>
          <w:rFonts w:ascii="Verdana" w:hAnsi="Verdana"/>
          <w:sz w:val="18"/>
          <w:szCs w:val="18"/>
        </w:rPr>
        <w:t xml:space="preserve">, waardoor ze nationaal aanvullend beleid zullen moeten </w:t>
      </w:r>
      <w:r w:rsidRPr="00AC140F" w:rsidR="005E42AB">
        <w:rPr>
          <w:rFonts w:ascii="Verdana" w:hAnsi="Verdana"/>
          <w:sz w:val="18"/>
          <w:szCs w:val="18"/>
        </w:rPr>
        <w:t xml:space="preserve">blijven </w:t>
      </w:r>
      <w:r w:rsidRPr="00AC140F" w:rsidR="00A44F77">
        <w:rPr>
          <w:rFonts w:ascii="Verdana" w:hAnsi="Verdana"/>
          <w:sz w:val="18"/>
          <w:szCs w:val="18"/>
        </w:rPr>
        <w:t xml:space="preserve">voeren </w:t>
      </w:r>
      <w:r w:rsidRPr="00AC140F" w:rsidR="00A853CB">
        <w:rPr>
          <w:rFonts w:ascii="Verdana" w:hAnsi="Verdana"/>
          <w:sz w:val="18"/>
          <w:szCs w:val="18"/>
        </w:rPr>
        <w:t>indien verduurzaming achterblijft</w:t>
      </w:r>
      <w:r w:rsidRPr="00AC140F" w:rsidR="005E42AB">
        <w:rPr>
          <w:rFonts w:ascii="Verdana" w:hAnsi="Verdana"/>
          <w:sz w:val="18"/>
          <w:szCs w:val="18"/>
        </w:rPr>
        <w:t>. Z</w:t>
      </w:r>
      <w:r w:rsidRPr="00AC140F" w:rsidR="00A853CB">
        <w:rPr>
          <w:rFonts w:ascii="Verdana" w:hAnsi="Verdana"/>
          <w:sz w:val="18"/>
          <w:szCs w:val="18"/>
        </w:rPr>
        <w:t xml:space="preserve">o </w:t>
      </w:r>
      <w:r w:rsidRPr="00AC140F" w:rsidR="005E42AB">
        <w:rPr>
          <w:rFonts w:ascii="Verdana" w:hAnsi="Verdana"/>
          <w:sz w:val="18"/>
          <w:szCs w:val="18"/>
        </w:rPr>
        <w:t xml:space="preserve">blijft </w:t>
      </w:r>
      <w:r w:rsidRPr="00AC140F" w:rsidR="00A44F77">
        <w:rPr>
          <w:rFonts w:ascii="Verdana" w:hAnsi="Verdana"/>
          <w:sz w:val="18"/>
          <w:szCs w:val="18"/>
        </w:rPr>
        <w:t xml:space="preserve">het tempo van de transitie in alle lidstaten geborgd. </w:t>
      </w:r>
      <w:r w:rsidRPr="00AC140F">
        <w:rPr>
          <w:rFonts w:ascii="Verdana" w:hAnsi="Verdana"/>
          <w:sz w:val="18"/>
          <w:szCs w:val="18"/>
        </w:rPr>
        <w:t xml:space="preserve">Als laatste is het positief dat de verplichting wordt neergelegd bij handelaren en energie- en brandstofleveranciers, en niet bij individuele huishoudens of weggebruikers. Dit komt de uitvoerbaarheid ten goede, en zorgt er ook voor dat energieleveranciers een prikkel krijgen om hun klanten te helpen verduurzamen. </w:t>
      </w:r>
    </w:p>
    <w:p w:rsidRPr="00AC140F" w:rsidR="001718D1" w:rsidP="0018254B" w:rsidRDefault="001718D1" w14:paraId="2CA551EC" w14:textId="2E22AFEC">
      <w:pPr>
        <w:suppressAutoHyphens/>
        <w:autoSpaceDN w:val="0"/>
        <w:spacing w:after="0" w:line="240" w:lineRule="atLeast"/>
        <w:contextualSpacing/>
        <w:textAlignment w:val="baseline"/>
        <w:rPr>
          <w:rFonts w:ascii="Verdana" w:hAnsi="Verdana"/>
          <w:sz w:val="18"/>
          <w:szCs w:val="18"/>
        </w:rPr>
      </w:pPr>
    </w:p>
    <w:p w:rsidRPr="00AC140F" w:rsidR="001E2805" w:rsidP="0018254B" w:rsidRDefault="001718D1" w14:paraId="18C98EAA" w14:textId="5FE01E2C">
      <w:pPr>
        <w:spacing w:after="0" w:line="240" w:lineRule="atLeast"/>
        <w:rPr>
          <w:rFonts w:ascii="Verdana" w:hAnsi="Verdana"/>
          <w:sz w:val="18"/>
          <w:szCs w:val="18"/>
        </w:rPr>
      </w:pPr>
      <w:r w:rsidRPr="00AC140F">
        <w:rPr>
          <w:rFonts w:ascii="Verdana" w:hAnsi="Verdana"/>
          <w:sz w:val="18"/>
          <w:szCs w:val="18"/>
        </w:rPr>
        <w:t xml:space="preserve">De Commissie heeft een afzonderlijk voorstel gedaan voor een </w:t>
      </w:r>
      <w:proofErr w:type="spellStart"/>
      <w:r w:rsidRPr="00AC140F">
        <w:rPr>
          <w:rFonts w:ascii="Verdana" w:hAnsi="Verdana"/>
          <w:sz w:val="18"/>
          <w:szCs w:val="18"/>
        </w:rPr>
        <w:t>Social</w:t>
      </w:r>
      <w:proofErr w:type="spellEnd"/>
      <w:r w:rsidRPr="00AC140F">
        <w:rPr>
          <w:rFonts w:ascii="Verdana" w:hAnsi="Verdana"/>
          <w:sz w:val="18"/>
          <w:szCs w:val="18"/>
        </w:rPr>
        <w:t xml:space="preserve"> </w:t>
      </w:r>
      <w:proofErr w:type="spellStart"/>
      <w:r w:rsidRPr="00AC140F">
        <w:rPr>
          <w:rFonts w:ascii="Verdana" w:hAnsi="Verdana"/>
          <w:sz w:val="18"/>
          <w:szCs w:val="18"/>
        </w:rPr>
        <w:t>Climate</w:t>
      </w:r>
      <w:proofErr w:type="spellEnd"/>
      <w:r w:rsidRPr="00AC140F">
        <w:rPr>
          <w:rFonts w:ascii="Verdana" w:hAnsi="Verdana"/>
          <w:sz w:val="18"/>
          <w:szCs w:val="18"/>
        </w:rPr>
        <w:t xml:space="preserve"> Fund (SCF)</w:t>
      </w:r>
      <w:r w:rsidRPr="00AC140F">
        <w:rPr>
          <w:rStyle w:val="Voetnootmarkering"/>
          <w:rFonts w:ascii="Verdana" w:hAnsi="Verdana"/>
          <w:sz w:val="18"/>
          <w:szCs w:val="18"/>
        </w:rPr>
        <w:footnoteReference w:id="5"/>
      </w:r>
      <w:r w:rsidRPr="00AC140F">
        <w:rPr>
          <w:rFonts w:ascii="Verdana" w:hAnsi="Verdana"/>
          <w:sz w:val="18"/>
          <w:szCs w:val="18"/>
        </w:rPr>
        <w:t xml:space="preserve"> om </w:t>
      </w:r>
      <w:r w:rsidRPr="00AC140F" w:rsidR="00407682">
        <w:rPr>
          <w:rFonts w:ascii="Verdana" w:hAnsi="Verdana"/>
          <w:sz w:val="18"/>
          <w:szCs w:val="18"/>
        </w:rPr>
        <w:t xml:space="preserve">de </w:t>
      </w:r>
      <w:r w:rsidRPr="00AC140F">
        <w:rPr>
          <w:rFonts w:ascii="Verdana" w:hAnsi="Verdana"/>
          <w:sz w:val="18"/>
          <w:szCs w:val="18"/>
        </w:rPr>
        <w:t xml:space="preserve">sociaaleconomische gevolgen van de transitie op te vangen voor de meest kwetsbare groepen. De </w:t>
      </w:r>
      <w:r w:rsidRPr="00AC140F" w:rsidR="00031F6F">
        <w:rPr>
          <w:rFonts w:ascii="Verdana" w:hAnsi="Verdana"/>
          <w:sz w:val="18"/>
          <w:szCs w:val="18"/>
        </w:rPr>
        <w:t>voorgestelde</w:t>
      </w:r>
      <w:r w:rsidRPr="00AC140F">
        <w:rPr>
          <w:rFonts w:ascii="Verdana" w:hAnsi="Verdana"/>
          <w:sz w:val="18"/>
          <w:szCs w:val="18"/>
        </w:rPr>
        <w:t xml:space="preserve"> omvang van het SCF correspondeert met 25% van de verwachte opbrengsten van het ETS-BRT. </w:t>
      </w:r>
      <w:r w:rsidRPr="00AC140F" w:rsidR="001E2805">
        <w:rPr>
          <w:rFonts w:ascii="Verdana" w:hAnsi="Verdana"/>
          <w:sz w:val="18"/>
          <w:szCs w:val="18"/>
        </w:rPr>
        <w:t xml:space="preserve">De Commissie heeft op 22 december jl. een voorstel gedaan voor nieuwe eigen middelen ter financiering van de EU-begroting, waaronder een nieuw eigen middel op basis van het ETS. Daarnaast presenteerde de Commissie een herziening van de verordening voor het Meerjarig Financieel Kader 2021-2027 (MFK) om uitgaven mogelijk te maken voor vervroegde aflossing van </w:t>
      </w:r>
      <w:r w:rsidRPr="00AC140F" w:rsidR="001E2805">
        <w:rPr>
          <w:rFonts w:ascii="Verdana" w:hAnsi="Verdana"/>
          <w:sz w:val="18"/>
          <w:szCs w:val="18"/>
        </w:rPr>
        <w:lastRenderedPageBreak/>
        <w:t xml:space="preserve">leningen voor het Europees herstelinstrument (NGEU) en voor het </w:t>
      </w:r>
      <w:proofErr w:type="spellStart"/>
      <w:r w:rsidRPr="00AC140F" w:rsidR="001E2805">
        <w:rPr>
          <w:rFonts w:ascii="Verdana" w:hAnsi="Verdana"/>
          <w:sz w:val="18"/>
          <w:szCs w:val="18"/>
        </w:rPr>
        <w:t>Social</w:t>
      </w:r>
      <w:proofErr w:type="spellEnd"/>
      <w:r w:rsidRPr="00AC140F" w:rsidR="001E2805">
        <w:rPr>
          <w:rFonts w:ascii="Verdana" w:hAnsi="Verdana"/>
          <w:sz w:val="18"/>
          <w:szCs w:val="18"/>
        </w:rPr>
        <w:t xml:space="preserve"> </w:t>
      </w:r>
      <w:proofErr w:type="spellStart"/>
      <w:r w:rsidRPr="00AC140F" w:rsidR="001E2805">
        <w:rPr>
          <w:rFonts w:ascii="Verdana" w:hAnsi="Verdana"/>
          <w:sz w:val="18"/>
          <w:szCs w:val="18"/>
        </w:rPr>
        <w:t>Climate</w:t>
      </w:r>
      <w:proofErr w:type="spellEnd"/>
      <w:r w:rsidRPr="00AC140F" w:rsidR="001E2805">
        <w:rPr>
          <w:rFonts w:ascii="Verdana" w:hAnsi="Verdana"/>
          <w:sz w:val="18"/>
          <w:szCs w:val="18"/>
        </w:rPr>
        <w:t xml:space="preserve"> Fund (SCF). Uw Kamer wordt hierover nog apart geïnformeerd middels BNC-fiches.</w:t>
      </w:r>
      <w:r w:rsidRPr="00AC140F" w:rsidR="001E2805">
        <w:rPr>
          <w:rFonts w:ascii="Times New Roman" w:hAnsi="Times New Roman" w:cs="Times New Roman"/>
          <w:sz w:val="24"/>
          <w:szCs w:val="24"/>
          <w:lang w:eastAsia="nl-NL"/>
        </w:rPr>
        <w:t xml:space="preserve"> </w:t>
      </w:r>
    </w:p>
    <w:p w:rsidRPr="00AC140F" w:rsidR="00863213" w:rsidP="0018254B" w:rsidRDefault="00863213" w14:paraId="00C04B49" w14:textId="5E8F3E1B">
      <w:pPr>
        <w:suppressAutoHyphens/>
        <w:autoSpaceDN w:val="0"/>
        <w:spacing w:after="0" w:line="240" w:lineRule="atLeast"/>
        <w:contextualSpacing/>
        <w:textAlignment w:val="baseline"/>
        <w:rPr>
          <w:rFonts w:ascii="Verdana" w:hAnsi="Verdana"/>
          <w:sz w:val="18"/>
          <w:szCs w:val="18"/>
        </w:rPr>
      </w:pPr>
    </w:p>
    <w:p w:rsidRPr="00AC140F" w:rsidR="0093137F" w:rsidP="0018254B" w:rsidRDefault="00787E98" w14:paraId="2B43286E" w14:textId="15DD3EFB">
      <w:pPr>
        <w:spacing w:after="0" w:line="240" w:lineRule="atLeast"/>
        <w:rPr>
          <w:rFonts w:ascii="Verdana" w:hAnsi="Verdana"/>
          <w:b/>
          <w:bCs/>
          <w:sz w:val="18"/>
          <w:szCs w:val="18"/>
        </w:rPr>
      </w:pPr>
      <w:r w:rsidRPr="00AC140F">
        <w:rPr>
          <w:rFonts w:ascii="Verdana" w:hAnsi="Verdana"/>
          <w:b/>
          <w:bCs/>
          <w:sz w:val="18"/>
          <w:szCs w:val="18"/>
        </w:rPr>
        <w:t xml:space="preserve">Impact </w:t>
      </w:r>
      <w:r w:rsidRPr="00AC140F" w:rsidR="001718D1">
        <w:rPr>
          <w:rFonts w:ascii="Verdana" w:hAnsi="Verdana"/>
          <w:b/>
          <w:bCs/>
          <w:sz w:val="18"/>
          <w:szCs w:val="18"/>
        </w:rPr>
        <w:t>in Nederland</w:t>
      </w:r>
    </w:p>
    <w:p w:rsidRPr="00AC140F" w:rsidR="00740002" w:rsidP="0018254B" w:rsidRDefault="00915898" w14:paraId="6BFF6D89" w14:textId="1C5B6877">
      <w:pPr>
        <w:suppressAutoHyphens/>
        <w:autoSpaceDN w:val="0"/>
        <w:spacing w:after="0" w:line="240" w:lineRule="atLeast"/>
        <w:contextualSpacing/>
        <w:textAlignment w:val="baseline"/>
        <w:rPr>
          <w:rFonts w:ascii="Verdana" w:hAnsi="Verdana"/>
          <w:sz w:val="18"/>
          <w:szCs w:val="18"/>
        </w:rPr>
      </w:pPr>
      <w:r w:rsidRPr="00AC140F">
        <w:rPr>
          <w:rFonts w:ascii="Verdana" w:hAnsi="Verdana"/>
          <w:sz w:val="18"/>
          <w:szCs w:val="18"/>
        </w:rPr>
        <w:t xml:space="preserve">Ondanks dat het meeste effect van het ETS-BRT te verwachten valt in andere lidstaten, helpt het voorstel ook </w:t>
      </w:r>
      <w:r w:rsidRPr="00AC140F" w:rsidR="00A91001">
        <w:rPr>
          <w:rFonts w:ascii="Verdana" w:hAnsi="Verdana"/>
          <w:sz w:val="18"/>
          <w:szCs w:val="18"/>
        </w:rPr>
        <w:t xml:space="preserve">Nederland </w:t>
      </w:r>
      <w:r w:rsidRPr="00AC140F">
        <w:rPr>
          <w:rFonts w:ascii="Verdana" w:hAnsi="Verdana"/>
          <w:sz w:val="18"/>
          <w:szCs w:val="18"/>
        </w:rPr>
        <w:t xml:space="preserve">met het behalen van de aanvullende opgave. </w:t>
      </w:r>
      <w:r w:rsidRPr="00AC140F" w:rsidR="00A91001">
        <w:rPr>
          <w:rFonts w:ascii="Verdana" w:hAnsi="Verdana"/>
          <w:sz w:val="18"/>
          <w:szCs w:val="18"/>
        </w:rPr>
        <w:t xml:space="preserve">Volgens het PBL zou het ETS-BRT in Nederland ca. 0,75 </w:t>
      </w:r>
      <w:proofErr w:type="spellStart"/>
      <w:r w:rsidRPr="00AC140F" w:rsidR="00A91001">
        <w:rPr>
          <w:rFonts w:ascii="Verdana" w:hAnsi="Verdana"/>
          <w:sz w:val="18"/>
          <w:szCs w:val="18"/>
        </w:rPr>
        <w:t>Mton</w:t>
      </w:r>
      <w:proofErr w:type="spellEnd"/>
      <w:r w:rsidRPr="00AC140F">
        <w:rPr>
          <w:rFonts w:ascii="Verdana" w:hAnsi="Verdana"/>
          <w:sz w:val="18"/>
          <w:szCs w:val="18"/>
        </w:rPr>
        <w:t xml:space="preserve"> kunnen reduceren</w:t>
      </w:r>
      <w:r w:rsidRPr="00AC140F" w:rsidR="00A91001">
        <w:rPr>
          <w:rFonts w:ascii="Verdana" w:hAnsi="Verdana"/>
          <w:sz w:val="18"/>
          <w:szCs w:val="18"/>
        </w:rPr>
        <w:t xml:space="preserve"> in de gebouwde omgeving en </w:t>
      </w:r>
      <w:r w:rsidRPr="00AC140F" w:rsidR="00EC1E51">
        <w:rPr>
          <w:rFonts w:ascii="Verdana" w:hAnsi="Verdana"/>
          <w:sz w:val="18"/>
          <w:szCs w:val="18"/>
        </w:rPr>
        <w:t>ca.</w:t>
      </w:r>
      <w:r w:rsidRPr="00AC140F" w:rsidR="00A91001">
        <w:rPr>
          <w:rFonts w:ascii="Verdana" w:hAnsi="Verdana"/>
          <w:sz w:val="18"/>
          <w:szCs w:val="18"/>
        </w:rPr>
        <w:t xml:space="preserve"> </w:t>
      </w:r>
      <w:r w:rsidRPr="00AC140F" w:rsidR="00EC1E51">
        <w:rPr>
          <w:rFonts w:ascii="Verdana" w:hAnsi="Verdana"/>
          <w:sz w:val="18"/>
          <w:szCs w:val="18"/>
        </w:rPr>
        <w:t>0,5</w:t>
      </w:r>
      <w:r w:rsidRPr="00AC140F" w:rsidR="00A91001">
        <w:rPr>
          <w:rFonts w:ascii="Verdana" w:hAnsi="Verdana"/>
          <w:sz w:val="18"/>
          <w:szCs w:val="18"/>
        </w:rPr>
        <w:t xml:space="preserve"> </w:t>
      </w:r>
      <w:proofErr w:type="spellStart"/>
      <w:r w:rsidRPr="00AC140F" w:rsidR="00A91001">
        <w:rPr>
          <w:rFonts w:ascii="Verdana" w:hAnsi="Verdana"/>
          <w:sz w:val="18"/>
          <w:szCs w:val="18"/>
        </w:rPr>
        <w:t>Mton</w:t>
      </w:r>
      <w:proofErr w:type="spellEnd"/>
      <w:r w:rsidRPr="00AC140F" w:rsidR="00A91001">
        <w:rPr>
          <w:rFonts w:ascii="Verdana" w:hAnsi="Verdana"/>
          <w:sz w:val="18"/>
          <w:szCs w:val="18"/>
        </w:rPr>
        <w:t xml:space="preserve"> in de mobiliteit</w:t>
      </w:r>
      <w:r w:rsidRPr="00AC140F" w:rsidR="00A91001">
        <w:rPr>
          <w:rStyle w:val="Voetnootmarkering"/>
          <w:rFonts w:ascii="Verdana" w:hAnsi="Verdana"/>
          <w:sz w:val="18"/>
          <w:szCs w:val="18"/>
        </w:rPr>
        <w:footnoteReference w:id="6"/>
      </w:r>
      <w:r w:rsidRPr="00AC140F" w:rsidR="00A91001">
        <w:rPr>
          <w:rFonts w:ascii="Verdana" w:hAnsi="Verdana"/>
          <w:sz w:val="18"/>
          <w:szCs w:val="18"/>
        </w:rPr>
        <w:t xml:space="preserve">. </w:t>
      </w:r>
      <w:r w:rsidRPr="00AC140F" w:rsidR="001718D1">
        <w:rPr>
          <w:rFonts w:ascii="Verdana" w:hAnsi="Verdana"/>
          <w:sz w:val="18"/>
          <w:szCs w:val="18"/>
        </w:rPr>
        <w:t xml:space="preserve">Dit effect komt in eerste instantie </w:t>
      </w:r>
      <w:r w:rsidRPr="00AC140F" w:rsidR="00EC1E51">
        <w:rPr>
          <w:rFonts w:ascii="Verdana" w:hAnsi="Verdana"/>
          <w:sz w:val="18"/>
          <w:szCs w:val="18"/>
        </w:rPr>
        <w:t>omdat fossiele brandstoffen duurder worden</w:t>
      </w:r>
      <w:r w:rsidRPr="00AC140F">
        <w:rPr>
          <w:rFonts w:ascii="Verdana" w:hAnsi="Verdana"/>
          <w:sz w:val="18"/>
          <w:szCs w:val="18"/>
        </w:rPr>
        <w:t xml:space="preserve"> </w:t>
      </w:r>
      <w:r w:rsidRPr="00AC140F" w:rsidR="00EC1E51">
        <w:rPr>
          <w:rFonts w:ascii="Verdana" w:hAnsi="Verdana"/>
          <w:sz w:val="18"/>
          <w:szCs w:val="18"/>
        </w:rPr>
        <w:t xml:space="preserve">en daarmee duurzame </w:t>
      </w:r>
      <w:r w:rsidRPr="00AC140F">
        <w:rPr>
          <w:rFonts w:ascii="Verdana" w:hAnsi="Verdana"/>
          <w:sz w:val="18"/>
          <w:szCs w:val="18"/>
        </w:rPr>
        <w:t>alternatieven</w:t>
      </w:r>
      <w:r w:rsidRPr="00AC140F" w:rsidR="00EC1E51">
        <w:rPr>
          <w:rFonts w:ascii="Verdana" w:hAnsi="Verdana"/>
          <w:sz w:val="18"/>
          <w:szCs w:val="18"/>
        </w:rPr>
        <w:t xml:space="preserve"> aantrekkelijker. Het PBL schat in dat </w:t>
      </w:r>
      <w:r w:rsidRPr="00AC140F" w:rsidR="001718D1">
        <w:rPr>
          <w:rFonts w:ascii="Verdana" w:hAnsi="Verdana"/>
          <w:sz w:val="18"/>
          <w:szCs w:val="18"/>
        </w:rPr>
        <w:t xml:space="preserve">het ETS-BRT </w:t>
      </w:r>
      <w:r w:rsidRPr="00AC140F" w:rsidR="00EC1E51">
        <w:rPr>
          <w:rFonts w:ascii="Verdana" w:hAnsi="Verdana"/>
          <w:sz w:val="18"/>
          <w:szCs w:val="18"/>
        </w:rPr>
        <w:t>zich</w:t>
      </w:r>
      <w:r w:rsidRPr="00AC140F" w:rsidR="00A853CB">
        <w:rPr>
          <w:rFonts w:ascii="Verdana" w:hAnsi="Verdana"/>
          <w:sz w:val="18"/>
          <w:szCs w:val="18"/>
        </w:rPr>
        <w:t>, bij een CO</w:t>
      </w:r>
      <w:r w:rsidRPr="00AC140F" w:rsidR="00A853CB">
        <w:rPr>
          <w:rFonts w:ascii="Verdana" w:hAnsi="Verdana"/>
          <w:sz w:val="18"/>
          <w:szCs w:val="18"/>
          <w:vertAlign w:val="subscript"/>
        </w:rPr>
        <w:t>2</w:t>
      </w:r>
      <w:r w:rsidRPr="00AC140F" w:rsidR="00A853CB">
        <w:rPr>
          <w:rFonts w:ascii="Verdana" w:hAnsi="Verdana"/>
          <w:sz w:val="18"/>
          <w:szCs w:val="18"/>
        </w:rPr>
        <w:t>-prijs van 50 euro per ton,</w:t>
      </w:r>
      <w:r w:rsidRPr="00AC140F" w:rsidR="00EC1E51">
        <w:rPr>
          <w:rFonts w:ascii="Verdana" w:hAnsi="Verdana"/>
          <w:sz w:val="18"/>
          <w:szCs w:val="18"/>
        </w:rPr>
        <w:t xml:space="preserve"> zal vertalen naar</w:t>
      </w:r>
      <w:r w:rsidRPr="00AC140F" w:rsidR="001718D1">
        <w:rPr>
          <w:rFonts w:ascii="Verdana" w:hAnsi="Verdana"/>
          <w:sz w:val="18"/>
          <w:szCs w:val="18"/>
        </w:rPr>
        <w:t xml:space="preserve"> ca.</w:t>
      </w:r>
      <w:r w:rsidRPr="00AC140F" w:rsidR="00EC1E51">
        <w:rPr>
          <w:rFonts w:ascii="Verdana" w:hAnsi="Verdana"/>
          <w:sz w:val="18"/>
          <w:szCs w:val="18"/>
        </w:rPr>
        <w:t xml:space="preserve"> 12 cent per kubieke meter aardgas en 12-14 cent per liter benzine/diesel</w:t>
      </w:r>
      <w:r w:rsidRPr="00AC140F" w:rsidR="00864FAF">
        <w:rPr>
          <w:rFonts w:ascii="Verdana" w:hAnsi="Verdana"/>
          <w:sz w:val="18"/>
          <w:szCs w:val="18"/>
        </w:rPr>
        <w:t xml:space="preserve">, wat </w:t>
      </w:r>
      <w:r w:rsidRPr="00AC140F" w:rsidR="00DA73C6">
        <w:rPr>
          <w:rFonts w:ascii="Verdana" w:hAnsi="Verdana"/>
          <w:sz w:val="18"/>
          <w:szCs w:val="18"/>
        </w:rPr>
        <w:t xml:space="preserve">zich </w:t>
      </w:r>
      <w:r w:rsidRPr="00AC140F" w:rsidR="00864FAF">
        <w:rPr>
          <w:rFonts w:ascii="Verdana" w:hAnsi="Verdana"/>
          <w:sz w:val="18"/>
          <w:szCs w:val="18"/>
        </w:rPr>
        <w:t xml:space="preserve">voor een gemiddeld huishouden </w:t>
      </w:r>
      <w:r w:rsidRPr="00AC140F" w:rsidR="00A66567">
        <w:rPr>
          <w:rFonts w:ascii="Verdana" w:hAnsi="Verdana"/>
          <w:sz w:val="18"/>
          <w:szCs w:val="18"/>
        </w:rPr>
        <w:t xml:space="preserve">in Nederland </w:t>
      </w:r>
      <w:r w:rsidRPr="00AC140F" w:rsidR="00864FAF">
        <w:rPr>
          <w:rFonts w:ascii="Verdana" w:hAnsi="Verdana"/>
          <w:sz w:val="18"/>
          <w:szCs w:val="18"/>
        </w:rPr>
        <w:t xml:space="preserve">vertaalt tot respectievelijk ca. 100 en 85 euro per jaar. </w:t>
      </w:r>
      <w:r w:rsidRPr="00AC140F" w:rsidR="00A91001">
        <w:rPr>
          <w:rFonts w:ascii="Verdana" w:hAnsi="Verdana"/>
          <w:sz w:val="18"/>
          <w:szCs w:val="18"/>
        </w:rPr>
        <w:t xml:space="preserve">Dit </w:t>
      </w:r>
      <w:r w:rsidRPr="00AC140F" w:rsidR="00864FAF">
        <w:rPr>
          <w:rFonts w:ascii="Verdana" w:hAnsi="Verdana"/>
          <w:sz w:val="18"/>
          <w:szCs w:val="18"/>
        </w:rPr>
        <w:t xml:space="preserve">zijn </w:t>
      </w:r>
      <w:r w:rsidRPr="00AC140F" w:rsidR="00A91001">
        <w:rPr>
          <w:rFonts w:ascii="Verdana" w:hAnsi="Verdana"/>
          <w:sz w:val="18"/>
          <w:szCs w:val="18"/>
        </w:rPr>
        <w:t>partiële inschatting</w:t>
      </w:r>
      <w:r w:rsidRPr="00AC140F" w:rsidR="00864FAF">
        <w:rPr>
          <w:rFonts w:ascii="Verdana" w:hAnsi="Verdana"/>
          <w:sz w:val="18"/>
          <w:szCs w:val="18"/>
        </w:rPr>
        <w:t>en</w:t>
      </w:r>
      <w:r w:rsidRPr="00AC140F" w:rsidR="00A91001">
        <w:rPr>
          <w:rFonts w:ascii="Verdana" w:hAnsi="Verdana"/>
          <w:sz w:val="18"/>
          <w:szCs w:val="18"/>
        </w:rPr>
        <w:t xml:space="preserve"> en geen doorrekening: het uiteindelijke effect kan zowel hoger of lager uitvallen afhankelijk van nationale keuzes rondom implementatie</w:t>
      </w:r>
      <w:r w:rsidRPr="00AC140F" w:rsidR="00A853CB">
        <w:rPr>
          <w:rFonts w:ascii="Verdana" w:hAnsi="Verdana"/>
          <w:sz w:val="18"/>
          <w:szCs w:val="18"/>
        </w:rPr>
        <w:t xml:space="preserve">, </w:t>
      </w:r>
      <w:r w:rsidRPr="00AC140F" w:rsidR="00A91001">
        <w:rPr>
          <w:rFonts w:ascii="Verdana" w:hAnsi="Verdana"/>
          <w:sz w:val="18"/>
          <w:szCs w:val="18"/>
        </w:rPr>
        <w:t>het verdere verloop van de Europese onderhandelingen</w:t>
      </w:r>
      <w:r w:rsidRPr="00AC140F" w:rsidR="00A853CB">
        <w:rPr>
          <w:rFonts w:ascii="Verdana" w:hAnsi="Verdana"/>
          <w:sz w:val="18"/>
          <w:szCs w:val="18"/>
        </w:rPr>
        <w:t xml:space="preserve"> en macro-economische ontwikkelingen</w:t>
      </w:r>
      <w:r w:rsidRPr="00AC140F" w:rsidR="00A91001">
        <w:rPr>
          <w:rFonts w:ascii="Verdana" w:hAnsi="Verdana"/>
          <w:sz w:val="18"/>
          <w:szCs w:val="18"/>
        </w:rPr>
        <w:t>.</w:t>
      </w:r>
      <w:r w:rsidRPr="00AC140F" w:rsidR="001718D1">
        <w:rPr>
          <w:rFonts w:ascii="Verdana" w:hAnsi="Verdana"/>
          <w:sz w:val="18"/>
          <w:szCs w:val="18"/>
        </w:rPr>
        <w:t xml:space="preserve"> </w:t>
      </w:r>
      <w:r w:rsidRPr="00AC140F" w:rsidR="00A66567">
        <w:rPr>
          <w:rFonts w:ascii="Verdana" w:hAnsi="Verdana"/>
          <w:sz w:val="18"/>
          <w:szCs w:val="18"/>
        </w:rPr>
        <w:t xml:space="preserve">Conform </w:t>
      </w:r>
      <w:r w:rsidRPr="00AC140F" w:rsidR="0088560E">
        <w:rPr>
          <w:rFonts w:ascii="Verdana" w:hAnsi="Verdana"/>
          <w:sz w:val="18"/>
          <w:szCs w:val="18"/>
        </w:rPr>
        <w:t xml:space="preserve">de </w:t>
      </w:r>
      <w:r w:rsidRPr="00AC140F" w:rsidR="00A66567">
        <w:rPr>
          <w:rFonts w:ascii="Verdana" w:hAnsi="Verdana"/>
          <w:sz w:val="18"/>
          <w:szCs w:val="18"/>
        </w:rPr>
        <w:t xml:space="preserve">motie </w:t>
      </w:r>
      <w:r w:rsidRPr="00AC140F" w:rsidR="0088560E">
        <w:rPr>
          <w:rFonts w:ascii="Verdana" w:hAnsi="Verdana"/>
          <w:sz w:val="18"/>
          <w:szCs w:val="18"/>
        </w:rPr>
        <w:t xml:space="preserve">van de </w:t>
      </w:r>
      <w:r w:rsidRPr="00AC140F" w:rsidR="00DB6153">
        <w:rPr>
          <w:rFonts w:ascii="Verdana" w:hAnsi="Verdana"/>
          <w:sz w:val="18"/>
          <w:szCs w:val="18"/>
        </w:rPr>
        <w:t>leden Van der Staaij en Eerdmans</w:t>
      </w:r>
      <w:r w:rsidRPr="00AC140F" w:rsidR="00DB6153">
        <w:rPr>
          <w:rStyle w:val="Voetnootmarkering"/>
          <w:rFonts w:ascii="Verdana" w:hAnsi="Verdana"/>
          <w:sz w:val="18"/>
          <w:szCs w:val="18"/>
        </w:rPr>
        <w:footnoteReference w:id="7"/>
      </w:r>
      <w:r w:rsidRPr="00AC140F" w:rsidR="0088560E">
        <w:rPr>
          <w:rFonts w:ascii="Verdana" w:hAnsi="Verdana"/>
          <w:sz w:val="18"/>
          <w:szCs w:val="18"/>
        </w:rPr>
        <w:t xml:space="preserve"> </w:t>
      </w:r>
      <w:r w:rsidRPr="00AC140F" w:rsidR="00A66567">
        <w:rPr>
          <w:rFonts w:ascii="Verdana" w:hAnsi="Verdana"/>
          <w:sz w:val="18"/>
          <w:szCs w:val="18"/>
        </w:rPr>
        <w:t xml:space="preserve">heeft het kabinet ook het CPB gevraagd </w:t>
      </w:r>
      <w:r w:rsidRPr="00AC140F" w:rsidR="008056F1">
        <w:rPr>
          <w:rFonts w:ascii="Verdana" w:hAnsi="Verdana"/>
          <w:sz w:val="18"/>
          <w:szCs w:val="18"/>
        </w:rPr>
        <w:t>naar</w:t>
      </w:r>
      <w:r w:rsidRPr="00AC140F" w:rsidR="00A66567">
        <w:rPr>
          <w:rFonts w:ascii="Verdana" w:hAnsi="Verdana"/>
          <w:sz w:val="18"/>
          <w:szCs w:val="18"/>
        </w:rPr>
        <w:t xml:space="preserve"> de sociaaleconomische </w:t>
      </w:r>
      <w:r w:rsidRPr="00AC140F" w:rsidR="008056F1">
        <w:rPr>
          <w:rFonts w:ascii="Verdana" w:hAnsi="Verdana"/>
          <w:sz w:val="18"/>
          <w:szCs w:val="18"/>
        </w:rPr>
        <w:t xml:space="preserve">gevolgen </w:t>
      </w:r>
      <w:r w:rsidRPr="00AC140F" w:rsidR="00A66567">
        <w:rPr>
          <w:rFonts w:ascii="Verdana" w:hAnsi="Verdana"/>
          <w:sz w:val="18"/>
          <w:szCs w:val="18"/>
        </w:rPr>
        <w:t xml:space="preserve">van het Fit </w:t>
      </w:r>
      <w:proofErr w:type="spellStart"/>
      <w:r w:rsidRPr="00AC140F" w:rsidR="00A66567">
        <w:rPr>
          <w:rFonts w:ascii="Verdana" w:hAnsi="Verdana"/>
          <w:sz w:val="18"/>
          <w:szCs w:val="18"/>
        </w:rPr>
        <w:t>for</w:t>
      </w:r>
      <w:proofErr w:type="spellEnd"/>
      <w:r w:rsidRPr="00AC140F" w:rsidR="00A66567">
        <w:rPr>
          <w:rFonts w:ascii="Verdana" w:hAnsi="Verdana"/>
          <w:sz w:val="18"/>
          <w:szCs w:val="18"/>
        </w:rPr>
        <w:t xml:space="preserve"> 55</w:t>
      </w:r>
      <w:r w:rsidRPr="00AC140F" w:rsidR="008056F1">
        <w:rPr>
          <w:rFonts w:ascii="Verdana" w:hAnsi="Verdana"/>
          <w:sz w:val="18"/>
          <w:szCs w:val="18"/>
        </w:rPr>
        <w:t xml:space="preserve"> pakket</w:t>
      </w:r>
      <w:r w:rsidRPr="00AC140F" w:rsidR="00A66567">
        <w:rPr>
          <w:rFonts w:ascii="Verdana" w:hAnsi="Verdana"/>
          <w:sz w:val="18"/>
          <w:szCs w:val="18"/>
        </w:rPr>
        <w:t xml:space="preserve">, inclusief ETS, te kijken. Naar verwachting zal het CPB </w:t>
      </w:r>
      <w:r w:rsidRPr="00AC140F" w:rsidR="00DB6153">
        <w:rPr>
          <w:rFonts w:ascii="Verdana" w:hAnsi="Verdana"/>
          <w:sz w:val="18"/>
          <w:szCs w:val="18"/>
        </w:rPr>
        <w:t>begin dit jaar</w:t>
      </w:r>
      <w:r w:rsidRPr="00AC140F" w:rsidR="00A66567">
        <w:rPr>
          <w:rFonts w:ascii="Verdana" w:hAnsi="Verdana"/>
          <w:sz w:val="18"/>
          <w:szCs w:val="18"/>
        </w:rPr>
        <w:t xml:space="preserve"> komen met hun </w:t>
      </w:r>
      <w:r w:rsidRPr="00AC140F" w:rsidR="00DB6153">
        <w:rPr>
          <w:rFonts w:ascii="Verdana" w:hAnsi="Verdana"/>
          <w:sz w:val="18"/>
          <w:szCs w:val="18"/>
        </w:rPr>
        <w:t>beschouwing</w:t>
      </w:r>
      <w:r w:rsidRPr="00AC140F" w:rsidR="00A66567">
        <w:rPr>
          <w:rFonts w:ascii="Verdana" w:hAnsi="Verdana"/>
          <w:sz w:val="18"/>
          <w:szCs w:val="18"/>
        </w:rPr>
        <w:t xml:space="preserve">. </w:t>
      </w:r>
    </w:p>
    <w:p w:rsidRPr="00AC140F" w:rsidR="00740002" w:rsidP="0018254B" w:rsidRDefault="00740002" w14:paraId="1E8D2EF4" w14:textId="77777777">
      <w:pPr>
        <w:suppressAutoHyphens/>
        <w:autoSpaceDN w:val="0"/>
        <w:spacing w:after="0" w:line="240" w:lineRule="atLeast"/>
        <w:contextualSpacing/>
        <w:textAlignment w:val="baseline"/>
        <w:rPr>
          <w:rFonts w:ascii="Verdana" w:hAnsi="Verdana"/>
          <w:sz w:val="18"/>
          <w:szCs w:val="18"/>
        </w:rPr>
      </w:pPr>
    </w:p>
    <w:p w:rsidRPr="00AC140F" w:rsidR="00915898" w:rsidP="0018254B" w:rsidRDefault="0093137F" w14:paraId="366237C6" w14:textId="3660EF63">
      <w:pPr>
        <w:suppressAutoHyphens/>
        <w:autoSpaceDN w:val="0"/>
        <w:spacing w:after="0" w:line="240" w:lineRule="atLeast"/>
        <w:contextualSpacing/>
        <w:textAlignment w:val="baseline"/>
        <w:rPr>
          <w:rFonts w:ascii="Verdana" w:hAnsi="Verdana"/>
          <w:sz w:val="18"/>
          <w:szCs w:val="18"/>
        </w:rPr>
      </w:pPr>
      <w:r w:rsidRPr="00AC140F">
        <w:rPr>
          <w:rFonts w:ascii="Verdana" w:hAnsi="Verdana"/>
          <w:sz w:val="18"/>
          <w:szCs w:val="18"/>
        </w:rPr>
        <w:t xml:space="preserve">Het staat </w:t>
      </w:r>
      <w:r w:rsidRPr="00AC140F" w:rsidR="00864FAF">
        <w:rPr>
          <w:rFonts w:ascii="Verdana" w:hAnsi="Verdana"/>
          <w:sz w:val="18"/>
          <w:szCs w:val="18"/>
        </w:rPr>
        <w:t xml:space="preserve">Nederland </w:t>
      </w:r>
      <w:r w:rsidRPr="00AC140F">
        <w:rPr>
          <w:rFonts w:ascii="Verdana" w:hAnsi="Verdana"/>
          <w:sz w:val="18"/>
          <w:szCs w:val="18"/>
        </w:rPr>
        <w:t xml:space="preserve">vrij </w:t>
      </w:r>
      <w:r w:rsidRPr="00AC140F" w:rsidR="00864FAF">
        <w:rPr>
          <w:rFonts w:ascii="Verdana" w:hAnsi="Verdana"/>
          <w:sz w:val="18"/>
          <w:szCs w:val="18"/>
        </w:rPr>
        <w:t xml:space="preserve">om </w:t>
      </w:r>
      <w:r w:rsidRPr="00AC140F" w:rsidR="00407682">
        <w:rPr>
          <w:rFonts w:ascii="Verdana" w:hAnsi="Verdana"/>
          <w:sz w:val="18"/>
          <w:szCs w:val="18"/>
        </w:rPr>
        <w:t xml:space="preserve">nationale </w:t>
      </w:r>
      <w:r w:rsidRPr="00AC140F" w:rsidR="00864FAF">
        <w:rPr>
          <w:rFonts w:ascii="Verdana" w:hAnsi="Verdana"/>
          <w:sz w:val="18"/>
          <w:szCs w:val="18"/>
        </w:rPr>
        <w:t xml:space="preserve">maatregelen te nemen om </w:t>
      </w:r>
      <w:r w:rsidRPr="00AC140F">
        <w:rPr>
          <w:rFonts w:ascii="Verdana" w:hAnsi="Verdana"/>
          <w:sz w:val="18"/>
          <w:szCs w:val="18"/>
        </w:rPr>
        <w:t>eventuele</w:t>
      </w:r>
      <w:r w:rsidRPr="00AC140F" w:rsidR="00864FAF">
        <w:rPr>
          <w:rFonts w:ascii="Verdana" w:hAnsi="Verdana"/>
          <w:sz w:val="18"/>
          <w:szCs w:val="18"/>
        </w:rPr>
        <w:t xml:space="preserve"> </w:t>
      </w:r>
      <w:r w:rsidRPr="00AC140F">
        <w:rPr>
          <w:rFonts w:ascii="Verdana" w:hAnsi="Verdana"/>
          <w:sz w:val="18"/>
          <w:szCs w:val="18"/>
        </w:rPr>
        <w:t xml:space="preserve">lastenverzwaringen </w:t>
      </w:r>
      <w:r w:rsidRPr="00AC140F" w:rsidR="00407682">
        <w:rPr>
          <w:rFonts w:ascii="Verdana" w:hAnsi="Verdana"/>
          <w:sz w:val="18"/>
          <w:szCs w:val="18"/>
        </w:rPr>
        <w:t xml:space="preserve">te </w:t>
      </w:r>
      <w:r w:rsidRPr="00AC140F" w:rsidR="00864FAF">
        <w:rPr>
          <w:rFonts w:ascii="Verdana" w:hAnsi="Verdana"/>
          <w:sz w:val="18"/>
          <w:szCs w:val="18"/>
        </w:rPr>
        <w:t>beperken</w:t>
      </w:r>
      <w:r w:rsidRPr="00AC140F" w:rsidR="00915898">
        <w:rPr>
          <w:rFonts w:ascii="Verdana" w:hAnsi="Verdana"/>
          <w:sz w:val="18"/>
          <w:szCs w:val="18"/>
        </w:rPr>
        <w:t xml:space="preserve"> </w:t>
      </w:r>
      <w:r w:rsidRPr="00AC140F">
        <w:rPr>
          <w:rFonts w:ascii="Verdana" w:hAnsi="Verdana"/>
          <w:sz w:val="18"/>
          <w:szCs w:val="18"/>
        </w:rPr>
        <w:t>of compenseren</w:t>
      </w:r>
      <w:r w:rsidRPr="00AC140F" w:rsidR="00787E98">
        <w:rPr>
          <w:rFonts w:ascii="Verdana" w:hAnsi="Verdana"/>
          <w:sz w:val="18"/>
          <w:szCs w:val="18"/>
        </w:rPr>
        <w:t xml:space="preserve">, </w:t>
      </w:r>
      <w:r w:rsidRPr="00AC140F" w:rsidR="001433AB">
        <w:rPr>
          <w:rFonts w:ascii="Verdana" w:hAnsi="Verdana"/>
          <w:sz w:val="18"/>
          <w:szCs w:val="18"/>
        </w:rPr>
        <w:t>waarbij hierbij uiteraard wel rekening dient te worden gehouden met de nationale begrotingsregels</w:t>
      </w:r>
      <w:r w:rsidRPr="00AC140F" w:rsidR="00A66567">
        <w:rPr>
          <w:rFonts w:ascii="Verdana" w:hAnsi="Verdana"/>
          <w:sz w:val="18"/>
          <w:szCs w:val="18"/>
        </w:rPr>
        <w:t>.</w:t>
      </w:r>
      <w:r w:rsidRPr="00AC140F" w:rsidR="00C67AF5">
        <w:rPr>
          <w:rFonts w:ascii="Verdana" w:hAnsi="Verdana"/>
          <w:sz w:val="18"/>
          <w:szCs w:val="18"/>
        </w:rPr>
        <w:t xml:space="preserve"> </w:t>
      </w:r>
      <w:r w:rsidRPr="00AC140F" w:rsidR="00407682">
        <w:rPr>
          <w:rFonts w:ascii="Verdana" w:hAnsi="Verdana"/>
          <w:sz w:val="18"/>
          <w:szCs w:val="18"/>
        </w:rPr>
        <w:t>Wanneer de effecten van het voorstel bekend zijn</w:t>
      </w:r>
      <w:r w:rsidRPr="00AC140F" w:rsidR="00787E98">
        <w:rPr>
          <w:rFonts w:ascii="Verdana" w:hAnsi="Verdana"/>
          <w:sz w:val="18"/>
          <w:szCs w:val="18"/>
        </w:rPr>
        <w:t xml:space="preserve"> </w:t>
      </w:r>
      <w:r w:rsidRPr="00AC140F" w:rsidR="00407682">
        <w:rPr>
          <w:rFonts w:ascii="Verdana" w:hAnsi="Verdana"/>
          <w:sz w:val="18"/>
          <w:szCs w:val="18"/>
        </w:rPr>
        <w:t xml:space="preserve">kan </w:t>
      </w:r>
      <w:r w:rsidRPr="00AC140F" w:rsidR="00787E98">
        <w:rPr>
          <w:rFonts w:ascii="Verdana" w:hAnsi="Verdana"/>
          <w:sz w:val="18"/>
          <w:szCs w:val="18"/>
        </w:rPr>
        <w:t>de noodzaak hiertoe worden beoordeeld</w:t>
      </w:r>
      <w:r w:rsidRPr="00AC140F" w:rsidR="00407682">
        <w:rPr>
          <w:rFonts w:ascii="Verdana" w:hAnsi="Verdana"/>
          <w:sz w:val="18"/>
          <w:szCs w:val="18"/>
        </w:rPr>
        <w:t xml:space="preserve">. </w:t>
      </w:r>
      <w:r w:rsidRPr="00AC140F" w:rsidR="00787E98">
        <w:rPr>
          <w:rFonts w:ascii="Verdana" w:hAnsi="Verdana"/>
          <w:sz w:val="18"/>
          <w:szCs w:val="18"/>
        </w:rPr>
        <w:t xml:space="preserve">Het is </w:t>
      </w:r>
      <w:r w:rsidRPr="00AC140F">
        <w:rPr>
          <w:rFonts w:ascii="Verdana" w:hAnsi="Verdana"/>
          <w:sz w:val="18"/>
          <w:szCs w:val="18"/>
        </w:rPr>
        <w:t>nu</w:t>
      </w:r>
      <w:r w:rsidRPr="00AC140F" w:rsidR="00787E98">
        <w:rPr>
          <w:rFonts w:ascii="Verdana" w:hAnsi="Verdana"/>
          <w:sz w:val="18"/>
          <w:szCs w:val="18"/>
        </w:rPr>
        <w:t xml:space="preserve"> echter </w:t>
      </w:r>
      <w:r w:rsidRPr="00AC140F">
        <w:rPr>
          <w:rFonts w:ascii="Verdana" w:hAnsi="Verdana"/>
          <w:sz w:val="18"/>
          <w:szCs w:val="18"/>
        </w:rPr>
        <w:t xml:space="preserve">nog </w:t>
      </w:r>
      <w:r w:rsidRPr="00AC140F" w:rsidR="00787E98">
        <w:rPr>
          <w:rFonts w:ascii="Verdana" w:hAnsi="Verdana"/>
          <w:sz w:val="18"/>
          <w:szCs w:val="18"/>
        </w:rPr>
        <w:t>te vroeg om hierover te besluiten</w:t>
      </w:r>
      <w:r w:rsidRPr="00AC140F">
        <w:rPr>
          <w:rFonts w:ascii="Verdana" w:hAnsi="Verdana"/>
          <w:sz w:val="18"/>
          <w:szCs w:val="18"/>
        </w:rPr>
        <w:t>.</w:t>
      </w:r>
      <w:r w:rsidRPr="00AC140F" w:rsidR="007F7A1F">
        <w:rPr>
          <w:rFonts w:ascii="Verdana" w:hAnsi="Verdana"/>
          <w:sz w:val="18"/>
          <w:szCs w:val="18"/>
        </w:rPr>
        <w:t xml:space="preserve"> </w:t>
      </w:r>
      <w:r w:rsidRPr="00AC140F" w:rsidR="00A853CB">
        <w:rPr>
          <w:rFonts w:ascii="Verdana" w:hAnsi="Verdana"/>
          <w:sz w:val="18"/>
          <w:szCs w:val="18"/>
        </w:rPr>
        <w:t xml:space="preserve">Zoals in het </w:t>
      </w:r>
      <w:r w:rsidRPr="00AC140F" w:rsidR="005E42AB">
        <w:rPr>
          <w:rFonts w:ascii="Verdana" w:hAnsi="Verdana"/>
          <w:sz w:val="18"/>
          <w:szCs w:val="18"/>
        </w:rPr>
        <w:t>C</w:t>
      </w:r>
      <w:r w:rsidRPr="00AC140F" w:rsidR="00A853CB">
        <w:rPr>
          <w:rFonts w:ascii="Verdana" w:hAnsi="Verdana"/>
          <w:sz w:val="18"/>
          <w:szCs w:val="18"/>
        </w:rPr>
        <w:t xml:space="preserve">oalitieakkoord is afgesproken zal het kabinet het klimaatbeleid na vaststelling van het Fit </w:t>
      </w:r>
      <w:proofErr w:type="spellStart"/>
      <w:r w:rsidRPr="00AC140F" w:rsidR="00A853CB">
        <w:rPr>
          <w:rFonts w:ascii="Verdana" w:hAnsi="Verdana"/>
          <w:sz w:val="18"/>
          <w:szCs w:val="18"/>
        </w:rPr>
        <w:t>for</w:t>
      </w:r>
      <w:proofErr w:type="spellEnd"/>
      <w:r w:rsidRPr="00AC140F" w:rsidR="00A853CB">
        <w:rPr>
          <w:rFonts w:ascii="Verdana" w:hAnsi="Verdana"/>
          <w:sz w:val="18"/>
          <w:szCs w:val="18"/>
        </w:rPr>
        <w:t xml:space="preserve"> 55 pakket herijken aan de hand van de verwachtte effecten op CO</w:t>
      </w:r>
      <w:r w:rsidRPr="00AC140F" w:rsidR="00A853CB">
        <w:rPr>
          <w:rFonts w:ascii="Verdana" w:hAnsi="Verdana"/>
          <w:sz w:val="18"/>
          <w:szCs w:val="18"/>
          <w:vertAlign w:val="subscript"/>
        </w:rPr>
        <w:t>2</w:t>
      </w:r>
      <w:r w:rsidRPr="00AC140F" w:rsidR="00A853CB">
        <w:rPr>
          <w:rFonts w:ascii="Verdana" w:hAnsi="Verdana"/>
          <w:sz w:val="18"/>
          <w:szCs w:val="18"/>
        </w:rPr>
        <w:t>-uitstoot en de betaalbaarheid voor huishoudens en het mkb.</w:t>
      </w:r>
    </w:p>
    <w:p w:rsidRPr="00AC140F" w:rsidR="007F7A1F" w:rsidP="0018254B" w:rsidRDefault="007F7A1F" w14:paraId="26BC2636" w14:textId="56D80C01">
      <w:pPr>
        <w:suppressAutoHyphens/>
        <w:autoSpaceDN w:val="0"/>
        <w:spacing w:after="0" w:line="240" w:lineRule="atLeast"/>
        <w:contextualSpacing/>
        <w:textAlignment w:val="baseline"/>
        <w:rPr>
          <w:rFonts w:ascii="Verdana" w:hAnsi="Verdana"/>
          <w:sz w:val="18"/>
          <w:szCs w:val="18"/>
        </w:rPr>
      </w:pPr>
    </w:p>
    <w:p w:rsidRPr="00AC140F" w:rsidR="00AB450E" w:rsidP="0018254B" w:rsidRDefault="007F7A1F" w14:paraId="5CF9F5FE" w14:textId="128D661A">
      <w:pPr>
        <w:spacing w:after="0" w:line="240" w:lineRule="atLeast"/>
        <w:rPr>
          <w:rFonts w:ascii="Verdana" w:hAnsi="Verdana"/>
          <w:sz w:val="18"/>
          <w:szCs w:val="18"/>
        </w:rPr>
      </w:pPr>
      <w:r w:rsidRPr="00AC140F">
        <w:rPr>
          <w:rFonts w:ascii="Verdana" w:hAnsi="Verdana" w:cs="Verdana"/>
          <w:sz w:val="18"/>
          <w:szCs w:val="18"/>
        </w:rPr>
        <w:t xml:space="preserve">De Nederlandse transitie heeft voordeel bij de convergentie van klimaatinspanningen </w:t>
      </w:r>
      <w:r w:rsidRPr="00AC140F" w:rsidR="003D1B71">
        <w:rPr>
          <w:rFonts w:ascii="Verdana" w:hAnsi="Verdana" w:cs="Verdana"/>
          <w:sz w:val="18"/>
          <w:szCs w:val="18"/>
        </w:rPr>
        <w:t xml:space="preserve">en </w:t>
      </w:r>
      <w:r w:rsidRPr="00AC140F" w:rsidR="00780C89">
        <w:rPr>
          <w:rFonts w:ascii="Verdana" w:hAnsi="Verdana" w:cs="Verdana"/>
          <w:sz w:val="18"/>
          <w:szCs w:val="18"/>
        </w:rPr>
        <w:t>harmonisatie van CO</w:t>
      </w:r>
      <w:r w:rsidRPr="00AC140F" w:rsidR="00780C89">
        <w:rPr>
          <w:rFonts w:ascii="Verdana" w:hAnsi="Verdana" w:cs="Verdana"/>
          <w:sz w:val="18"/>
          <w:szCs w:val="18"/>
          <w:vertAlign w:val="subscript"/>
        </w:rPr>
        <w:t>2</w:t>
      </w:r>
      <w:r w:rsidRPr="00AC140F" w:rsidR="00780C89">
        <w:rPr>
          <w:rFonts w:ascii="Verdana" w:hAnsi="Verdana" w:cs="Verdana"/>
          <w:sz w:val="18"/>
          <w:szCs w:val="18"/>
        </w:rPr>
        <w:t xml:space="preserve">-beprijzing </w:t>
      </w:r>
      <w:r w:rsidRPr="00AC140F">
        <w:rPr>
          <w:rFonts w:ascii="Verdana" w:hAnsi="Verdana" w:cs="Verdana"/>
          <w:sz w:val="18"/>
          <w:szCs w:val="18"/>
        </w:rPr>
        <w:t xml:space="preserve">binnen </w:t>
      </w:r>
      <w:r w:rsidRPr="00AC140F" w:rsidR="00A66567">
        <w:rPr>
          <w:rFonts w:ascii="Verdana" w:hAnsi="Verdana" w:cs="Verdana"/>
          <w:sz w:val="18"/>
          <w:szCs w:val="18"/>
        </w:rPr>
        <w:t>de EU</w:t>
      </w:r>
      <w:r w:rsidRPr="00AC140F">
        <w:rPr>
          <w:rFonts w:ascii="Verdana" w:hAnsi="Verdana" w:cs="Verdana"/>
          <w:sz w:val="18"/>
          <w:szCs w:val="18"/>
        </w:rPr>
        <w:t>. Dit draagt namelijk bij aan een gelijker speelveld voor de bedrijven di</w:t>
      </w:r>
      <w:r w:rsidRPr="00AC140F" w:rsidR="00FD78BC">
        <w:rPr>
          <w:rFonts w:ascii="Verdana" w:hAnsi="Verdana" w:cs="Verdana"/>
          <w:sz w:val="18"/>
          <w:szCs w:val="18"/>
        </w:rPr>
        <w:t>e</w:t>
      </w:r>
      <w:r w:rsidRPr="00AC140F">
        <w:rPr>
          <w:rFonts w:ascii="Verdana" w:hAnsi="Verdana" w:cs="Verdana"/>
          <w:sz w:val="18"/>
          <w:szCs w:val="18"/>
        </w:rPr>
        <w:t xml:space="preserve"> onder ETS-BRT gaan vallen. Ook kan een versnelde transitie leiden tot schaalvoordelen en kostenreductie voor de Nederlandse transitie, bijvoorbeeld in het geval van elektrische voertuigen, lage-emissie brandstoffen en lage-emissie verwarmingssystemen. </w:t>
      </w:r>
    </w:p>
    <w:p w:rsidRPr="00AC140F" w:rsidR="007F7A1F" w:rsidP="0018254B" w:rsidRDefault="007F7A1F" w14:paraId="2C07D2DC" w14:textId="77777777">
      <w:pPr>
        <w:spacing w:after="0" w:line="240" w:lineRule="atLeast"/>
        <w:rPr>
          <w:rFonts w:ascii="Verdana" w:hAnsi="Verdana"/>
          <w:sz w:val="18"/>
          <w:szCs w:val="18"/>
        </w:rPr>
      </w:pPr>
    </w:p>
    <w:p w:rsidRPr="00AC140F" w:rsidR="001718D1" w:rsidP="0018254B" w:rsidRDefault="00A91001" w14:paraId="1A27B22A" w14:textId="5A015B21">
      <w:pPr>
        <w:spacing w:after="0" w:line="240" w:lineRule="atLeast"/>
        <w:rPr>
          <w:rFonts w:ascii="Verdana" w:hAnsi="Verdana"/>
          <w:b/>
          <w:bCs/>
          <w:sz w:val="18"/>
          <w:szCs w:val="18"/>
        </w:rPr>
      </w:pPr>
      <w:r w:rsidRPr="00AC140F">
        <w:rPr>
          <w:rFonts w:ascii="Verdana" w:hAnsi="Verdana"/>
          <w:b/>
          <w:bCs/>
          <w:sz w:val="18"/>
          <w:szCs w:val="18"/>
        </w:rPr>
        <w:t>Mogelijke alternatieven</w:t>
      </w:r>
    </w:p>
    <w:p w:rsidRPr="00AC140F" w:rsidR="00AB450E" w:rsidP="0018254B" w:rsidRDefault="00DA73C6" w14:paraId="72B86A41" w14:textId="08AA51FC">
      <w:pPr>
        <w:spacing w:after="0" w:line="240" w:lineRule="atLeast"/>
        <w:rPr>
          <w:rFonts w:ascii="Verdana" w:hAnsi="Verdana"/>
          <w:sz w:val="18"/>
          <w:szCs w:val="18"/>
        </w:rPr>
      </w:pPr>
      <w:r w:rsidRPr="00AC140F">
        <w:rPr>
          <w:rFonts w:ascii="Verdana" w:hAnsi="Verdana"/>
          <w:sz w:val="18"/>
          <w:szCs w:val="18"/>
        </w:rPr>
        <w:t xml:space="preserve">De Commissie  wijst op het integrale karakter van het </w:t>
      </w:r>
      <w:r w:rsidRPr="00AC140F" w:rsidR="001037FB">
        <w:rPr>
          <w:rFonts w:ascii="Verdana" w:hAnsi="Verdana"/>
          <w:sz w:val="18"/>
          <w:szCs w:val="18"/>
        </w:rPr>
        <w:t xml:space="preserve">Fit </w:t>
      </w:r>
      <w:proofErr w:type="spellStart"/>
      <w:r w:rsidRPr="00AC140F" w:rsidR="001037FB">
        <w:rPr>
          <w:rFonts w:ascii="Verdana" w:hAnsi="Verdana"/>
          <w:sz w:val="18"/>
          <w:szCs w:val="18"/>
        </w:rPr>
        <w:t>for</w:t>
      </w:r>
      <w:proofErr w:type="spellEnd"/>
      <w:r w:rsidRPr="00AC140F" w:rsidR="001037FB">
        <w:rPr>
          <w:rFonts w:ascii="Verdana" w:hAnsi="Verdana"/>
          <w:sz w:val="18"/>
          <w:szCs w:val="18"/>
        </w:rPr>
        <w:t xml:space="preserve"> 55 </w:t>
      </w:r>
      <w:r w:rsidRPr="00AC140F">
        <w:rPr>
          <w:rFonts w:ascii="Verdana" w:hAnsi="Verdana"/>
          <w:sz w:val="18"/>
          <w:szCs w:val="18"/>
        </w:rPr>
        <w:t>pakket: individuele onderdelen kunnen niet zonder meer worden weggestreept om</w:t>
      </w:r>
      <w:r w:rsidRPr="00AC140F" w:rsidR="003E0196">
        <w:rPr>
          <w:rFonts w:ascii="Verdana" w:hAnsi="Verdana"/>
          <w:sz w:val="18"/>
          <w:szCs w:val="18"/>
        </w:rPr>
        <w:t>dat</w:t>
      </w:r>
      <w:r w:rsidRPr="00AC140F">
        <w:rPr>
          <w:rFonts w:ascii="Verdana" w:hAnsi="Verdana"/>
          <w:sz w:val="18"/>
          <w:szCs w:val="18"/>
        </w:rPr>
        <w:t xml:space="preserve"> de algemene ambitie </w:t>
      </w:r>
      <w:r w:rsidRPr="00AC140F" w:rsidR="003E0196">
        <w:rPr>
          <w:rFonts w:ascii="Verdana" w:hAnsi="Verdana"/>
          <w:sz w:val="18"/>
          <w:szCs w:val="18"/>
        </w:rPr>
        <w:t>van het pakket dient te worden behouden</w:t>
      </w:r>
      <w:r w:rsidRPr="00AC140F" w:rsidR="00C77080">
        <w:rPr>
          <w:rFonts w:ascii="Verdana" w:hAnsi="Verdana"/>
          <w:sz w:val="18"/>
          <w:szCs w:val="18"/>
        </w:rPr>
        <w:t xml:space="preserve"> zoals vastgelegd in de Europese Klimaatwet. </w:t>
      </w:r>
      <w:r w:rsidRPr="00AC140F" w:rsidR="00915898">
        <w:rPr>
          <w:rFonts w:ascii="Verdana" w:hAnsi="Verdana"/>
          <w:sz w:val="18"/>
          <w:szCs w:val="18"/>
        </w:rPr>
        <w:t xml:space="preserve">Enkel </w:t>
      </w:r>
      <w:r w:rsidRPr="00AC140F">
        <w:rPr>
          <w:rFonts w:ascii="Verdana" w:hAnsi="Verdana"/>
          <w:sz w:val="18"/>
          <w:szCs w:val="18"/>
        </w:rPr>
        <w:t>doel</w:t>
      </w:r>
      <w:r w:rsidRPr="00AC140F" w:rsidR="00915898">
        <w:rPr>
          <w:rFonts w:ascii="Verdana" w:hAnsi="Verdana"/>
          <w:sz w:val="18"/>
          <w:szCs w:val="18"/>
        </w:rPr>
        <w:t>en</w:t>
      </w:r>
      <w:r w:rsidRPr="00AC140F">
        <w:rPr>
          <w:rFonts w:ascii="Verdana" w:hAnsi="Verdana"/>
          <w:sz w:val="18"/>
          <w:szCs w:val="18"/>
        </w:rPr>
        <w:t xml:space="preserve"> stellen </w:t>
      </w:r>
      <w:r w:rsidRPr="00AC140F" w:rsidR="00915898">
        <w:rPr>
          <w:rFonts w:ascii="Verdana" w:hAnsi="Verdana"/>
          <w:sz w:val="18"/>
          <w:szCs w:val="18"/>
        </w:rPr>
        <w:t xml:space="preserve">is in deze fase van de transitie </w:t>
      </w:r>
      <w:r w:rsidRPr="00AC140F">
        <w:rPr>
          <w:rFonts w:ascii="Verdana" w:hAnsi="Verdana"/>
          <w:sz w:val="18"/>
          <w:szCs w:val="18"/>
        </w:rPr>
        <w:t xml:space="preserve">niet </w:t>
      </w:r>
      <w:r w:rsidRPr="00AC140F" w:rsidR="00915898">
        <w:rPr>
          <w:rFonts w:ascii="Verdana" w:hAnsi="Verdana"/>
          <w:sz w:val="18"/>
          <w:szCs w:val="18"/>
        </w:rPr>
        <w:t xml:space="preserve">meer </w:t>
      </w:r>
      <w:r w:rsidRPr="00AC140F">
        <w:rPr>
          <w:rFonts w:ascii="Verdana" w:hAnsi="Verdana"/>
          <w:sz w:val="18"/>
          <w:szCs w:val="18"/>
        </w:rPr>
        <w:t>voldoende, er moet</w:t>
      </w:r>
      <w:r w:rsidRPr="00AC140F" w:rsidR="00C77080">
        <w:rPr>
          <w:rFonts w:ascii="Verdana" w:hAnsi="Verdana"/>
          <w:sz w:val="18"/>
          <w:szCs w:val="18"/>
        </w:rPr>
        <w:t xml:space="preserve">en ook instrumenten </w:t>
      </w:r>
      <w:r w:rsidRPr="00AC140F">
        <w:rPr>
          <w:rFonts w:ascii="Verdana" w:hAnsi="Verdana"/>
          <w:sz w:val="18"/>
          <w:szCs w:val="18"/>
        </w:rPr>
        <w:t xml:space="preserve">komen om dat doel te halen. </w:t>
      </w:r>
      <w:r w:rsidRPr="00AC140F" w:rsidR="00C77080">
        <w:rPr>
          <w:rFonts w:ascii="Verdana" w:hAnsi="Verdana"/>
          <w:sz w:val="18"/>
          <w:szCs w:val="18"/>
        </w:rPr>
        <w:t xml:space="preserve">Klimaatverandering tegengaan </w:t>
      </w:r>
      <w:r w:rsidRPr="00AC140F" w:rsidR="003E0196">
        <w:rPr>
          <w:rFonts w:ascii="Verdana" w:hAnsi="Verdana"/>
          <w:sz w:val="18"/>
          <w:szCs w:val="18"/>
        </w:rPr>
        <w:t xml:space="preserve">is </w:t>
      </w:r>
      <w:r w:rsidRPr="00AC140F" w:rsidR="00AB450E">
        <w:rPr>
          <w:rFonts w:ascii="Verdana" w:hAnsi="Verdana"/>
          <w:sz w:val="18"/>
          <w:szCs w:val="18"/>
        </w:rPr>
        <w:t xml:space="preserve">geen nationale opgave, maar </w:t>
      </w:r>
      <w:r w:rsidRPr="00AC140F" w:rsidR="003E0196">
        <w:rPr>
          <w:rFonts w:ascii="Verdana" w:hAnsi="Verdana"/>
          <w:sz w:val="18"/>
          <w:szCs w:val="18"/>
        </w:rPr>
        <w:t xml:space="preserve">vereist </w:t>
      </w:r>
      <w:r w:rsidRPr="00AC140F" w:rsidR="00AB450E">
        <w:rPr>
          <w:rFonts w:ascii="Verdana" w:hAnsi="Verdana"/>
          <w:sz w:val="18"/>
          <w:szCs w:val="18"/>
        </w:rPr>
        <w:t xml:space="preserve">een </w:t>
      </w:r>
      <w:r w:rsidRPr="00AC140F">
        <w:rPr>
          <w:rFonts w:ascii="Verdana" w:hAnsi="Verdana"/>
          <w:sz w:val="18"/>
          <w:szCs w:val="18"/>
        </w:rPr>
        <w:t xml:space="preserve">effectieve </w:t>
      </w:r>
      <w:r w:rsidRPr="00AC140F" w:rsidR="00AB450E">
        <w:rPr>
          <w:rFonts w:ascii="Verdana" w:hAnsi="Verdana"/>
          <w:sz w:val="18"/>
          <w:szCs w:val="18"/>
        </w:rPr>
        <w:t xml:space="preserve">mondiale en Europese aanpak. Europese regels brengen– naast het feit dat ze meehelpen de nationale opgave in te vullen – schaalvoordelen en een gelijk speelveld. Dit zorgt voor meer zekerheid dat de Unie zich als </w:t>
      </w:r>
      <w:r w:rsidRPr="00AC140F" w:rsidR="003E0196">
        <w:rPr>
          <w:rFonts w:ascii="Verdana" w:hAnsi="Verdana"/>
          <w:sz w:val="18"/>
          <w:szCs w:val="18"/>
        </w:rPr>
        <w:t xml:space="preserve">geheel </w:t>
      </w:r>
      <w:r w:rsidRPr="00AC140F" w:rsidR="00AB450E">
        <w:rPr>
          <w:rFonts w:ascii="Verdana" w:hAnsi="Verdana"/>
          <w:sz w:val="18"/>
          <w:szCs w:val="18"/>
        </w:rPr>
        <w:t xml:space="preserve">richting de wettelijk vastgelegde en noodzakelijke doelen beweegt. </w:t>
      </w:r>
      <w:r w:rsidRPr="00AC140F" w:rsidR="00FD78BC">
        <w:rPr>
          <w:rFonts w:ascii="Verdana" w:hAnsi="Verdana"/>
          <w:sz w:val="18"/>
          <w:szCs w:val="18"/>
        </w:rPr>
        <w:t>Daarom is het van belang om, w</w:t>
      </w:r>
      <w:r w:rsidRPr="00AC140F" w:rsidR="00AB450E">
        <w:rPr>
          <w:rFonts w:ascii="Verdana" w:hAnsi="Verdana"/>
          <w:sz w:val="18"/>
          <w:szCs w:val="18"/>
        </w:rPr>
        <w:t>anneer er gekeken word</w:t>
      </w:r>
      <w:r w:rsidRPr="00AC140F" w:rsidR="00296775">
        <w:rPr>
          <w:rFonts w:ascii="Verdana" w:hAnsi="Verdana"/>
          <w:sz w:val="18"/>
          <w:szCs w:val="18"/>
        </w:rPr>
        <w:t>t</w:t>
      </w:r>
      <w:r w:rsidRPr="00AC140F" w:rsidR="00AB450E">
        <w:rPr>
          <w:rFonts w:ascii="Verdana" w:hAnsi="Verdana"/>
          <w:sz w:val="18"/>
          <w:szCs w:val="18"/>
        </w:rPr>
        <w:t xml:space="preserve"> naar alternatieven, </w:t>
      </w:r>
      <w:r w:rsidRPr="00AC140F" w:rsidR="00FD78BC">
        <w:rPr>
          <w:rFonts w:ascii="Verdana" w:hAnsi="Verdana"/>
          <w:sz w:val="18"/>
          <w:szCs w:val="18"/>
        </w:rPr>
        <w:t>te kijken naar Europese alternatieven</w:t>
      </w:r>
      <w:r w:rsidRPr="00AC140F" w:rsidR="003E0196">
        <w:rPr>
          <w:rFonts w:ascii="Verdana" w:hAnsi="Verdana"/>
          <w:sz w:val="18"/>
          <w:szCs w:val="18"/>
        </w:rPr>
        <w:t>.</w:t>
      </w:r>
    </w:p>
    <w:p w:rsidRPr="00AC140F" w:rsidR="003E0196" w:rsidP="0018254B" w:rsidRDefault="003E0196" w14:paraId="3E634025" w14:textId="056507A0">
      <w:pPr>
        <w:spacing w:after="0" w:line="240" w:lineRule="atLeast"/>
        <w:rPr>
          <w:rFonts w:ascii="Verdana" w:hAnsi="Verdana"/>
          <w:sz w:val="18"/>
          <w:szCs w:val="18"/>
        </w:rPr>
      </w:pPr>
    </w:p>
    <w:p w:rsidRPr="00AC140F" w:rsidR="003E0196" w:rsidP="0018254B" w:rsidRDefault="003E0196" w14:paraId="2A1B9718" w14:textId="3FEBA42C">
      <w:pPr>
        <w:spacing w:after="0" w:line="240" w:lineRule="atLeast"/>
        <w:rPr>
          <w:rFonts w:ascii="Verdana" w:hAnsi="Verdana"/>
          <w:sz w:val="18"/>
          <w:szCs w:val="18"/>
        </w:rPr>
      </w:pPr>
      <w:r w:rsidRPr="00AC140F">
        <w:rPr>
          <w:rFonts w:ascii="Verdana" w:hAnsi="Verdana"/>
          <w:sz w:val="18"/>
          <w:szCs w:val="18"/>
        </w:rPr>
        <w:t xml:space="preserve">Zoals blijkt uit </w:t>
      </w:r>
      <w:r w:rsidRPr="00AC140F" w:rsidR="00C77080">
        <w:rPr>
          <w:rFonts w:ascii="Verdana" w:hAnsi="Verdana"/>
          <w:sz w:val="18"/>
          <w:szCs w:val="18"/>
        </w:rPr>
        <w:t>de impact assessments</w:t>
      </w:r>
      <w:r w:rsidRPr="00AC140F">
        <w:rPr>
          <w:rFonts w:ascii="Verdana" w:hAnsi="Verdana"/>
          <w:sz w:val="18"/>
          <w:szCs w:val="18"/>
        </w:rPr>
        <w:t xml:space="preserve"> </w:t>
      </w:r>
      <w:r w:rsidRPr="00AC140F" w:rsidR="00C77080">
        <w:rPr>
          <w:rFonts w:ascii="Verdana" w:hAnsi="Verdana"/>
          <w:sz w:val="18"/>
          <w:szCs w:val="18"/>
        </w:rPr>
        <w:t>die</w:t>
      </w:r>
      <w:r w:rsidRPr="00AC140F">
        <w:rPr>
          <w:rFonts w:ascii="Verdana" w:hAnsi="Verdana"/>
          <w:sz w:val="18"/>
          <w:szCs w:val="18"/>
        </w:rPr>
        <w:t xml:space="preserve"> de Commissie </w:t>
      </w:r>
      <w:r w:rsidRPr="00AC140F" w:rsidR="00C77080">
        <w:rPr>
          <w:rFonts w:ascii="Verdana" w:hAnsi="Verdana"/>
          <w:sz w:val="18"/>
          <w:szCs w:val="18"/>
        </w:rPr>
        <w:t>samen met het Fit</w:t>
      </w:r>
      <w:r w:rsidRPr="00AC140F" w:rsidR="0044543D">
        <w:rPr>
          <w:rFonts w:ascii="Verdana" w:hAnsi="Verdana"/>
          <w:sz w:val="18"/>
          <w:szCs w:val="18"/>
        </w:rPr>
        <w:t>-</w:t>
      </w:r>
      <w:r w:rsidRPr="00AC140F" w:rsidR="00C77080">
        <w:rPr>
          <w:rFonts w:ascii="Verdana" w:hAnsi="Verdana"/>
          <w:sz w:val="18"/>
          <w:szCs w:val="18"/>
        </w:rPr>
        <w:t>for</w:t>
      </w:r>
      <w:r w:rsidRPr="00AC140F" w:rsidR="0044543D">
        <w:rPr>
          <w:rFonts w:ascii="Verdana" w:hAnsi="Verdana"/>
          <w:sz w:val="18"/>
          <w:szCs w:val="18"/>
        </w:rPr>
        <w:t>-</w:t>
      </w:r>
      <w:r w:rsidRPr="00AC140F" w:rsidR="00C77080">
        <w:rPr>
          <w:rFonts w:ascii="Verdana" w:hAnsi="Verdana"/>
          <w:sz w:val="18"/>
          <w:szCs w:val="18"/>
        </w:rPr>
        <w:t xml:space="preserve">55 </w:t>
      </w:r>
      <w:r w:rsidRPr="00AC140F" w:rsidR="0044543D">
        <w:rPr>
          <w:rFonts w:ascii="Verdana" w:hAnsi="Verdana"/>
          <w:sz w:val="18"/>
          <w:szCs w:val="18"/>
        </w:rPr>
        <w:t>pakket</w:t>
      </w:r>
      <w:r w:rsidRPr="00AC140F" w:rsidR="00C77080">
        <w:rPr>
          <w:rFonts w:ascii="Verdana" w:hAnsi="Verdana"/>
          <w:sz w:val="18"/>
          <w:szCs w:val="18"/>
        </w:rPr>
        <w:t xml:space="preserve"> heeft gepresenteerd, </w:t>
      </w:r>
      <w:r w:rsidRPr="00AC140F">
        <w:rPr>
          <w:rFonts w:ascii="Verdana" w:hAnsi="Verdana"/>
          <w:sz w:val="18"/>
          <w:szCs w:val="18"/>
        </w:rPr>
        <w:t>komt zonder</w:t>
      </w:r>
      <w:r w:rsidRPr="00AC140F" w:rsidR="00C77080">
        <w:rPr>
          <w:rFonts w:ascii="Verdana" w:hAnsi="Verdana"/>
          <w:sz w:val="18"/>
          <w:szCs w:val="18"/>
        </w:rPr>
        <w:t xml:space="preserve"> het</w:t>
      </w:r>
      <w:r w:rsidRPr="00AC140F">
        <w:rPr>
          <w:rFonts w:ascii="Verdana" w:hAnsi="Verdana"/>
          <w:sz w:val="18"/>
          <w:szCs w:val="18"/>
        </w:rPr>
        <w:t xml:space="preserve"> ETS-BRT de route van verdere aanscherping van regulering </w:t>
      </w:r>
      <w:r w:rsidRPr="00AC140F" w:rsidR="00C77080">
        <w:rPr>
          <w:rFonts w:ascii="Verdana" w:hAnsi="Verdana"/>
          <w:sz w:val="18"/>
          <w:szCs w:val="18"/>
        </w:rPr>
        <w:t xml:space="preserve">en normering </w:t>
      </w:r>
      <w:r w:rsidRPr="00AC140F">
        <w:rPr>
          <w:rFonts w:ascii="Verdana" w:hAnsi="Verdana"/>
          <w:sz w:val="18"/>
          <w:szCs w:val="18"/>
        </w:rPr>
        <w:t>in beeld</w:t>
      </w:r>
      <w:r w:rsidRPr="00AC140F" w:rsidR="00C96FE7">
        <w:rPr>
          <w:rFonts w:ascii="Verdana" w:hAnsi="Verdana"/>
          <w:sz w:val="18"/>
          <w:szCs w:val="18"/>
        </w:rPr>
        <w:t>, tenzij volledig vertrouwd wordt op nationaal beleid in de lidstaten</w:t>
      </w:r>
      <w:r w:rsidRPr="00AC140F">
        <w:rPr>
          <w:rFonts w:ascii="Verdana" w:hAnsi="Verdana"/>
          <w:sz w:val="18"/>
          <w:szCs w:val="18"/>
        </w:rPr>
        <w:t xml:space="preserve">. Dit kan </w:t>
      </w:r>
      <w:r w:rsidRPr="00AC140F" w:rsidR="003D1B71">
        <w:rPr>
          <w:rFonts w:ascii="Verdana" w:hAnsi="Verdana"/>
          <w:sz w:val="18"/>
          <w:szCs w:val="18"/>
        </w:rPr>
        <w:t xml:space="preserve">verplichting, </w:t>
      </w:r>
      <w:r w:rsidRPr="00AC140F">
        <w:rPr>
          <w:rFonts w:ascii="Verdana" w:hAnsi="Verdana"/>
          <w:sz w:val="18"/>
          <w:szCs w:val="18"/>
        </w:rPr>
        <w:t>verdere aanscherping en verbreding omvatten van eisen in de richtlijn hernieuwbare energie (RED), de richtlijn energieprestatie van gebouwen (EPBD), en de richtlijn energie efficiëntie (EED)</w:t>
      </w:r>
      <w:r w:rsidRPr="00AC140F" w:rsidR="00165BA2">
        <w:rPr>
          <w:rFonts w:ascii="Verdana" w:hAnsi="Verdana"/>
          <w:sz w:val="18"/>
          <w:szCs w:val="18"/>
        </w:rPr>
        <w:t>.</w:t>
      </w:r>
      <w:r w:rsidRPr="00AC140F" w:rsidR="008056F1">
        <w:rPr>
          <w:rFonts w:ascii="Verdana" w:hAnsi="Verdana"/>
          <w:sz w:val="18"/>
          <w:szCs w:val="18"/>
        </w:rPr>
        <w:t xml:space="preserve"> </w:t>
      </w:r>
      <w:r w:rsidRPr="00AC140F">
        <w:rPr>
          <w:rFonts w:ascii="Verdana" w:hAnsi="Verdana"/>
          <w:sz w:val="18"/>
          <w:szCs w:val="18"/>
        </w:rPr>
        <w:t>In de BNC-fiches over de RED</w:t>
      </w:r>
      <w:r w:rsidRPr="00AC140F">
        <w:rPr>
          <w:rStyle w:val="Voetnootmarkering"/>
          <w:rFonts w:ascii="Verdana" w:hAnsi="Verdana"/>
          <w:sz w:val="18"/>
          <w:szCs w:val="18"/>
        </w:rPr>
        <w:footnoteReference w:id="8"/>
      </w:r>
      <w:r w:rsidRPr="00AC140F">
        <w:rPr>
          <w:rFonts w:ascii="Verdana" w:hAnsi="Verdana"/>
          <w:sz w:val="18"/>
          <w:szCs w:val="18"/>
        </w:rPr>
        <w:t>, EED</w:t>
      </w:r>
      <w:r w:rsidRPr="00AC140F">
        <w:rPr>
          <w:rStyle w:val="Voetnootmarkering"/>
          <w:rFonts w:ascii="Verdana" w:hAnsi="Verdana"/>
          <w:sz w:val="18"/>
          <w:szCs w:val="18"/>
        </w:rPr>
        <w:footnoteReference w:id="9"/>
      </w:r>
      <w:r w:rsidRPr="00AC140F">
        <w:rPr>
          <w:rFonts w:ascii="Verdana" w:hAnsi="Verdana"/>
          <w:sz w:val="18"/>
          <w:szCs w:val="18"/>
        </w:rPr>
        <w:t xml:space="preserve"> en EPBD</w:t>
      </w:r>
      <w:r w:rsidRPr="00AC140F">
        <w:rPr>
          <w:rStyle w:val="Voetnootmarkering"/>
          <w:rFonts w:ascii="Verdana" w:hAnsi="Verdana"/>
          <w:sz w:val="18"/>
          <w:szCs w:val="18"/>
        </w:rPr>
        <w:footnoteReference w:id="10"/>
      </w:r>
      <w:r w:rsidRPr="00AC140F">
        <w:rPr>
          <w:rFonts w:ascii="Verdana" w:hAnsi="Verdana"/>
          <w:sz w:val="18"/>
          <w:szCs w:val="18"/>
        </w:rPr>
        <w:t xml:space="preserve"> vindt u een uitgebreide kabinetsreactie op de huidige voorstellen voor deze richtlijnen. </w:t>
      </w:r>
      <w:r w:rsidRPr="00AC140F" w:rsidR="00296775">
        <w:rPr>
          <w:rFonts w:ascii="Verdana" w:hAnsi="Verdana"/>
          <w:sz w:val="18"/>
          <w:szCs w:val="18"/>
        </w:rPr>
        <w:t>Het zal een aanzienlijke opgave voor Nederland betekenen om te v</w:t>
      </w:r>
      <w:r w:rsidRPr="00AC140F">
        <w:rPr>
          <w:rFonts w:ascii="Verdana" w:hAnsi="Verdana"/>
          <w:sz w:val="18"/>
          <w:szCs w:val="18"/>
        </w:rPr>
        <w:t xml:space="preserve">oldoen aan de voorgestelde opgehoogde en nieuwe </w:t>
      </w:r>
      <w:r w:rsidRPr="00AC140F" w:rsidR="00C77080">
        <w:rPr>
          <w:rFonts w:ascii="Verdana" w:hAnsi="Verdana"/>
          <w:sz w:val="18"/>
          <w:szCs w:val="18"/>
        </w:rPr>
        <w:t>(</w:t>
      </w:r>
      <w:r w:rsidRPr="00AC140F">
        <w:rPr>
          <w:rFonts w:ascii="Verdana" w:hAnsi="Verdana"/>
          <w:sz w:val="18"/>
          <w:szCs w:val="18"/>
        </w:rPr>
        <w:t>sub</w:t>
      </w:r>
      <w:r w:rsidRPr="00AC140F" w:rsidR="00C77080">
        <w:rPr>
          <w:rFonts w:ascii="Verdana" w:hAnsi="Verdana"/>
          <w:sz w:val="18"/>
          <w:szCs w:val="18"/>
        </w:rPr>
        <w:t>)</w:t>
      </w:r>
      <w:r w:rsidRPr="00AC140F">
        <w:rPr>
          <w:rFonts w:ascii="Verdana" w:hAnsi="Verdana"/>
          <w:sz w:val="18"/>
          <w:szCs w:val="18"/>
        </w:rPr>
        <w:t>doelen en verplichtingen in de RED, EED en EPBD</w:t>
      </w:r>
      <w:r w:rsidRPr="00AC140F" w:rsidR="00296775">
        <w:rPr>
          <w:rFonts w:ascii="Verdana" w:hAnsi="Verdana"/>
          <w:sz w:val="18"/>
          <w:szCs w:val="18"/>
        </w:rPr>
        <w:t xml:space="preserve">. Dit wordt </w:t>
      </w:r>
      <w:r w:rsidRPr="00AC140F">
        <w:rPr>
          <w:rFonts w:ascii="Verdana" w:hAnsi="Verdana"/>
          <w:sz w:val="18"/>
          <w:szCs w:val="18"/>
        </w:rPr>
        <w:t xml:space="preserve">ook bevestigd door het PBL in hun analyse van </w:t>
      </w:r>
      <w:r w:rsidRPr="00AC140F">
        <w:rPr>
          <w:rFonts w:ascii="Verdana" w:hAnsi="Verdana"/>
          <w:sz w:val="18"/>
          <w:szCs w:val="18"/>
        </w:rPr>
        <w:lastRenderedPageBreak/>
        <w:t>het Fit</w:t>
      </w:r>
      <w:r w:rsidRPr="00AC140F" w:rsidR="000963EF">
        <w:rPr>
          <w:rFonts w:ascii="Verdana" w:hAnsi="Verdana"/>
          <w:sz w:val="18"/>
          <w:szCs w:val="18"/>
        </w:rPr>
        <w:t>-</w:t>
      </w:r>
      <w:r w:rsidRPr="00AC140F">
        <w:rPr>
          <w:rFonts w:ascii="Verdana" w:hAnsi="Verdana"/>
          <w:sz w:val="18"/>
          <w:szCs w:val="18"/>
        </w:rPr>
        <w:t>for</w:t>
      </w:r>
      <w:r w:rsidRPr="00AC140F" w:rsidR="000963EF">
        <w:rPr>
          <w:rFonts w:ascii="Verdana" w:hAnsi="Verdana"/>
          <w:sz w:val="18"/>
          <w:szCs w:val="18"/>
        </w:rPr>
        <w:t>-</w:t>
      </w:r>
      <w:r w:rsidRPr="00AC140F">
        <w:rPr>
          <w:rFonts w:ascii="Verdana" w:hAnsi="Verdana"/>
          <w:sz w:val="18"/>
          <w:szCs w:val="18"/>
        </w:rPr>
        <w:t>55 pakket</w:t>
      </w:r>
      <w:r w:rsidRPr="00AC140F">
        <w:rPr>
          <w:rStyle w:val="Voetnootmarkering"/>
          <w:rFonts w:ascii="Verdana" w:hAnsi="Verdana"/>
          <w:sz w:val="18"/>
          <w:szCs w:val="18"/>
        </w:rPr>
        <w:footnoteReference w:id="11"/>
      </w:r>
      <w:r w:rsidRPr="00AC140F">
        <w:rPr>
          <w:rFonts w:ascii="Verdana" w:hAnsi="Verdana"/>
          <w:sz w:val="18"/>
          <w:szCs w:val="18"/>
        </w:rPr>
        <w:t xml:space="preserve">. Het kabinet </w:t>
      </w:r>
      <w:r w:rsidRPr="00AC140F" w:rsidR="00A07E2E">
        <w:rPr>
          <w:rFonts w:ascii="Verdana" w:hAnsi="Verdana"/>
          <w:sz w:val="18"/>
          <w:szCs w:val="18"/>
        </w:rPr>
        <w:t>heeft grote bedenkingen</w:t>
      </w:r>
      <w:r w:rsidRPr="00AC140F">
        <w:rPr>
          <w:rFonts w:ascii="Verdana" w:hAnsi="Verdana"/>
          <w:sz w:val="18"/>
          <w:szCs w:val="18"/>
        </w:rPr>
        <w:t xml:space="preserve"> bij de kosteneffectiviteit, uitvoerbaarheid en haalbaarheid van</w:t>
      </w:r>
      <w:r w:rsidRPr="00AC140F" w:rsidR="00296775">
        <w:rPr>
          <w:rFonts w:ascii="Verdana" w:hAnsi="Verdana"/>
          <w:sz w:val="18"/>
          <w:szCs w:val="18"/>
        </w:rPr>
        <w:t xml:space="preserve"> </w:t>
      </w:r>
      <w:r w:rsidRPr="00AC140F" w:rsidR="00CF4500">
        <w:rPr>
          <w:rFonts w:ascii="Verdana" w:hAnsi="Verdana"/>
          <w:sz w:val="18"/>
          <w:szCs w:val="18"/>
        </w:rPr>
        <w:t xml:space="preserve">nog </w:t>
      </w:r>
      <w:r w:rsidRPr="00AC140F">
        <w:rPr>
          <w:rFonts w:ascii="Verdana" w:hAnsi="Verdana"/>
          <w:sz w:val="18"/>
          <w:szCs w:val="18"/>
        </w:rPr>
        <w:t>verdere aanscherpingen in</w:t>
      </w:r>
      <w:r w:rsidRPr="00AC140F" w:rsidR="00296775">
        <w:rPr>
          <w:rFonts w:ascii="Verdana" w:hAnsi="Verdana"/>
          <w:sz w:val="18"/>
          <w:szCs w:val="18"/>
        </w:rPr>
        <w:t xml:space="preserve"> </w:t>
      </w:r>
      <w:r w:rsidRPr="00AC140F">
        <w:rPr>
          <w:rFonts w:ascii="Verdana" w:hAnsi="Verdana"/>
          <w:sz w:val="18"/>
          <w:szCs w:val="18"/>
        </w:rPr>
        <w:t>deze richtlijnen dan reeds voorgesteld</w:t>
      </w:r>
      <w:r w:rsidRPr="00AC140F" w:rsidR="00C77080">
        <w:rPr>
          <w:rFonts w:ascii="Verdana" w:hAnsi="Verdana"/>
          <w:sz w:val="18"/>
          <w:szCs w:val="18"/>
        </w:rPr>
        <w:t>.</w:t>
      </w:r>
      <w:r w:rsidRPr="00AC140F" w:rsidR="00A07E2E">
        <w:rPr>
          <w:rFonts w:ascii="Verdana" w:hAnsi="Verdana"/>
          <w:sz w:val="18"/>
          <w:szCs w:val="18"/>
        </w:rPr>
        <w:t xml:space="preserve"> Vanuit het perspectief van kosteneffectiviteit en een eerlijke transitie, zowel binnen Nederland als tussen lidstaten, </w:t>
      </w:r>
      <w:r w:rsidRPr="00AC140F" w:rsidR="00C10078">
        <w:rPr>
          <w:rFonts w:ascii="Verdana" w:hAnsi="Verdana"/>
          <w:sz w:val="18"/>
          <w:szCs w:val="18"/>
        </w:rPr>
        <w:t>is</w:t>
      </w:r>
      <w:r w:rsidRPr="00AC140F" w:rsidR="00A07E2E">
        <w:rPr>
          <w:rFonts w:ascii="Verdana" w:hAnsi="Verdana"/>
          <w:sz w:val="18"/>
          <w:szCs w:val="18"/>
        </w:rPr>
        <w:t xml:space="preserve"> het ETS-BRT </w:t>
      </w:r>
      <w:r w:rsidRPr="00AC140F" w:rsidR="00C10078">
        <w:rPr>
          <w:rFonts w:ascii="Verdana" w:hAnsi="Verdana"/>
          <w:sz w:val="18"/>
          <w:szCs w:val="18"/>
        </w:rPr>
        <w:t xml:space="preserve">significant </w:t>
      </w:r>
      <w:r w:rsidRPr="00AC140F" w:rsidR="00780C89">
        <w:rPr>
          <w:rFonts w:ascii="Verdana" w:hAnsi="Verdana"/>
          <w:sz w:val="18"/>
          <w:szCs w:val="18"/>
        </w:rPr>
        <w:t>aantrekkelijker</w:t>
      </w:r>
      <w:r w:rsidRPr="00AC140F" w:rsidR="00C10078">
        <w:rPr>
          <w:rFonts w:ascii="Verdana" w:hAnsi="Verdana"/>
          <w:sz w:val="18"/>
          <w:szCs w:val="18"/>
        </w:rPr>
        <w:t xml:space="preserve"> </w:t>
      </w:r>
      <w:r w:rsidRPr="00AC140F" w:rsidR="00A07E2E">
        <w:rPr>
          <w:rFonts w:ascii="Verdana" w:hAnsi="Verdana"/>
          <w:sz w:val="18"/>
          <w:szCs w:val="18"/>
        </w:rPr>
        <w:t>dan het hier genoemde alternatief</w:t>
      </w:r>
      <w:r w:rsidRPr="00AC140F" w:rsidR="00C77080">
        <w:rPr>
          <w:rFonts w:ascii="Verdana" w:hAnsi="Verdana"/>
          <w:sz w:val="18"/>
          <w:szCs w:val="18"/>
        </w:rPr>
        <w:t>.</w:t>
      </w:r>
    </w:p>
    <w:p w:rsidRPr="00AC140F" w:rsidR="003E0196" w:rsidP="0018254B" w:rsidRDefault="003E0196" w14:paraId="1ADAAAAF" w14:textId="77777777">
      <w:pPr>
        <w:spacing w:after="0" w:line="240" w:lineRule="atLeast"/>
        <w:rPr>
          <w:rFonts w:ascii="Verdana" w:hAnsi="Verdana"/>
          <w:sz w:val="18"/>
          <w:szCs w:val="18"/>
        </w:rPr>
      </w:pPr>
    </w:p>
    <w:p w:rsidRPr="00AC140F" w:rsidR="003E0196" w:rsidP="0018254B" w:rsidRDefault="003E0196" w14:paraId="16446FE4" w14:textId="73DCCF20">
      <w:pPr>
        <w:suppressAutoHyphens/>
        <w:autoSpaceDN w:val="0"/>
        <w:spacing w:after="0" w:line="240" w:lineRule="atLeast"/>
        <w:contextualSpacing/>
        <w:textAlignment w:val="baseline"/>
        <w:rPr>
          <w:rFonts w:ascii="Verdana" w:hAnsi="Verdana"/>
          <w:sz w:val="18"/>
          <w:szCs w:val="18"/>
        </w:rPr>
      </w:pPr>
      <w:r w:rsidRPr="00AC140F">
        <w:rPr>
          <w:rFonts w:ascii="Verdana" w:hAnsi="Verdana"/>
          <w:sz w:val="18"/>
          <w:szCs w:val="18"/>
        </w:rPr>
        <w:t>Het is ook mogelijk dat er</w:t>
      </w:r>
      <w:r w:rsidRPr="00AC140F" w:rsidR="0093137F">
        <w:rPr>
          <w:rFonts w:ascii="Verdana" w:hAnsi="Verdana"/>
          <w:sz w:val="18"/>
          <w:szCs w:val="18"/>
        </w:rPr>
        <w:t xml:space="preserve"> in de onderhandelingen </w:t>
      </w:r>
      <w:r w:rsidRPr="00AC140F" w:rsidR="00130EF9">
        <w:rPr>
          <w:rFonts w:ascii="Verdana" w:hAnsi="Verdana"/>
          <w:sz w:val="18"/>
          <w:szCs w:val="18"/>
        </w:rPr>
        <w:t xml:space="preserve">door </w:t>
      </w:r>
      <w:r w:rsidRPr="00AC140F" w:rsidR="0093137F">
        <w:rPr>
          <w:rFonts w:ascii="Verdana" w:hAnsi="Verdana"/>
          <w:sz w:val="18"/>
          <w:szCs w:val="18"/>
        </w:rPr>
        <w:t>het krachtenveld</w:t>
      </w:r>
      <w:r w:rsidRPr="00AC140F">
        <w:rPr>
          <w:rFonts w:ascii="Verdana" w:hAnsi="Verdana"/>
          <w:sz w:val="18"/>
          <w:szCs w:val="18"/>
        </w:rPr>
        <w:t xml:space="preserve"> geen </w:t>
      </w:r>
      <w:r w:rsidRPr="00AC140F" w:rsidR="0093137F">
        <w:rPr>
          <w:rFonts w:ascii="Verdana" w:hAnsi="Verdana"/>
          <w:sz w:val="18"/>
          <w:szCs w:val="18"/>
        </w:rPr>
        <w:t xml:space="preserve">Europees </w:t>
      </w:r>
      <w:r w:rsidRPr="00AC140F">
        <w:rPr>
          <w:rFonts w:ascii="Verdana" w:hAnsi="Verdana"/>
          <w:sz w:val="18"/>
          <w:szCs w:val="18"/>
        </w:rPr>
        <w:t xml:space="preserve">alternatief voor </w:t>
      </w:r>
      <w:r w:rsidRPr="00AC140F" w:rsidR="0093137F">
        <w:rPr>
          <w:rFonts w:ascii="Verdana" w:hAnsi="Verdana"/>
          <w:sz w:val="18"/>
          <w:szCs w:val="18"/>
        </w:rPr>
        <w:t xml:space="preserve">het </w:t>
      </w:r>
      <w:r w:rsidRPr="00AC140F">
        <w:rPr>
          <w:rFonts w:ascii="Verdana" w:hAnsi="Verdana"/>
          <w:sz w:val="18"/>
          <w:szCs w:val="18"/>
        </w:rPr>
        <w:t>ETS-BRT komt</w:t>
      </w:r>
      <w:r w:rsidRPr="00AC140F" w:rsidR="00296775">
        <w:rPr>
          <w:rFonts w:ascii="Verdana" w:hAnsi="Verdana"/>
          <w:sz w:val="18"/>
          <w:szCs w:val="18"/>
        </w:rPr>
        <w:t xml:space="preserve">. In dat geval zou </w:t>
      </w:r>
      <w:r w:rsidRPr="00AC140F">
        <w:rPr>
          <w:rFonts w:ascii="Verdana" w:hAnsi="Verdana"/>
          <w:sz w:val="18"/>
          <w:szCs w:val="18"/>
        </w:rPr>
        <w:t xml:space="preserve">de invulling en voortgang van de transitie in ESR sectoren veel meer </w:t>
      </w:r>
      <w:r w:rsidRPr="00AC140F" w:rsidR="00296775">
        <w:rPr>
          <w:rFonts w:ascii="Verdana" w:hAnsi="Verdana"/>
          <w:sz w:val="18"/>
          <w:szCs w:val="18"/>
        </w:rPr>
        <w:t>afhankelijk zijn van nationaal beleid in</w:t>
      </w:r>
      <w:r w:rsidRPr="00AC140F">
        <w:rPr>
          <w:rFonts w:ascii="Verdana" w:hAnsi="Verdana"/>
          <w:sz w:val="18"/>
          <w:szCs w:val="18"/>
        </w:rPr>
        <w:t xml:space="preserve"> individuele lidstaten. Dit </w:t>
      </w:r>
      <w:r w:rsidRPr="00AC140F" w:rsidR="00C96FE7">
        <w:rPr>
          <w:rFonts w:ascii="Verdana" w:hAnsi="Verdana"/>
          <w:sz w:val="18"/>
          <w:szCs w:val="18"/>
        </w:rPr>
        <w:t>geeft veel minder zekerheid over</w:t>
      </w:r>
      <w:r w:rsidRPr="00AC140F">
        <w:rPr>
          <w:rFonts w:ascii="Verdana" w:hAnsi="Verdana"/>
          <w:sz w:val="18"/>
          <w:szCs w:val="18"/>
        </w:rPr>
        <w:t xml:space="preserve"> </w:t>
      </w:r>
      <w:r w:rsidRPr="00AC140F" w:rsidR="00296775">
        <w:rPr>
          <w:rFonts w:ascii="Verdana" w:hAnsi="Verdana"/>
          <w:sz w:val="18"/>
          <w:szCs w:val="18"/>
        </w:rPr>
        <w:t>het Europese transitietempo</w:t>
      </w:r>
      <w:r w:rsidR="007F2BA8">
        <w:rPr>
          <w:rFonts w:ascii="Verdana" w:hAnsi="Verdana"/>
          <w:sz w:val="18"/>
          <w:szCs w:val="18"/>
        </w:rPr>
        <w:t xml:space="preserve"> en</w:t>
      </w:r>
      <w:r w:rsidRPr="00AC140F" w:rsidR="00296775">
        <w:rPr>
          <w:rFonts w:ascii="Verdana" w:hAnsi="Verdana"/>
          <w:sz w:val="18"/>
          <w:szCs w:val="18"/>
        </w:rPr>
        <w:t xml:space="preserve"> </w:t>
      </w:r>
      <w:r w:rsidR="007F2BA8">
        <w:rPr>
          <w:rFonts w:ascii="Verdana" w:hAnsi="Verdana"/>
          <w:sz w:val="18"/>
          <w:szCs w:val="18"/>
        </w:rPr>
        <w:t xml:space="preserve">heeft een negatief effect op </w:t>
      </w:r>
      <w:r w:rsidRPr="00AC140F">
        <w:rPr>
          <w:rFonts w:ascii="Verdana" w:hAnsi="Verdana"/>
          <w:sz w:val="18"/>
          <w:szCs w:val="18"/>
        </w:rPr>
        <w:t>de mate van convergentie tussen lidstaten</w:t>
      </w:r>
      <w:r w:rsidRPr="00AC140F" w:rsidR="00296775">
        <w:rPr>
          <w:rFonts w:ascii="Verdana" w:hAnsi="Verdana"/>
          <w:sz w:val="18"/>
          <w:szCs w:val="18"/>
        </w:rPr>
        <w:t xml:space="preserve"> en</w:t>
      </w:r>
      <w:r w:rsidRPr="00AC140F">
        <w:rPr>
          <w:rFonts w:ascii="Verdana" w:hAnsi="Verdana"/>
          <w:sz w:val="18"/>
          <w:szCs w:val="18"/>
        </w:rPr>
        <w:t xml:space="preserve"> </w:t>
      </w:r>
      <w:r w:rsidR="007F2BA8">
        <w:rPr>
          <w:rFonts w:ascii="Verdana" w:hAnsi="Verdana"/>
          <w:sz w:val="18"/>
          <w:szCs w:val="18"/>
        </w:rPr>
        <w:t xml:space="preserve">op </w:t>
      </w:r>
      <w:r w:rsidRPr="00AC140F">
        <w:rPr>
          <w:rFonts w:ascii="Verdana" w:hAnsi="Verdana"/>
          <w:sz w:val="18"/>
          <w:szCs w:val="18"/>
        </w:rPr>
        <w:t xml:space="preserve">het Europese speelveld voor sectoren buiten het huidige ETS. </w:t>
      </w:r>
      <w:r w:rsidRPr="00AC140F" w:rsidR="00850A24">
        <w:rPr>
          <w:rFonts w:ascii="Verdana" w:hAnsi="Verdana"/>
          <w:sz w:val="18"/>
          <w:szCs w:val="18"/>
        </w:rPr>
        <w:t>Bovendien biedt het ETS-BRT meer zekerheid dat er daadwerkelijk CO</w:t>
      </w:r>
      <w:r w:rsidRPr="00AC140F" w:rsidR="00850A24">
        <w:rPr>
          <w:rFonts w:ascii="Verdana" w:hAnsi="Verdana"/>
          <w:sz w:val="18"/>
          <w:szCs w:val="18"/>
          <w:vertAlign w:val="subscript"/>
        </w:rPr>
        <w:t>2</w:t>
      </w:r>
      <w:r w:rsidRPr="00AC140F" w:rsidR="00850A24">
        <w:rPr>
          <w:rFonts w:ascii="Verdana" w:hAnsi="Verdana"/>
          <w:sz w:val="18"/>
          <w:szCs w:val="18"/>
        </w:rPr>
        <w:t>-reductie optreedt in deze sectoren, aangezien ESR emissiereductie ook in andere sectoren kan worden ingevuld</w:t>
      </w:r>
      <w:r w:rsidRPr="00AC140F" w:rsidR="00A853CB">
        <w:rPr>
          <w:rFonts w:ascii="Verdana" w:hAnsi="Verdana"/>
          <w:sz w:val="18"/>
          <w:szCs w:val="18"/>
        </w:rPr>
        <w:t xml:space="preserve"> zoals de landbouw en </w:t>
      </w:r>
      <w:r w:rsidRPr="00AC140F" w:rsidR="005E42AB">
        <w:rPr>
          <w:rFonts w:ascii="Verdana" w:hAnsi="Verdana"/>
          <w:sz w:val="18"/>
          <w:szCs w:val="18"/>
        </w:rPr>
        <w:t>het</w:t>
      </w:r>
      <w:r w:rsidRPr="00AC140F" w:rsidR="00A853CB">
        <w:rPr>
          <w:rFonts w:ascii="Verdana" w:hAnsi="Verdana"/>
          <w:sz w:val="18"/>
          <w:szCs w:val="18"/>
        </w:rPr>
        <w:t xml:space="preserve"> </w:t>
      </w:r>
      <w:r w:rsidRPr="00AC140F" w:rsidR="005E42AB">
        <w:rPr>
          <w:rFonts w:ascii="Verdana" w:hAnsi="Verdana"/>
          <w:sz w:val="18"/>
          <w:szCs w:val="18"/>
        </w:rPr>
        <w:t xml:space="preserve">deel van de </w:t>
      </w:r>
      <w:r w:rsidRPr="00AC140F" w:rsidR="00A853CB">
        <w:rPr>
          <w:rFonts w:ascii="Verdana" w:hAnsi="Verdana"/>
          <w:sz w:val="18"/>
          <w:szCs w:val="18"/>
        </w:rPr>
        <w:t>industrie</w:t>
      </w:r>
      <w:r w:rsidRPr="00AC140F" w:rsidR="005E42AB">
        <w:rPr>
          <w:rFonts w:ascii="Verdana" w:hAnsi="Verdana"/>
          <w:sz w:val="18"/>
          <w:szCs w:val="18"/>
        </w:rPr>
        <w:t xml:space="preserve"> dat buiten het bestaande ETS valt</w:t>
      </w:r>
      <w:r w:rsidRPr="00AC140F" w:rsidR="00850A24">
        <w:rPr>
          <w:rFonts w:ascii="Verdana" w:hAnsi="Verdana"/>
          <w:sz w:val="18"/>
          <w:szCs w:val="18"/>
        </w:rPr>
        <w:t xml:space="preserve">. </w:t>
      </w:r>
    </w:p>
    <w:p w:rsidRPr="00AC140F" w:rsidR="003E0196" w:rsidP="0018254B" w:rsidRDefault="003E0196" w14:paraId="105D2036" w14:textId="17563EB7">
      <w:pPr>
        <w:spacing w:after="0" w:line="240" w:lineRule="atLeast"/>
        <w:rPr>
          <w:rFonts w:ascii="Verdana" w:hAnsi="Verdana"/>
          <w:sz w:val="18"/>
          <w:szCs w:val="18"/>
        </w:rPr>
      </w:pPr>
    </w:p>
    <w:p w:rsidRPr="00AC140F" w:rsidR="005E0278" w:rsidP="0018254B" w:rsidRDefault="00296775" w14:paraId="18EB1EF1" w14:textId="0FD55490">
      <w:pPr>
        <w:autoSpaceDE w:val="0"/>
        <w:autoSpaceDN w:val="0"/>
        <w:adjustRightInd w:val="0"/>
        <w:spacing w:after="0" w:line="240" w:lineRule="atLeast"/>
        <w:rPr>
          <w:rFonts w:ascii="Verdana" w:hAnsi="Verdana" w:cs="Verdana"/>
          <w:sz w:val="18"/>
          <w:szCs w:val="18"/>
        </w:rPr>
      </w:pPr>
      <w:r w:rsidRPr="00AC140F">
        <w:rPr>
          <w:rFonts w:ascii="Verdana" w:hAnsi="Verdana" w:cs="Verdana"/>
          <w:sz w:val="18"/>
          <w:szCs w:val="18"/>
        </w:rPr>
        <w:t xml:space="preserve">De aangescherpte </w:t>
      </w:r>
      <w:r w:rsidRPr="00AC140F" w:rsidR="00C7643B">
        <w:rPr>
          <w:rFonts w:ascii="Verdana" w:hAnsi="Verdana" w:cs="Verdana"/>
          <w:sz w:val="18"/>
          <w:szCs w:val="18"/>
        </w:rPr>
        <w:t>klimaat</w:t>
      </w:r>
      <w:r w:rsidRPr="00AC140F">
        <w:rPr>
          <w:rFonts w:ascii="Verdana" w:hAnsi="Verdana" w:cs="Verdana"/>
          <w:sz w:val="18"/>
          <w:szCs w:val="18"/>
        </w:rPr>
        <w:t xml:space="preserve">opgave zal richting 2030 </w:t>
      </w:r>
      <w:r w:rsidRPr="00AC140F" w:rsidR="00C7643B">
        <w:rPr>
          <w:rFonts w:ascii="Verdana" w:hAnsi="Verdana" w:cs="Verdana"/>
          <w:sz w:val="18"/>
          <w:szCs w:val="18"/>
        </w:rPr>
        <w:t xml:space="preserve">aanvullende </w:t>
      </w:r>
      <w:r w:rsidRPr="00AC140F">
        <w:rPr>
          <w:rFonts w:ascii="Verdana" w:hAnsi="Verdana" w:cs="Verdana"/>
          <w:sz w:val="18"/>
          <w:szCs w:val="18"/>
        </w:rPr>
        <w:t>kosten met zich meebrengen voor huishoudens</w:t>
      </w:r>
      <w:r w:rsidRPr="00AC140F" w:rsidR="00740002">
        <w:rPr>
          <w:rFonts w:ascii="Verdana" w:hAnsi="Verdana" w:cs="Verdana"/>
          <w:sz w:val="18"/>
          <w:szCs w:val="18"/>
        </w:rPr>
        <w:t>,</w:t>
      </w:r>
      <w:r w:rsidRPr="00AC140F">
        <w:rPr>
          <w:rFonts w:ascii="Verdana" w:hAnsi="Verdana" w:cs="Verdana"/>
          <w:sz w:val="18"/>
          <w:szCs w:val="18"/>
        </w:rPr>
        <w:t xml:space="preserve"> weggebruikers</w:t>
      </w:r>
      <w:r w:rsidRPr="00AC140F" w:rsidR="00740002">
        <w:rPr>
          <w:rFonts w:ascii="Verdana" w:hAnsi="Verdana" w:cs="Verdana"/>
          <w:sz w:val="18"/>
          <w:szCs w:val="18"/>
        </w:rPr>
        <w:t xml:space="preserve"> en bedrijven</w:t>
      </w:r>
      <w:r w:rsidRPr="00AC140F">
        <w:rPr>
          <w:rFonts w:ascii="Verdana" w:hAnsi="Verdana" w:cs="Verdana"/>
          <w:sz w:val="18"/>
          <w:szCs w:val="18"/>
        </w:rPr>
        <w:t>, o</w:t>
      </w:r>
      <w:r w:rsidRPr="00AC140F" w:rsidR="00C77080">
        <w:rPr>
          <w:rFonts w:ascii="Verdana" w:hAnsi="Verdana" w:cs="Verdana"/>
          <w:sz w:val="18"/>
          <w:szCs w:val="18"/>
        </w:rPr>
        <w:t>ngeacht of het ETS-BRT of alternatieven hiervoor worden ingevoerd.</w:t>
      </w:r>
      <w:r w:rsidRPr="00AC140F" w:rsidR="00C7643B">
        <w:rPr>
          <w:rFonts w:ascii="Verdana" w:hAnsi="Verdana" w:cs="Verdana"/>
          <w:sz w:val="18"/>
          <w:szCs w:val="18"/>
        </w:rPr>
        <w:t xml:space="preserve"> In de scenario’s zonder ETS-BRT in de impact assessments van de Commissie komen</w:t>
      </w:r>
      <w:r w:rsidRPr="00AC140F" w:rsidR="00C77080">
        <w:rPr>
          <w:rFonts w:ascii="Verdana" w:hAnsi="Verdana" w:cs="Verdana"/>
          <w:sz w:val="18"/>
          <w:szCs w:val="18"/>
        </w:rPr>
        <w:t xml:space="preserve"> </w:t>
      </w:r>
      <w:r w:rsidRPr="00AC140F" w:rsidR="00C7643B">
        <w:rPr>
          <w:rFonts w:ascii="Verdana" w:hAnsi="Verdana" w:cs="Verdana"/>
          <w:sz w:val="18"/>
          <w:szCs w:val="18"/>
        </w:rPr>
        <w:t xml:space="preserve">de totale kosten voor de transitie tot </w:t>
      </w:r>
      <w:r w:rsidRPr="00AC140F" w:rsidR="005B50B7">
        <w:rPr>
          <w:rFonts w:ascii="Verdana" w:hAnsi="Verdana" w:cs="Verdana"/>
          <w:sz w:val="18"/>
          <w:szCs w:val="18"/>
        </w:rPr>
        <w:t>21</w:t>
      </w:r>
      <w:r w:rsidRPr="00AC140F" w:rsidR="00C7643B">
        <w:rPr>
          <w:rFonts w:ascii="Verdana" w:hAnsi="Verdana" w:cs="Verdana"/>
          <w:sz w:val="18"/>
          <w:szCs w:val="18"/>
        </w:rPr>
        <w:t xml:space="preserve"> miljard </w:t>
      </w:r>
      <w:r w:rsidRPr="00AC140F" w:rsidR="005B50B7">
        <w:rPr>
          <w:rFonts w:ascii="Verdana" w:hAnsi="Verdana" w:cs="Verdana"/>
          <w:sz w:val="18"/>
          <w:szCs w:val="18"/>
        </w:rPr>
        <w:t xml:space="preserve">euro </w:t>
      </w:r>
      <w:r w:rsidRPr="00AC140F" w:rsidR="00C7643B">
        <w:rPr>
          <w:rFonts w:ascii="Verdana" w:hAnsi="Verdana" w:cs="Verdana"/>
          <w:sz w:val="18"/>
          <w:szCs w:val="18"/>
        </w:rPr>
        <w:t>per jaar</w:t>
      </w:r>
      <w:r w:rsidRPr="00AC140F" w:rsidR="00C7643B">
        <w:rPr>
          <w:rStyle w:val="Voetnootmarkering"/>
          <w:rFonts w:ascii="Verdana" w:hAnsi="Verdana" w:cs="Verdana"/>
          <w:sz w:val="18"/>
          <w:szCs w:val="18"/>
        </w:rPr>
        <w:footnoteReference w:id="12"/>
      </w:r>
      <w:r w:rsidRPr="00AC140F" w:rsidR="00C7643B">
        <w:rPr>
          <w:rFonts w:ascii="Verdana" w:hAnsi="Verdana" w:cs="Verdana"/>
          <w:sz w:val="18"/>
          <w:szCs w:val="18"/>
        </w:rPr>
        <w:t xml:space="preserve"> hoger uit op EU-niveau. </w:t>
      </w:r>
      <w:r w:rsidRPr="00AC140F" w:rsidR="003E0196">
        <w:rPr>
          <w:rFonts w:ascii="Verdana" w:hAnsi="Verdana" w:cs="Verdana"/>
          <w:sz w:val="18"/>
          <w:szCs w:val="18"/>
        </w:rPr>
        <w:t xml:space="preserve">Door in te zetten op een kosteneffectieve transitie, beperken we de totale maatschappelijke kosten van de transitie. </w:t>
      </w:r>
    </w:p>
    <w:p w:rsidRPr="00AC140F" w:rsidR="00780514" w:rsidP="0018254B" w:rsidRDefault="00780514" w14:paraId="554EB05A" w14:textId="42238ACF">
      <w:pPr>
        <w:spacing w:after="0" w:line="240" w:lineRule="atLeast"/>
        <w:rPr>
          <w:rFonts w:ascii="Verdana" w:hAnsi="Verdana"/>
          <w:sz w:val="18"/>
          <w:szCs w:val="18"/>
        </w:rPr>
      </w:pPr>
    </w:p>
    <w:p w:rsidRPr="00AC140F" w:rsidR="00F967A6" w:rsidP="0018254B" w:rsidRDefault="00F967A6" w14:paraId="6890FD4A" w14:textId="6E60C469">
      <w:pPr>
        <w:spacing w:after="0" w:line="240" w:lineRule="atLeast"/>
        <w:rPr>
          <w:rFonts w:ascii="Verdana" w:hAnsi="Verdana"/>
          <w:b/>
          <w:bCs/>
          <w:sz w:val="18"/>
          <w:szCs w:val="18"/>
        </w:rPr>
      </w:pPr>
      <w:r w:rsidRPr="00AC140F">
        <w:rPr>
          <w:rFonts w:ascii="Verdana" w:hAnsi="Verdana"/>
          <w:b/>
          <w:bCs/>
          <w:sz w:val="18"/>
          <w:szCs w:val="18"/>
        </w:rPr>
        <w:t xml:space="preserve">Inzet van </w:t>
      </w:r>
      <w:r w:rsidRPr="00AC140F" w:rsidR="00787E98">
        <w:rPr>
          <w:rFonts w:ascii="Verdana" w:hAnsi="Verdana"/>
          <w:b/>
          <w:bCs/>
          <w:sz w:val="18"/>
          <w:szCs w:val="18"/>
        </w:rPr>
        <w:t>het kabinet</w:t>
      </w:r>
    </w:p>
    <w:p w:rsidRPr="00AC140F" w:rsidR="0093137F" w:rsidP="0018254B" w:rsidRDefault="00F967A6" w14:paraId="0EA3F95E" w14:textId="2BB8497A">
      <w:pPr>
        <w:spacing w:after="0" w:line="240" w:lineRule="atLeast"/>
        <w:rPr>
          <w:rFonts w:ascii="Verdana" w:hAnsi="Verdana"/>
          <w:sz w:val="18"/>
          <w:szCs w:val="18"/>
        </w:rPr>
      </w:pPr>
      <w:r w:rsidRPr="00AC140F">
        <w:rPr>
          <w:rFonts w:ascii="Verdana" w:hAnsi="Verdana"/>
          <w:sz w:val="18"/>
          <w:szCs w:val="18"/>
        </w:rPr>
        <w:t xml:space="preserve">Bovenstaande </w:t>
      </w:r>
      <w:r w:rsidRPr="00AC140F" w:rsidR="00915898">
        <w:rPr>
          <w:rFonts w:ascii="Verdana" w:hAnsi="Verdana"/>
          <w:sz w:val="18"/>
          <w:szCs w:val="18"/>
        </w:rPr>
        <w:t>overwegingen</w:t>
      </w:r>
      <w:r w:rsidRPr="00AC140F">
        <w:rPr>
          <w:rFonts w:ascii="Verdana" w:hAnsi="Verdana"/>
          <w:sz w:val="18"/>
          <w:szCs w:val="18"/>
        </w:rPr>
        <w:t xml:space="preserve"> geven weer wat de Europese en nationale impact zal zijn van het ETS-BRT, waarom </w:t>
      </w:r>
      <w:r w:rsidRPr="00AC140F" w:rsidR="00C7643B">
        <w:rPr>
          <w:rFonts w:ascii="Verdana" w:hAnsi="Verdana"/>
          <w:sz w:val="18"/>
          <w:szCs w:val="18"/>
        </w:rPr>
        <w:t>het kabinet</w:t>
      </w:r>
      <w:r w:rsidRPr="00AC140F" w:rsidR="00CF4500">
        <w:rPr>
          <w:rFonts w:ascii="Verdana" w:hAnsi="Verdana"/>
          <w:sz w:val="18"/>
          <w:szCs w:val="18"/>
        </w:rPr>
        <w:t xml:space="preserve"> voordelen </w:t>
      </w:r>
      <w:r w:rsidRPr="00AC140F" w:rsidR="00C7643B">
        <w:rPr>
          <w:rFonts w:ascii="Verdana" w:hAnsi="Verdana"/>
          <w:sz w:val="18"/>
          <w:szCs w:val="18"/>
        </w:rPr>
        <w:t xml:space="preserve">ziet in </w:t>
      </w:r>
      <w:r w:rsidRPr="00AC140F" w:rsidR="00CF4500">
        <w:rPr>
          <w:rFonts w:ascii="Verdana" w:hAnsi="Verdana"/>
          <w:sz w:val="18"/>
          <w:szCs w:val="18"/>
        </w:rPr>
        <w:t>een dergelijk systeem en waarom</w:t>
      </w:r>
      <w:r w:rsidRPr="00AC140F">
        <w:rPr>
          <w:rFonts w:ascii="Verdana" w:hAnsi="Verdana"/>
          <w:sz w:val="18"/>
          <w:szCs w:val="18"/>
        </w:rPr>
        <w:t xml:space="preserve"> alternatieven voor Nederland minder aantrekkelijk zijn. </w:t>
      </w:r>
      <w:r w:rsidRPr="00AC140F" w:rsidR="0093137F">
        <w:rPr>
          <w:rFonts w:ascii="Verdana" w:hAnsi="Verdana"/>
          <w:sz w:val="18"/>
          <w:szCs w:val="18"/>
        </w:rPr>
        <w:t xml:space="preserve">Dit zijn voor het kabinet redenen geweest om een </w:t>
      </w:r>
      <w:r w:rsidRPr="00AC140F" w:rsidR="00C96FE7">
        <w:rPr>
          <w:rFonts w:ascii="Verdana" w:hAnsi="Verdana"/>
          <w:sz w:val="18"/>
          <w:szCs w:val="18"/>
        </w:rPr>
        <w:t xml:space="preserve">open positie in te nemen in deze discussie na </w:t>
      </w:r>
      <w:r w:rsidRPr="00AC140F" w:rsidR="0093137F">
        <w:rPr>
          <w:rFonts w:ascii="Verdana" w:hAnsi="Verdana"/>
          <w:sz w:val="18"/>
          <w:szCs w:val="18"/>
        </w:rPr>
        <w:t>terughoudend</w:t>
      </w:r>
      <w:r w:rsidRPr="00AC140F" w:rsidR="00C96FE7">
        <w:rPr>
          <w:rFonts w:ascii="Verdana" w:hAnsi="Verdana"/>
          <w:sz w:val="18"/>
          <w:szCs w:val="18"/>
        </w:rPr>
        <w:t>heid in het voortraject</w:t>
      </w:r>
      <w:r w:rsidRPr="00AC140F" w:rsidR="0093137F">
        <w:rPr>
          <w:rFonts w:ascii="Verdana" w:hAnsi="Verdana"/>
          <w:sz w:val="18"/>
          <w:szCs w:val="18"/>
        </w:rPr>
        <w:t>.</w:t>
      </w:r>
      <w:r w:rsidRPr="00AC140F" w:rsidR="00915898">
        <w:rPr>
          <w:rFonts w:ascii="Verdana" w:hAnsi="Verdana"/>
          <w:sz w:val="18"/>
          <w:szCs w:val="18"/>
        </w:rPr>
        <w:t xml:space="preserve"> Desalniettemin</w:t>
      </w:r>
      <w:r w:rsidRPr="00AC140F" w:rsidR="0093137F">
        <w:rPr>
          <w:rFonts w:ascii="Verdana" w:hAnsi="Verdana"/>
          <w:sz w:val="18"/>
          <w:szCs w:val="18"/>
        </w:rPr>
        <w:t xml:space="preserve"> </w:t>
      </w:r>
      <w:r w:rsidRPr="00AC140F" w:rsidR="00787E98">
        <w:rPr>
          <w:rFonts w:ascii="Verdana" w:hAnsi="Verdana"/>
          <w:sz w:val="18"/>
          <w:szCs w:val="18"/>
        </w:rPr>
        <w:t>blijft het voor het kabinet essentieel dat het klimaatbeleid betaalbaar blijft. Er moet voldoende aandacht worden besteed aan de impact van prijsstijgingen voor (minder draagkrachtige) huishoudens en maatschappelijke organisaties. Het kabinet beziet dit in combinatie met de andere voorgestelde Europese maatregelen en nationaal klimaatbeleid.</w:t>
      </w:r>
      <w:r w:rsidRPr="00AC140F" w:rsidR="00915898">
        <w:rPr>
          <w:rFonts w:ascii="Verdana" w:hAnsi="Verdana"/>
          <w:sz w:val="18"/>
          <w:szCs w:val="18"/>
        </w:rPr>
        <w:t xml:space="preserve"> </w:t>
      </w:r>
      <w:r w:rsidRPr="00AC140F" w:rsidR="00787E98">
        <w:rPr>
          <w:rFonts w:ascii="Verdana" w:hAnsi="Verdana"/>
          <w:sz w:val="18"/>
          <w:szCs w:val="18"/>
        </w:rPr>
        <w:t xml:space="preserve">Daarnaast is het </w:t>
      </w:r>
      <w:r w:rsidRPr="00AC140F" w:rsidR="0093137F">
        <w:rPr>
          <w:rFonts w:ascii="Verdana" w:hAnsi="Verdana"/>
          <w:sz w:val="18"/>
          <w:szCs w:val="18"/>
        </w:rPr>
        <w:t xml:space="preserve">kabinet </w:t>
      </w:r>
      <w:r w:rsidRPr="00AC140F" w:rsidR="00787E98">
        <w:rPr>
          <w:rFonts w:ascii="Verdana" w:hAnsi="Verdana"/>
          <w:sz w:val="18"/>
          <w:szCs w:val="18"/>
        </w:rPr>
        <w:t xml:space="preserve">nog </w:t>
      </w:r>
      <w:r w:rsidRPr="00AC140F" w:rsidR="0093137F">
        <w:rPr>
          <w:rFonts w:ascii="Verdana" w:hAnsi="Verdana"/>
          <w:sz w:val="18"/>
          <w:szCs w:val="18"/>
        </w:rPr>
        <w:t xml:space="preserve">niet overtuigd dat de Commissie de optimale beleidsmix heeft voorgesteld voor het wegtransport. </w:t>
      </w:r>
      <w:r w:rsidRPr="00AC140F" w:rsidR="00787E98">
        <w:rPr>
          <w:rFonts w:ascii="Verdana" w:hAnsi="Verdana"/>
          <w:sz w:val="18"/>
          <w:szCs w:val="18"/>
        </w:rPr>
        <w:t>Het kabinet acht een ambitieuze en vroegtijdige aanscherping van de CO</w:t>
      </w:r>
      <w:r w:rsidRPr="00AC140F" w:rsidR="00787E98">
        <w:rPr>
          <w:rFonts w:ascii="Verdana" w:hAnsi="Verdana"/>
          <w:sz w:val="18"/>
          <w:szCs w:val="18"/>
          <w:vertAlign w:val="subscript"/>
        </w:rPr>
        <w:t>2</w:t>
      </w:r>
      <w:r w:rsidRPr="00AC140F" w:rsidR="00787E98">
        <w:rPr>
          <w:rFonts w:ascii="Verdana" w:hAnsi="Verdana"/>
          <w:sz w:val="18"/>
          <w:szCs w:val="18"/>
        </w:rPr>
        <w:t>-normen voor personen- en bestelauto’s</w:t>
      </w:r>
      <w:r w:rsidRPr="00AC140F" w:rsidR="00787E98">
        <w:rPr>
          <w:rStyle w:val="Voetnootmarkering"/>
          <w:rFonts w:ascii="Verdana" w:hAnsi="Verdana"/>
          <w:sz w:val="18"/>
          <w:szCs w:val="18"/>
        </w:rPr>
        <w:footnoteReference w:id="13"/>
      </w:r>
      <w:r w:rsidRPr="00AC140F" w:rsidR="00787E98">
        <w:rPr>
          <w:rFonts w:ascii="Verdana" w:hAnsi="Verdana"/>
          <w:sz w:val="18"/>
          <w:szCs w:val="18"/>
        </w:rPr>
        <w:t xml:space="preserve"> van belang om relevante innovatie aan te jagen en lidstaten een steun in de rug te bieden bij de invulling van hun ESR-doelstelling</w:t>
      </w:r>
      <w:r w:rsidRPr="00AC140F" w:rsidR="000963EF">
        <w:rPr>
          <w:rFonts w:ascii="Verdana" w:hAnsi="Verdana"/>
          <w:sz w:val="18"/>
          <w:szCs w:val="18"/>
        </w:rPr>
        <w:t>. Dit</w:t>
      </w:r>
      <w:r w:rsidRPr="00AC140F" w:rsidR="00787E98">
        <w:rPr>
          <w:rFonts w:ascii="Verdana" w:hAnsi="Verdana"/>
          <w:sz w:val="18"/>
          <w:szCs w:val="18"/>
        </w:rPr>
        <w:t xml:space="preserve"> kan ook een </w:t>
      </w:r>
      <w:proofErr w:type="spellStart"/>
      <w:r w:rsidRPr="00AC140F" w:rsidR="00787E98">
        <w:rPr>
          <w:rFonts w:ascii="Verdana" w:hAnsi="Verdana"/>
          <w:sz w:val="18"/>
          <w:szCs w:val="18"/>
        </w:rPr>
        <w:t>prijsverlagend</w:t>
      </w:r>
      <w:proofErr w:type="spellEnd"/>
      <w:r w:rsidRPr="00AC140F" w:rsidR="00787E98">
        <w:rPr>
          <w:rFonts w:ascii="Verdana" w:hAnsi="Verdana"/>
          <w:sz w:val="18"/>
          <w:szCs w:val="18"/>
        </w:rPr>
        <w:t xml:space="preserve"> effect hebben </w:t>
      </w:r>
      <w:r w:rsidRPr="00AC140F" w:rsidR="001B1F14">
        <w:rPr>
          <w:rFonts w:ascii="Verdana" w:hAnsi="Verdana"/>
          <w:sz w:val="18"/>
          <w:szCs w:val="18"/>
        </w:rPr>
        <w:t xml:space="preserve">in </w:t>
      </w:r>
      <w:r w:rsidRPr="00AC140F" w:rsidR="00787E98">
        <w:rPr>
          <w:rFonts w:ascii="Verdana" w:hAnsi="Verdana"/>
          <w:sz w:val="18"/>
          <w:szCs w:val="18"/>
        </w:rPr>
        <w:t>het ETS-BRT door EU-breed de vraag naar emissierechten sneller te verlagen. Het is daarom van belang dat het ETS-BRT niet in de weg staat van een verdergaande aanscherping van de emissienormen.</w:t>
      </w:r>
      <w:r w:rsidRPr="00AC140F" w:rsidR="0093137F">
        <w:rPr>
          <w:rFonts w:ascii="Verdana" w:hAnsi="Verdana"/>
          <w:sz w:val="18"/>
          <w:szCs w:val="18"/>
        </w:rPr>
        <w:t xml:space="preserve"> Conform de aangenomen motie Boucke</w:t>
      </w:r>
      <w:r w:rsidRPr="00AC140F" w:rsidR="0093137F">
        <w:rPr>
          <w:rStyle w:val="Voetnootmarkering"/>
          <w:rFonts w:ascii="Verdana" w:hAnsi="Verdana"/>
          <w:sz w:val="18"/>
          <w:szCs w:val="18"/>
        </w:rPr>
        <w:footnoteReference w:id="14"/>
      </w:r>
      <w:r w:rsidRPr="00AC140F" w:rsidR="0093137F">
        <w:rPr>
          <w:rFonts w:ascii="Verdana" w:hAnsi="Verdana"/>
          <w:sz w:val="18"/>
          <w:szCs w:val="18"/>
        </w:rPr>
        <w:t xml:space="preserve"> </w:t>
      </w:r>
      <w:r w:rsidRPr="00AC140F" w:rsidR="001B1F14">
        <w:rPr>
          <w:rFonts w:ascii="Verdana" w:hAnsi="Verdana"/>
          <w:sz w:val="18"/>
          <w:szCs w:val="18"/>
        </w:rPr>
        <w:t>en de toezegging gedaan in het Commissiedebat Milieuraad op 8</w:t>
      </w:r>
      <w:r w:rsidR="0018254B">
        <w:rPr>
          <w:rFonts w:ascii="Verdana" w:hAnsi="Verdana"/>
          <w:sz w:val="18"/>
          <w:szCs w:val="18"/>
        </w:rPr>
        <w:t> </w:t>
      </w:r>
      <w:r w:rsidRPr="00AC140F" w:rsidR="001B1F14">
        <w:rPr>
          <w:rFonts w:ascii="Verdana" w:hAnsi="Verdana"/>
          <w:sz w:val="18"/>
          <w:szCs w:val="18"/>
        </w:rPr>
        <w:t xml:space="preserve">december jl. </w:t>
      </w:r>
      <w:r w:rsidRPr="00AC140F" w:rsidR="0093137F">
        <w:rPr>
          <w:rFonts w:ascii="Verdana" w:hAnsi="Verdana"/>
          <w:sz w:val="18"/>
          <w:szCs w:val="18"/>
        </w:rPr>
        <w:t xml:space="preserve">zet </w:t>
      </w:r>
      <w:r w:rsidRPr="00AC140F" w:rsidR="001B1F14">
        <w:rPr>
          <w:rFonts w:ascii="Verdana" w:hAnsi="Verdana"/>
          <w:sz w:val="18"/>
          <w:szCs w:val="18"/>
        </w:rPr>
        <w:t xml:space="preserve">het kabinet zich </w:t>
      </w:r>
      <w:r w:rsidRPr="00AC140F" w:rsidR="0093137F">
        <w:rPr>
          <w:rFonts w:ascii="Verdana" w:hAnsi="Verdana"/>
          <w:sz w:val="18"/>
          <w:szCs w:val="18"/>
        </w:rPr>
        <w:t xml:space="preserve">er dan ook met een kopgroep aan landen voor in om </w:t>
      </w:r>
      <w:r w:rsidRPr="00AC140F" w:rsidR="008E4144">
        <w:rPr>
          <w:rFonts w:ascii="Verdana" w:hAnsi="Verdana"/>
          <w:sz w:val="18"/>
          <w:szCs w:val="18"/>
        </w:rPr>
        <w:t xml:space="preserve">de </w:t>
      </w:r>
      <w:proofErr w:type="spellStart"/>
      <w:r w:rsidRPr="00AC140F" w:rsidR="0093137F">
        <w:rPr>
          <w:rFonts w:ascii="Verdana" w:hAnsi="Verdana"/>
          <w:sz w:val="18"/>
          <w:szCs w:val="18"/>
        </w:rPr>
        <w:t>uitfaseerdatum</w:t>
      </w:r>
      <w:proofErr w:type="spellEnd"/>
      <w:r w:rsidRPr="00AC140F" w:rsidR="0093137F">
        <w:rPr>
          <w:rFonts w:ascii="Verdana" w:hAnsi="Verdana"/>
          <w:sz w:val="18"/>
          <w:szCs w:val="18"/>
        </w:rPr>
        <w:t xml:space="preserve"> voor voertuigen met een verbrandingsmotor naar voren te halen naar 2030</w:t>
      </w:r>
      <w:r w:rsidRPr="00AC140F" w:rsidR="001B1F14">
        <w:rPr>
          <w:rFonts w:ascii="Verdana" w:hAnsi="Verdana"/>
          <w:sz w:val="18"/>
          <w:szCs w:val="18"/>
        </w:rPr>
        <w:t xml:space="preserve"> en voor een </w:t>
      </w:r>
      <w:r w:rsidRPr="00AC140F" w:rsidR="00130EF9">
        <w:rPr>
          <w:rFonts w:ascii="Verdana" w:hAnsi="Verdana"/>
          <w:sz w:val="18"/>
          <w:szCs w:val="18"/>
        </w:rPr>
        <w:t xml:space="preserve">ambitieuze en tijdige uitrol van de bijbehorende laad- en tankinfrastructuur. </w:t>
      </w:r>
    </w:p>
    <w:p w:rsidRPr="00AC140F" w:rsidR="0093137F" w:rsidP="0018254B" w:rsidRDefault="0093137F" w14:paraId="4746A0D3" w14:textId="7B948D06">
      <w:pPr>
        <w:spacing w:after="0" w:line="240" w:lineRule="atLeast"/>
        <w:rPr>
          <w:rFonts w:ascii="Verdana" w:hAnsi="Verdana"/>
          <w:sz w:val="18"/>
          <w:szCs w:val="18"/>
        </w:rPr>
      </w:pPr>
    </w:p>
    <w:p w:rsidRPr="00AC140F" w:rsidR="001718D1" w:rsidP="0018254B" w:rsidRDefault="001718D1" w14:paraId="199F3E90" w14:textId="2C847BB1">
      <w:pPr>
        <w:spacing w:after="0" w:line="240" w:lineRule="atLeast"/>
        <w:rPr>
          <w:rFonts w:ascii="Verdana" w:hAnsi="Verdana"/>
          <w:sz w:val="18"/>
          <w:szCs w:val="18"/>
        </w:rPr>
      </w:pPr>
    </w:p>
    <w:sectPr w:rsidRPr="00AC140F" w:rsidR="001718D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9ADD6E" w14:textId="77777777" w:rsidR="00A853CB" w:rsidRDefault="00A853CB" w:rsidP="00F82D4B">
      <w:pPr>
        <w:spacing w:after="0" w:line="240" w:lineRule="auto"/>
      </w:pPr>
      <w:r>
        <w:separator/>
      </w:r>
    </w:p>
  </w:endnote>
  <w:endnote w:type="continuationSeparator" w:id="0">
    <w:p w14:paraId="409C1FDA" w14:textId="77777777" w:rsidR="00A853CB" w:rsidRDefault="00A853CB" w:rsidP="00F82D4B">
      <w:pPr>
        <w:spacing w:after="0" w:line="240" w:lineRule="auto"/>
      </w:pPr>
      <w:r>
        <w:continuationSeparator/>
      </w:r>
    </w:p>
  </w:endnote>
  <w:endnote w:type="continuationNotice" w:id="1">
    <w:p w14:paraId="57A7F727" w14:textId="77777777" w:rsidR="00A853CB" w:rsidRDefault="00A853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41929" w14:textId="77777777" w:rsidR="0018254B" w:rsidRDefault="0018254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8170432"/>
      <w:docPartObj>
        <w:docPartGallery w:val="Page Numbers (Bottom of Page)"/>
        <w:docPartUnique/>
      </w:docPartObj>
    </w:sdtPr>
    <w:sdtEndPr>
      <w:rPr>
        <w:rFonts w:ascii="Verdana" w:hAnsi="Verdana"/>
        <w:sz w:val="13"/>
        <w:szCs w:val="13"/>
      </w:rPr>
    </w:sdtEndPr>
    <w:sdtContent>
      <w:p w14:paraId="626F83E2" w14:textId="4904D245" w:rsidR="0018254B" w:rsidRPr="0018254B" w:rsidRDefault="0018254B">
        <w:pPr>
          <w:pStyle w:val="Voettekst"/>
          <w:jc w:val="right"/>
          <w:rPr>
            <w:rFonts w:ascii="Verdana" w:hAnsi="Verdana"/>
            <w:sz w:val="13"/>
            <w:szCs w:val="13"/>
          </w:rPr>
        </w:pPr>
        <w:r w:rsidRPr="0018254B">
          <w:rPr>
            <w:rFonts w:ascii="Verdana" w:hAnsi="Verdana"/>
            <w:sz w:val="13"/>
            <w:szCs w:val="13"/>
          </w:rPr>
          <w:fldChar w:fldCharType="begin"/>
        </w:r>
        <w:r w:rsidRPr="0018254B">
          <w:rPr>
            <w:rFonts w:ascii="Verdana" w:hAnsi="Verdana"/>
            <w:sz w:val="13"/>
            <w:szCs w:val="13"/>
          </w:rPr>
          <w:instrText>PAGE   \* MERGEFORMAT</w:instrText>
        </w:r>
        <w:r w:rsidRPr="0018254B">
          <w:rPr>
            <w:rFonts w:ascii="Verdana" w:hAnsi="Verdana"/>
            <w:sz w:val="13"/>
            <w:szCs w:val="13"/>
          </w:rPr>
          <w:fldChar w:fldCharType="separate"/>
        </w:r>
        <w:r w:rsidRPr="0018254B">
          <w:rPr>
            <w:rFonts w:ascii="Verdana" w:hAnsi="Verdana"/>
            <w:sz w:val="13"/>
            <w:szCs w:val="13"/>
          </w:rPr>
          <w:t>2</w:t>
        </w:r>
        <w:r w:rsidRPr="0018254B">
          <w:rPr>
            <w:rFonts w:ascii="Verdana" w:hAnsi="Verdana"/>
            <w:sz w:val="13"/>
            <w:szCs w:val="13"/>
          </w:rPr>
          <w:fldChar w:fldCharType="end"/>
        </w:r>
      </w:p>
    </w:sdtContent>
  </w:sdt>
  <w:p w14:paraId="04816229" w14:textId="77777777" w:rsidR="00A853CB" w:rsidRDefault="00A853C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559E8" w14:textId="77777777" w:rsidR="0018254B" w:rsidRDefault="001825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BEA59F" w14:textId="77777777" w:rsidR="00A853CB" w:rsidRDefault="00A853CB" w:rsidP="00F82D4B">
      <w:pPr>
        <w:spacing w:after="0" w:line="240" w:lineRule="auto"/>
      </w:pPr>
      <w:r>
        <w:separator/>
      </w:r>
    </w:p>
  </w:footnote>
  <w:footnote w:type="continuationSeparator" w:id="0">
    <w:p w14:paraId="54640824" w14:textId="77777777" w:rsidR="00A853CB" w:rsidRDefault="00A853CB" w:rsidP="00F82D4B">
      <w:pPr>
        <w:spacing w:after="0" w:line="240" w:lineRule="auto"/>
      </w:pPr>
      <w:r>
        <w:continuationSeparator/>
      </w:r>
    </w:p>
  </w:footnote>
  <w:footnote w:type="continuationNotice" w:id="1">
    <w:p w14:paraId="3DB141E6" w14:textId="77777777" w:rsidR="00A853CB" w:rsidRDefault="00A853CB">
      <w:pPr>
        <w:spacing w:after="0" w:line="240" w:lineRule="auto"/>
      </w:pPr>
    </w:p>
  </w:footnote>
  <w:footnote w:id="2">
    <w:p w14:paraId="17EEE1C9" w14:textId="3F5554C1" w:rsidR="00A853CB" w:rsidRPr="0018254B" w:rsidRDefault="00A853CB" w:rsidP="0018254B">
      <w:pPr>
        <w:pStyle w:val="Voetnoottekst"/>
        <w:spacing w:line="180" w:lineRule="atLeast"/>
        <w:rPr>
          <w:rFonts w:ascii="Verdana" w:hAnsi="Verdana"/>
          <w:sz w:val="13"/>
          <w:szCs w:val="13"/>
        </w:rPr>
      </w:pPr>
      <w:r w:rsidRPr="0018254B">
        <w:rPr>
          <w:rStyle w:val="Voetnootmarkering"/>
          <w:rFonts w:ascii="Verdana" w:hAnsi="Verdana"/>
          <w:sz w:val="13"/>
          <w:szCs w:val="13"/>
        </w:rPr>
        <w:footnoteRef/>
      </w:r>
      <w:r w:rsidRPr="0018254B">
        <w:rPr>
          <w:rFonts w:ascii="Verdana" w:hAnsi="Verdana"/>
          <w:sz w:val="13"/>
          <w:szCs w:val="13"/>
          <w:lang w:val="en-US"/>
        </w:rPr>
        <w:t xml:space="preserve"> Cambridge Economics, 2021, </w:t>
      </w:r>
      <w:r w:rsidRPr="0018254B">
        <w:rPr>
          <w:rFonts w:ascii="Verdana" w:hAnsi="Verdana"/>
          <w:i/>
          <w:iCs/>
          <w:sz w:val="13"/>
          <w:szCs w:val="13"/>
          <w:lang w:val="en-US"/>
        </w:rPr>
        <w:t>EU ETS: The impact of including emissions from road transport and buildings</w:t>
      </w:r>
      <w:r w:rsidRPr="0018254B">
        <w:rPr>
          <w:rFonts w:ascii="Verdana" w:hAnsi="Verdana"/>
          <w:sz w:val="13"/>
          <w:szCs w:val="13"/>
          <w:lang w:val="en-US"/>
        </w:rPr>
        <w:t xml:space="preserve">, pp 202-205. </w:t>
      </w:r>
      <w:r w:rsidRPr="0018254B">
        <w:rPr>
          <w:rFonts w:ascii="Verdana" w:hAnsi="Verdana"/>
          <w:sz w:val="13"/>
          <w:szCs w:val="13"/>
        </w:rPr>
        <w:t>Beschikbaar via https://www.camecon.com/what/our-work/eu-ets-impact-including-road-transport-buildings-emissions</w:t>
      </w:r>
    </w:p>
  </w:footnote>
  <w:footnote w:id="3">
    <w:p w14:paraId="2ADB1AE2" w14:textId="5812F056" w:rsidR="00A853CB" w:rsidRPr="0018254B" w:rsidRDefault="00A853CB" w:rsidP="0018254B">
      <w:pPr>
        <w:pStyle w:val="Voetnoottekst"/>
        <w:spacing w:line="180" w:lineRule="atLeast"/>
        <w:rPr>
          <w:rFonts w:ascii="Verdana" w:hAnsi="Verdana"/>
          <w:sz w:val="13"/>
          <w:szCs w:val="13"/>
        </w:rPr>
      </w:pPr>
      <w:r w:rsidRPr="0018254B">
        <w:rPr>
          <w:rStyle w:val="Voetnootmarkering"/>
          <w:rFonts w:ascii="Verdana" w:hAnsi="Verdana"/>
          <w:sz w:val="13"/>
          <w:szCs w:val="13"/>
        </w:rPr>
        <w:footnoteRef/>
      </w:r>
      <w:r w:rsidRPr="0018254B">
        <w:rPr>
          <w:rFonts w:ascii="Verdana" w:hAnsi="Verdana"/>
          <w:sz w:val="13"/>
          <w:szCs w:val="13"/>
        </w:rPr>
        <w:t xml:space="preserve"> PBL, 2020, </w:t>
      </w:r>
      <w:r w:rsidRPr="0018254B">
        <w:rPr>
          <w:rFonts w:ascii="Verdana" w:hAnsi="Verdana"/>
          <w:i/>
          <w:iCs/>
          <w:sz w:val="13"/>
          <w:szCs w:val="13"/>
        </w:rPr>
        <w:t>Het Europese Klimaatplan 2030.</w:t>
      </w:r>
    </w:p>
  </w:footnote>
  <w:footnote w:id="4">
    <w:p w14:paraId="782FB274" w14:textId="73731083" w:rsidR="00A853CB" w:rsidRPr="0018254B" w:rsidRDefault="00A853CB" w:rsidP="0018254B">
      <w:pPr>
        <w:pStyle w:val="Voetnoottekst"/>
        <w:spacing w:line="180" w:lineRule="atLeast"/>
        <w:rPr>
          <w:rFonts w:ascii="Verdana" w:hAnsi="Verdana"/>
          <w:sz w:val="13"/>
          <w:szCs w:val="13"/>
        </w:rPr>
      </w:pPr>
      <w:r w:rsidRPr="0018254B">
        <w:rPr>
          <w:rStyle w:val="Voetnootmarkering"/>
          <w:rFonts w:ascii="Verdana" w:hAnsi="Verdana"/>
          <w:sz w:val="13"/>
          <w:szCs w:val="13"/>
        </w:rPr>
        <w:footnoteRef/>
      </w:r>
      <w:r w:rsidRPr="0018254B">
        <w:rPr>
          <w:rFonts w:ascii="Verdana" w:hAnsi="Verdana"/>
          <w:sz w:val="13"/>
          <w:szCs w:val="13"/>
        </w:rPr>
        <w:t xml:space="preserve"> De Commissie heeft voorgesteld om het systeem vanaf het begin ruim op te zetten: zo worden in het eerste jaar 30% meer rechten geveild dan het plafond, wordt er een ruim gevulde marktstabiliteitsreserve geïntroduceerd </w:t>
      </w:r>
      <w:r w:rsidR="005E42AB" w:rsidRPr="0018254B">
        <w:rPr>
          <w:rFonts w:ascii="Verdana" w:hAnsi="Verdana"/>
          <w:sz w:val="13"/>
          <w:szCs w:val="13"/>
        </w:rPr>
        <w:t>die</w:t>
      </w:r>
      <w:r w:rsidR="00797E4B" w:rsidRPr="0018254B">
        <w:rPr>
          <w:rFonts w:ascii="Verdana" w:hAnsi="Verdana"/>
          <w:sz w:val="13"/>
          <w:szCs w:val="13"/>
        </w:rPr>
        <w:t xml:space="preserve"> vanaf het begin eventuele</w:t>
      </w:r>
      <w:r w:rsidR="005E42AB" w:rsidRPr="0018254B">
        <w:rPr>
          <w:rFonts w:ascii="Verdana" w:hAnsi="Verdana"/>
          <w:sz w:val="13"/>
          <w:szCs w:val="13"/>
        </w:rPr>
        <w:t xml:space="preserve"> </w:t>
      </w:r>
      <w:r w:rsidRPr="0018254B">
        <w:rPr>
          <w:rFonts w:ascii="Verdana" w:hAnsi="Verdana"/>
          <w:sz w:val="13"/>
          <w:szCs w:val="13"/>
        </w:rPr>
        <w:t xml:space="preserve">tekorten en excessieve prijsstijgingen tegengaat, en wordt de vormgeving van het systeem al na 2 jaar geëvalueerd en mogelijk herzien. </w:t>
      </w:r>
    </w:p>
  </w:footnote>
  <w:footnote w:id="5">
    <w:p w14:paraId="66BD5F59" w14:textId="77777777" w:rsidR="00A853CB" w:rsidRPr="0018254B" w:rsidRDefault="00A853CB" w:rsidP="0018254B">
      <w:pPr>
        <w:pStyle w:val="Voetnoottekst"/>
        <w:spacing w:line="180" w:lineRule="atLeast"/>
        <w:rPr>
          <w:rFonts w:ascii="Verdana" w:hAnsi="Verdana"/>
          <w:sz w:val="13"/>
          <w:szCs w:val="13"/>
        </w:rPr>
      </w:pPr>
      <w:r w:rsidRPr="0018254B">
        <w:rPr>
          <w:rStyle w:val="Voetnootmarkering"/>
          <w:rFonts w:ascii="Verdana" w:hAnsi="Verdana"/>
          <w:sz w:val="13"/>
          <w:szCs w:val="13"/>
        </w:rPr>
        <w:footnoteRef/>
      </w:r>
      <w:r w:rsidRPr="0018254B">
        <w:rPr>
          <w:rFonts w:ascii="Verdana" w:hAnsi="Verdana"/>
          <w:sz w:val="13"/>
          <w:szCs w:val="13"/>
        </w:rPr>
        <w:t xml:space="preserve"> BNC-fiche SCF (Kamerstuk 22 112 nr. 3198).</w:t>
      </w:r>
    </w:p>
  </w:footnote>
  <w:footnote w:id="6">
    <w:p w14:paraId="74A92FC4" w14:textId="77777777" w:rsidR="00A853CB" w:rsidRPr="0018254B" w:rsidRDefault="00A853CB" w:rsidP="0018254B">
      <w:pPr>
        <w:pStyle w:val="Voetnoottekst"/>
        <w:spacing w:line="180" w:lineRule="atLeast"/>
        <w:rPr>
          <w:rFonts w:ascii="Verdana" w:hAnsi="Verdana"/>
          <w:sz w:val="13"/>
          <w:szCs w:val="13"/>
        </w:rPr>
      </w:pPr>
      <w:r w:rsidRPr="0018254B">
        <w:rPr>
          <w:rStyle w:val="Voetnootmarkering"/>
          <w:rFonts w:ascii="Verdana" w:hAnsi="Verdana"/>
          <w:sz w:val="13"/>
          <w:szCs w:val="13"/>
        </w:rPr>
        <w:footnoteRef/>
      </w:r>
      <w:r w:rsidRPr="0018254B">
        <w:rPr>
          <w:rFonts w:ascii="Verdana" w:hAnsi="Verdana"/>
          <w:sz w:val="13"/>
          <w:szCs w:val="13"/>
        </w:rPr>
        <w:t xml:space="preserve"> PBL, 2021, </w:t>
      </w:r>
      <w:r w:rsidRPr="0018254B">
        <w:rPr>
          <w:rFonts w:ascii="Verdana" w:hAnsi="Verdana"/>
          <w:i/>
          <w:iCs/>
          <w:sz w:val="13"/>
          <w:szCs w:val="13"/>
        </w:rPr>
        <w:t xml:space="preserve">Nederland Fit </w:t>
      </w:r>
      <w:proofErr w:type="spellStart"/>
      <w:r w:rsidRPr="0018254B">
        <w:rPr>
          <w:rFonts w:ascii="Verdana" w:hAnsi="Verdana"/>
          <w:i/>
          <w:iCs/>
          <w:sz w:val="13"/>
          <w:szCs w:val="13"/>
        </w:rPr>
        <w:t>for</w:t>
      </w:r>
      <w:proofErr w:type="spellEnd"/>
      <w:r w:rsidRPr="0018254B">
        <w:rPr>
          <w:rFonts w:ascii="Verdana" w:hAnsi="Verdana"/>
          <w:i/>
          <w:iCs/>
          <w:sz w:val="13"/>
          <w:szCs w:val="13"/>
        </w:rPr>
        <w:t xml:space="preserve"> 55? Mogelijke gevolgen van het voorgestelde EU-klimaatbeleid</w:t>
      </w:r>
      <w:r w:rsidRPr="0018254B">
        <w:rPr>
          <w:rFonts w:ascii="Verdana" w:hAnsi="Verdana"/>
          <w:sz w:val="13"/>
          <w:szCs w:val="13"/>
        </w:rPr>
        <w:t>.</w:t>
      </w:r>
    </w:p>
  </w:footnote>
  <w:footnote w:id="7">
    <w:p w14:paraId="1880AC51" w14:textId="23E0EDC9" w:rsidR="00A853CB" w:rsidRPr="0018254B" w:rsidRDefault="00A853CB" w:rsidP="0018254B">
      <w:pPr>
        <w:pStyle w:val="Voetnoottekst"/>
        <w:spacing w:line="180" w:lineRule="atLeast"/>
        <w:rPr>
          <w:rFonts w:ascii="Verdana" w:hAnsi="Verdana"/>
          <w:sz w:val="13"/>
          <w:szCs w:val="13"/>
        </w:rPr>
      </w:pPr>
      <w:r w:rsidRPr="0018254B">
        <w:rPr>
          <w:rStyle w:val="Voetnootmarkering"/>
          <w:rFonts w:ascii="Verdana" w:hAnsi="Verdana"/>
          <w:sz w:val="13"/>
          <w:szCs w:val="13"/>
        </w:rPr>
        <w:footnoteRef/>
      </w:r>
      <w:r w:rsidRPr="0018254B">
        <w:rPr>
          <w:rFonts w:ascii="Verdana" w:hAnsi="Verdana"/>
          <w:sz w:val="13"/>
          <w:szCs w:val="13"/>
        </w:rPr>
        <w:t xml:space="preserve"> Kamerstuk 35 925 nr. 49.</w:t>
      </w:r>
    </w:p>
  </w:footnote>
  <w:footnote w:id="8">
    <w:p w14:paraId="754979DB" w14:textId="77777777" w:rsidR="00A853CB" w:rsidRPr="0018254B" w:rsidRDefault="00A853CB" w:rsidP="0018254B">
      <w:pPr>
        <w:pStyle w:val="Voetnoottekst"/>
        <w:spacing w:line="180" w:lineRule="atLeast"/>
        <w:rPr>
          <w:rFonts w:ascii="Verdana" w:hAnsi="Verdana"/>
          <w:sz w:val="13"/>
          <w:szCs w:val="13"/>
        </w:rPr>
      </w:pPr>
      <w:r w:rsidRPr="0018254B">
        <w:rPr>
          <w:rStyle w:val="Voetnootmarkering"/>
          <w:rFonts w:ascii="Verdana" w:hAnsi="Verdana"/>
          <w:sz w:val="13"/>
          <w:szCs w:val="13"/>
        </w:rPr>
        <w:footnoteRef/>
      </w:r>
      <w:r w:rsidRPr="0018254B">
        <w:rPr>
          <w:rFonts w:ascii="Verdana" w:hAnsi="Verdana"/>
          <w:sz w:val="13"/>
          <w:szCs w:val="13"/>
        </w:rPr>
        <w:t xml:space="preserve"> BNC-fiche RED (Kamerstuk 22 112 nr. 3218).</w:t>
      </w:r>
    </w:p>
  </w:footnote>
  <w:footnote w:id="9">
    <w:p w14:paraId="1ED4B754" w14:textId="77777777" w:rsidR="00A853CB" w:rsidRPr="0018254B" w:rsidRDefault="00A853CB" w:rsidP="0018254B">
      <w:pPr>
        <w:pStyle w:val="Voetnoottekst"/>
        <w:spacing w:line="180" w:lineRule="atLeast"/>
        <w:rPr>
          <w:rFonts w:ascii="Verdana" w:hAnsi="Verdana"/>
          <w:sz w:val="13"/>
          <w:szCs w:val="13"/>
        </w:rPr>
      </w:pPr>
      <w:r w:rsidRPr="0018254B">
        <w:rPr>
          <w:rStyle w:val="Voetnootmarkering"/>
          <w:rFonts w:ascii="Verdana" w:hAnsi="Verdana"/>
          <w:sz w:val="13"/>
          <w:szCs w:val="13"/>
        </w:rPr>
        <w:footnoteRef/>
      </w:r>
      <w:r w:rsidRPr="0018254B">
        <w:rPr>
          <w:rFonts w:ascii="Verdana" w:hAnsi="Verdana"/>
          <w:sz w:val="13"/>
          <w:szCs w:val="13"/>
        </w:rPr>
        <w:t xml:space="preserve"> BNC-fiche EED (Kamerstuk 22 112 nr. 3186).</w:t>
      </w:r>
    </w:p>
  </w:footnote>
  <w:footnote w:id="10">
    <w:p w14:paraId="6189D33A" w14:textId="35C6A12F" w:rsidR="00A853CB" w:rsidRPr="0018254B" w:rsidRDefault="00A853CB" w:rsidP="0018254B">
      <w:pPr>
        <w:pStyle w:val="Voetnoottekst"/>
        <w:spacing w:line="180" w:lineRule="atLeast"/>
        <w:rPr>
          <w:rFonts w:ascii="Verdana" w:hAnsi="Verdana"/>
          <w:sz w:val="13"/>
          <w:szCs w:val="13"/>
        </w:rPr>
      </w:pPr>
      <w:r w:rsidRPr="0018254B">
        <w:rPr>
          <w:rStyle w:val="Voetnootmarkering"/>
          <w:rFonts w:ascii="Verdana" w:hAnsi="Verdana"/>
          <w:sz w:val="13"/>
          <w:szCs w:val="13"/>
        </w:rPr>
        <w:footnoteRef/>
      </w:r>
      <w:r w:rsidRPr="0018254B">
        <w:rPr>
          <w:rFonts w:ascii="Verdana" w:hAnsi="Verdana"/>
          <w:sz w:val="13"/>
          <w:szCs w:val="13"/>
        </w:rPr>
        <w:t xml:space="preserve"> </w:t>
      </w:r>
      <w:r w:rsidR="00C22BED" w:rsidRPr="0018254B">
        <w:rPr>
          <w:rFonts w:ascii="Verdana" w:hAnsi="Verdana"/>
          <w:sz w:val="13"/>
          <w:szCs w:val="13"/>
        </w:rPr>
        <w:t>Het BNC-fiche over de EPBD is op 21 januari aan de Tweede Kamer verstuurd.</w:t>
      </w:r>
    </w:p>
  </w:footnote>
  <w:footnote w:id="11">
    <w:p w14:paraId="7F793D5F" w14:textId="77777777" w:rsidR="00A853CB" w:rsidRPr="0018254B" w:rsidRDefault="00A853CB" w:rsidP="0018254B">
      <w:pPr>
        <w:pStyle w:val="Voetnoottekst"/>
        <w:spacing w:line="180" w:lineRule="atLeast"/>
        <w:rPr>
          <w:rFonts w:ascii="Verdana" w:hAnsi="Verdana"/>
          <w:sz w:val="13"/>
          <w:szCs w:val="13"/>
        </w:rPr>
      </w:pPr>
      <w:r w:rsidRPr="0018254B">
        <w:rPr>
          <w:rStyle w:val="Voetnootmarkering"/>
          <w:rFonts w:ascii="Verdana" w:hAnsi="Verdana"/>
          <w:sz w:val="13"/>
          <w:szCs w:val="13"/>
        </w:rPr>
        <w:footnoteRef/>
      </w:r>
      <w:r w:rsidRPr="0018254B">
        <w:rPr>
          <w:rFonts w:ascii="Verdana" w:hAnsi="Verdana"/>
          <w:sz w:val="13"/>
          <w:szCs w:val="13"/>
        </w:rPr>
        <w:t xml:space="preserve"> PBL, 2021, </w:t>
      </w:r>
      <w:r w:rsidRPr="0018254B">
        <w:rPr>
          <w:rFonts w:ascii="Verdana" w:hAnsi="Verdana"/>
          <w:i/>
          <w:iCs/>
          <w:sz w:val="13"/>
          <w:szCs w:val="13"/>
        </w:rPr>
        <w:t xml:space="preserve">Nederland Fit </w:t>
      </w:r>
      <w:proofErr w:type="spellStart"/>
      <w:r w:rsidRPr="0018254B">
        <w:rPr>
          <w:rFonts w:ascii="Verdana" w:hAnsi="Verdana"/>
          <w:i/>
          <w:iCs/>
          <w:sz w:val="13"/>
          <w:szCs w:val="13"/>
        </w:rPr>
        <w:t>for</w:t>
      </w:r>
      <w:proofErr w:type="spellEnd"/>
      <w:r w:rsidRPr="0018254B">
        <w:rPr>
          <w:rFonts w:ascii="Verdana" w:hAnsi="Verdana"/>
          <w:i/>
          <w:iCs/>
          <w:sz w:val="13"/>
          <w:szCs w:val="13"/>
        </w:rPr>
        <w:t xml:space="preserve"> 55? Mogelijke gevolgen van het voorgestelde EU-klimaatbeleid</w:t>
      </w:r>
      <w:r w:rsidRPr="0018254B">
        <w:rPr>
          <w:rFonts w:ascii="Verdana" w:hAnsi="Verdana"/>
          <w:sz w:val="13"/>
          <w:szCs w:val="13"/>
        </w:rPr>
        <w:t>.</w:t>
      </w:r>
    </w:p>
  </w:footnote>
  <w:footnote w:id="12">
    <w:p w14:paraId="5845A3E0" w14:textId="3973828E" w:rsidR="00A853CB" w:rsidRPr="0018254B" w:rsidRDefault="00A853CB" w:rsidP="0018254B">
      <w:pPr>
        <w:pStyle w:val="Voetnoottekst"/>
        <w:spacing w:line="180" w:lineRule="atLeast"/>
        <w:rPr>
          <w:rFonts w:ascii="Verdana" w:hAnsi="Verdana"/>
          <w:sz w:val="13"/>
          <w:szCs w:val="13"/>
        </w:rPr>
      </w:pPr>
      <w:r w:rsidRPr="0018254B">
        <w:rPr>
          <w:rStyle w:val="Voetnootmarkering"/>
          <w:rFonts w:ascii="Verdana" w:hAnsi="Verdana"/>
          <w:sz w:val="13"/>
          <w:szCs w:val="13"/>
        </w:rPr>
        <w:footnoteRef/>
      </w:r>
      <w:r w:rsidRPr="0018254B">
        <w:rPr>
          <w:rFonts w:ascii="Verdana" w:hAnsi="Verdana"/>
          <w:sz w:val="13"/>
          <w:szCs w:val="13"/>
          <w:lang w:val="en-US"/>
        </w:rPr>
        <w:t xml:space="preserve">  </w:t>
      </w:r>
      <w:proofErr w:type="spellStart"/>
      <w:r w:rsidRPr="0018254B">
        <w:rPr>
          <w:rFonts w:ascii="Verdana" w:hAnsi="Verdana"/>
          <w:sz w:val="13"/>
          <w:szCs w:val="13"/>
          <w:lang w:val="en-US"/>
        </w:rPr>
        <w:t>Europese</w:t>
      </w:r>
      <w:proofErr w:type="spellEnd"/>
      <w:r w:rsidRPr="0018254B">
        <w:rPr>
          <w:rFonts w:ascii="Verdana" w:hAnsi="Verdana"/>
          <w:sz w:val="13"/>
          <w:szCs w:val="13"/>
          <w:lang w:val="en-US"/>
        </w:rPr>
        <w:t xml:space="preserve"> </w:t>
      </w:r>
      <w:proofErr w:type="spellStart"/>
      <w:r w:rsidRPr="0018254B">
        <w:rPr>
          <w:rFonts w:ascii="Verdana" w:hAnsi="Verdana"/>
          <w:sz w:val="13"/>
          <w:szCs w:val="13"/>
          <w:lang w:val="en-US"/>
        </w:rPr>
        <w:t>Commissie</w:t>
      </w:r>
      <w:proofErr w:type="spellEnd"/>
      <w:r w:rsidRPr="0018254B">
        <w:rPr>
          <w:rFonts w:ascii="Verdana" w:hAnsi="Verdana"/>
          <w:sz w:val="13"/>
          <w:szCs w:val="13"/>
          <w:lang w:val="en-US"/>
        </w:rPr>
        <w:t xml:space="preserve">, 2020, </w:t>
      </w:r>
      <w:r w:rsidRPr="0018254B">
        <w:rPr>
          <w:rFonts w:ascii="Verdana" w:hAnsi="Verdana"/>
          <w:i/>
          <w:iCs/>
          <w:sz w:val="13"/>
          <w:szCs w:val="13"/>
          <w:lang w:val="en-US"/>
        </w:rPr>
        <w:t>Impact assessment accompanying the Climate Target Plan</w:t>
      </w:r>
      <w:r w:rsidRPr="0018254B">
        <w:rPr>
          <w:rFonts w:ascii="Verdana" w:hAnsi="Verdana"/>
          <w:sz w:val="13"/>
          <w:szCs w:val="13"/>
          <w:lang w:val="en-US"/>
        </w:rPr>
        <w:t xml:space="preserve">, pp 71. </w:t>
      </w:r>
      <w:r w:rsidRPr="0018254B">
        <w:rPr>
          <w:rFonts w:ascii="Verdana" w:hAnsi="Verdana"/>
          <w:sz w:val="13"/>
          <w:szCs w:val="13"/>
        </w:rPr>
        <w:t>Beschikbaar via https://eur-lex.europa.eu/legal-content/EN/TXT/?uri=CELEX:52020SC0176</w:t>
      </w:r>
    </w:p>
  </w:footnote>
  <w:footnote w:id="13">
    <w:p w14:paraId="3CBE2FAE" w14:textId="2F9ED069" w:rsidR="00A853CB" w:rsidRPr="0018254B" w:rsidRDefault="00A853CB" w:rsidP="0018254B">
      <w:pPr>
        <w:pStyle w:val="Voetnoottekst"/>
        <w:spacing w:line="180" w:lineRule="atLeast"/>
        <w:rPr>
          <w:rFonts w:ascii="Verdana" w:hAnsi="Verdana"/>
          <w:sz w:val="13"/>
          <w:szCs w:val="13"/>
        </w:rPr>
      </w:pPr>
      <w:r w:rsidRPr="0018254B">
        <w:rPr>
          <w:rStyle w:val="Voetnootmarkering"/>
          <w:rFonts w:ascii="Verdana" w:hAnsi="Verdana"/>
          <w:sz w:val="13"/>
          <w:szCs w:val="13"/>
        </w:rPr>
        <w:footnoteRef/>
      </w:r>
      <w:r w:rsidRPr="0018254B">
        <w:rPr>
          <w:rFonts w:ascii="Verdana" w:hAnsi="Verdana"/>
          <w:sz w:val="13"/>
          <w:szCs w:val="13"/>
        </w:rPr>
        <w:t xml:space="preserve"> BNC-fiche CO</w:t>
      </w:r>
      <w:r w:rsidRPr="0018254B">
        <w:rPr>
          <w:rFonts w:ascii="Verdana" w:hAnsi="Verdana"/>
          <w:sz w:val="13"/>
          <w:szCs w:val="13"/>
          <w:vertAlign w:val="subscript"/>
        </w:rPr>
        <w:t>2</w:t>
      </w:r>
      <w:r w:rsidRPr="0018254B">
        <w:rPr>
          <w:rFonts w:ascii="Verdana" w:hAnsi="Verdana"/>
          <w:sz w:val="13"/>
          <w:szCs w:val="13"/>
        </w:rPr>
        <w:t>-normen lichte voertuigen (Kamerstuk 22 112 nr. 3191).</w:t>
      </w:r>
    </w:p>
  </w:footnote>
  <w:footnote w:id="14">
    <w:p w14:paraId="69037B6F" w14:textId="5636E739" w:rsidR="00A853CB" w:rsidRPr="0018254B" w:rsidRDefault="00A853CB" w:rsidP="0018254B">
      <w:pPr>
        <w:pStyle w:val="Voetnoottekst"/>
        <w:spacing w:line="180" w:lineRule="atLeast"/>
        <w:rPr>
          <w:rFonts w:ascii="Verdana" w:hAnsi="Verdana"/>
          <w:sz w:val="13"/>
          <w:szCs w:val="13"/>
        </w:rPr>
      </w:pPr>
      <w:r w:rsidRPr="0018254B">
        <w:rPr>
          <w:rStyle w:val="Voetnootmarkering"/>
          <w:rFonts w:ascii="Verdana" w:hAnsi="Verdana"/>
          <w:sz w:val="13"/>
          <w:szCs w:val="13"/>
        </w:rPr>
        <w:footnoteRef/>
      </w:r>
      <w:r w:rsidRPr="0018254B">
        <w:rPr>
          <w:rFonts w:ascii="Verdana" w:hAnsi="Verdana"/>
          <w:sz w:val="13"/>
          <w:szCs w:val="13"/>
        </w:rPr>
        <w:t xml:space="preserve"> Kamerstuk 32 813 nr. 886.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52279" w14:textId="77777777" w:rsidR="0018254B" w:rsidRDefault="001825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D0BEB" w14:textId="77777777" w:rsidR="00A853CB" w:rsidRDefault="00A853C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76676" w14:textId="77777777" w:rsidR="0018254B" w:rsidRDefault="0018254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71104"/>
    <w:multiLevelType w:val="hybridMultilevel"/>
    <w:tmpl w:val="1908D1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8472A8"/>
    <w:multiLevelType w:val="hybridMultilevel"/>
    <w:tmpl w:val="E0FCBB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DC2F56"/>
    <w:multiLevelType w:val="multilevel"/>
    <w:tmpl w:val="B1DE3954"/>
    <w:lvl w:ilvl="0">
      <w:numFmt w:val="bullet"/>
      <w:lvlText w:val=""/>
      <w:lvlJc w:val="left"/>
      <w:pPr>
        <w:ind w:left="720" w:hanging="360"/>
      </w:pPr>
      <w:rPr>
        <w:rFonts w:ascii="Symbol" w:hAnsi="Symbol"/>
        <w:sz w:val="20"/>
      </w:rPr>
    </w:lvl>
    <w:lvl w:ilvl="1">
      <w:start w:val="1"/>
      <w:numFmt w:val="decimal"/>
      <w:lvlText w:val="%2."/>
      <w:lvlJc w:val="left"/>
      <w:pPr>
        <w:ind w:left="1440" w:hanging="360"/>
      </w:pPr>
      <w:rPr>
        <w:sz w:val="26"/>
        <w:szCs w:val="26"/>
      </w:rPr>
    </w:lvl>
    <w:lvl w:ilvl="2">
      <w:start w:val="1"/>
      <w:numFmt w:val="bullet"/>
      <w:lvlText w:val="o"/>
      <w:lvlJc w:val="left"/>
      <w:pPr>
        <w:ind w:left="2160" w:hanging="360"/>
      </w:pPr>
      <w:rPr>
        <w:rFonts w:ascii="Courier New" w:hAnsi="Courier New" w:cs="Courier New" w:hint="default"/>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118E2F8B"/>
    <w:multiLevelType w:val="hybridMultilevel"/>
    <w:tmpl w:val="3FF88E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07F6B3F"/>
    <w:multiLevelType w:val="multilevel"/>
    <w:tmpl w:val="B1DE3954"/>
    <w:lvl w:ilvl="0">
      <w:numFmt w:val="bullet"/>
      <w:lvlText w:val=""/>
      <w:lvlJc w:val="left"/>
      <w:pPr>
        <w:ind w:left="720" w:hanging="360"/>
      </w:pPr>
      <w:rPr>
        <w:rFonts w:ascii="Symbol" w:hAnsi="Symbol"/>
        <w:sz w:val="20"/>
      </w:rPr>
    </w:lvl>
    <w:lvl w:ilvl="1">
      <w:start w:val="1"/>
      <w:numFmt w:val="decimal"/>
      <w:lvlText w:val="%2."/>
      <w:lvlJc w:val="left"/>
      <w:pPr>
        <w:ind w:left="1440" w:hanging="360"/>
      </w:pPr>
      <w:rPr>
        <w:sz w:val="26"/>
        <w:szCs w:val="26"/>
      </w:rPr>
    </w:lvl>
    <w:lvl w:ilvl="2">
      <w:start w:val="1"/>
      <w:numFmt w:val="bullet"/>
      <w:lvlText w:val="o"/>
      <w:lvlJc w:val="left"/>
      <w:pPr>
        <w:ind w:left="2160" w:hanging="360"/>
      </w:pPr>
      <w:rPr>
        <w:rFonts w:ascii="Courier New" w:hAnsi="Courier New" w:cs="Courier New" w:hint="default"/>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5" w15:restartNumberingAfterBreak="0">
    <w:nsid w:val="273378B0"/>
    <w:multiLevelType w:val="hybridMultilevel"/>
    <w:tmpl w:val="156E85AA"/>
    <w:lvl w:ilvl="0" w:tplc="EB222814">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5ED3157D"/>
    <w:multiLevelType w:val="hybridMultilevel"/>
    <w:tmpl w:val="34528FC8"/>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5"/>
  </w:num>
  <w:num w:numId="2">
    <w:abstractNumId w:val="5"/>
  </w:num>
  <w:num w:numId="3">
    <w:abstractNumId w:val="0"/>
  </w:num>
  <w:num w:numId="4">
    <w:abstractNumId w:val="1"/>
  </w:num>
  <w:num w:numId="5">
    <w:abstractNumId w:val="3"/>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783"/>
    <w:rsid w:val="00031F6F"/>
    <w:rsid w:val="00061C93"/>
    <w:rsid w:val="000856AB"/>
    <w:rsid w:val="000963EF"/>
    <w:rsid w:val="000C415A"/>
    <w:rsid w:val="000D47E1"/>
    <w:rsid w:val="000E660B"/>
    <w:rsid w:val="000F2C05"/>
    <w:rsid w:val="001037FB"/>
    <w:rsid w:val="00114BD5"/>
    <w:rsid w:val="00130EF9"/>
    <w:rsid w:val="00134687"/>
    <w:rsid w:val="001433AB"/>
    <w:rsid w:val="0015146A"/>
    <w:rsid w:val="00151559"/>
    <w:rsid w:val="00165BA2"/>
    <w:rsid w:val="00166817"/>
    <w:rsid w:val="001718D1"/>
    <w:rsid w:val="0017598B"/>
    <w:rsid w:val="0017619A"/>
    <w:rsid w:val="001766B7"/>
    <w:rsid w:val="00180663"/>
    <w:rsid w:val="0018254B"/>
    <w:rsid w:val="00186E73"/>
    <w:rsid w:val="001B1F14"/>
    <w:rsid w:val="001B2BE3"/>
    <w:rsid w:val="001E08A3"/>
    <w:rsid w:val="001E2805"/>
    <w:rsid w:val="001E4DC2"/>
    <w:rsid w:val="00200A87"/>
    <w:rsid w:val="00227C80"/>
    <w:rsid w:val="00237309"/>
    <w:rsid w:val="0023738B"/>
    <w:rsid w:val="0025186A"/>
    <w:rsid w:val="00285418"/>
    <w:rsid w:val="00296775"/>
    <w:rsid w:val="00297BD8"/>
    <w:rsid w:val="002A35CC"/>
    <w:rsid w:val="002B10EB"/>
    <w:rsid w:val="002D4B1A"/>
    <w:rsid w:val="002D57EB"/>
    <w:rsid w:val="002F4DA2"/>
    <w:rsid w:val="002F6049"/>
    <w:rsid w:val="00311B9D"/>
    <w:rsid w:val="003346C6"/>
    <w:rsid w:val="00357AB3"/>
    <w:rsid w:val="0037282F"/>
    <w:rsid w:val="003733C5"/>
    <w:rsid w:val="00373E46"/>
    <w:rsid w:val="003A5999"/>
    <w:rsid w:val="003B6556"/>
    <w:rsid w:val="003C5CB5"/>
    <w:rsid w:val="003D1B71"/>
    <w:rsid w:val="003D2EC7"/>
    <w:rsid w:val="003D6DC5"/>
    <w:rsid w:val="003E0196"/>
    <w:rsid w:val="003E7873"/>
    <w:rsid w:val="003F04E8"/>
    <w:rsid w:val="003F2783"/>
    <w:rsid w:val="00407682"/>
    <w:rsid w:val="00413008"/>
    <w:rsid w:val="00424592"/>
    <w:rsid w:val="0044543D"/>
    <w:rsid w:val="004538A1"/>
    <w:rsid w:val="0046738D"/>
    <w:rsid w:val="004C55C7"/>
    <w:rsid w:val="004E4166"/>
    <w:rsid w:val="004F5EE2"/>
    <w:rsid w:val="00507F0F"/>
    <w:rsid w:val="005418A4"/>
    <w:rsid w:val="00552483"/>
    <w:rsid w:val="005542DE"/>
    <w:rsid w:val="005B3B4E"/>
    <w:rsid w:val="005B50B7"/>
    <w:rsid w:val="005C21B1"/>
    <w:rsid w:val="005C40E8"/>
    <w:rsid w:val="005D23C4"/>
    <w:rsid w:val="005D741B"/>
    <w:rsid w:val="005E0278"/>
    <w:rsid w:val="005E3798"/>
    <w:rsid w:val="005E42AB"/>
    <w:rsid w:val="00607A0B"/>
    <w:rsid w:val="00620841"/>
    <w:rsid w:val="00627607"/>
    <w:rsid w:val="006467BD"/>
    <w:rsid w:val="006816E7"/>
    <w:rsid w:val="00681B49"/>
    <w:rsid w:val="006D0174"/>
    <w:rsid w:val="00705A3D"/>
    <w:rsid w:val="00714697"/>
    <w:rsid w:val="00724E67"/>
    <w:rsid w:val="00740002"/>
    <w:rsid w:val="00743F32"/>
    <w:rsid w:val="00780514"/>
    <w:rsid w:val="00780C89"/>
    <w:rsid w:val="007840C3"/>
    <w:rsid w:val="00787E98"/>
    <w:rsid w:val="00797E4B"/>
    <w:rsid w:val="007A3D46"/>
    <w:rsid w:val="007C24B1"/>
    <w:rsid w:val="007C61DE"/>
    <w:rsid w:val="007E263E"/>
    <w:rsid w:val="007F2BA8"/>
    <w:rsid w:val="007F7A1F"/>
    <w:rsid w:val="008056F1"/>
    <w:rsid w:val="00831BAF"/>
    <w:rsid w:val="00850A24"/>
    <w:rsid w:val="00863213"/>
    <w:rsid w:val="00864FAF"/>
    <w:rsid w:val="0087582A"/>
    <w:rsid w:val="0088560E"/>
    <w:rsid w:val="00896E89"/>
    <w:rsid w:val="008A33A5"/>
    <w:rsid w:val="008A5BF1"/>
    <w:rsid w:val="008A6155"/>
    <w:rsid w:val="008C31C3"/>
    <w:rsid w:val="008E4144"/>
    <w:rsid w:val="00915898"/>
    <w:rsid w:val="00925161"/>
    <w:rsid w:val="0093137F"/>
    <w:rsid w:val="009712C8"/>
    <w:rsid w:val="0097275D"/>
    <w:rsid w:val="0097500C"/>
    <w:rsid w:val="009D00DF"/>
    <w:rsid w:val="009D2AF5"/>
    <w:rsid w:val="009D2BBE"/>
    <w:rsid w:val="00A07E2E"/>
    <w:rsid w:val="00A44F77"/>
    <w:rsid w:val="00A66567"/>
    <w:rsid w:val="00A77807"/>
    <w:rsid w:val="00A80844"/>
    <w:rsid w:val="00A853CB"/>
    <w:rsid w:val="00A863A8"/>
    <w:rsid w:val="00A91001"/>
    <w:rsid w:val="00AB0E7B"/>
    <w:rsid w:val="00AB450E"/>
    <w:rsid w:val="00AC140F"/>
    <w:rsid w:val="00B317FE"/>
    <w:rsid w:val="00B6685D"/>
    <w:rsid w:val="00B75D2F"/>
    <w:rsid w:val="00B95394"/>
    <w:rsid w:val="00BB3410"/>
    <w:rsid w:val="00BC0CF9"/>
    <w:rsid w:val="00BD3B94"/>
    <w:rsid w:val="00BD77D1"/>
    <w:rsid w:val="00BF6E48"/>
    <w:rsid w:val="00C01358"/>
    <w:rsid w:val="00C10078"/>
    <w:rsid w:val="00C22BED"/>
    <w:rsid w:val="00C40B09"/>
    <w:rsid w:val="00C67AF5"/>
    <w:rsid w:val="00C7643B"/>
    <w:rsid w:val="00C77080"/>
    <w:rsid w:val="00C81126"/>
    <w:rsid w:val="00C83688"/>
    <w:rsid w:val="00C92D98"/>
    <w:rsid w:val="00C96FE7"/>
    <w:rsid w:val="00CB3BA2"/>
    <w:rsid w:val="00CC7CC5"/>
    <w:rsid w:val="00CD66B8"/>
    <w:rsid w:val="00CF4500"/>
    <w:rsid w:val="00D05308"/>
    <w:rsid w:val="00D20798"/>
    <w:rsid w:val="00D40F17"/>
    <w:rsid w:val="00D45D6B"/>
    <w:rsid w:val="00D64D3C"/>
    <w:rsid w:val="00D670A5"/>
    <w:rsid w:val="00DA73C6"/>
    <w:rsid w:val="00DB6153"/>
    <w:rsid w:val="00DB620D"/>
    <w:rsid w:val="00DC26DC"/>
    <w:rsid w:val="00DC6717"/>
    <w:rsid w:val="00DD0119"/>
    <w:rsid w:val="00DE740B"/>
    <w:rsid w:val="00E5154C"/>
    <w:rsid w:val="00EB6A9C"/>
    <w:rsid w:val="00EC1E51"/>
    <w:rsid w:val="00ED17C7"/>
    <w:rsid w:val="00F82D4B"/>
    <w:rsid w:val="00F951AE"/>
    <w:rsid w:val="00F967A6"/>
    <w:rsid w:val="00F97E36"/>
    <w:rsid w:val="00FB0003"/>
    <w:rsid w:val="00FD78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702EF"/>
  <w15:chartTrackingRefBased/>
  <w15:docId w15:val="{FE129EC3-7999-4088-B753-3911F485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3F2783"/>
    <w:pPr>
      <w:spacing w:after="0" w:line="240" w:lineRule="auto"/>
      <w:ind w:left="720"/>
    </w:pPr>
    <w:rPr>
      <w:rFonts w:ascii="Calibri" w:hAnsi="Calibri" w:cs="Calibri"/>
    </w:rPr>
  </w:style>
  <w:style w:type="table" w:styleId="Tabelraster">
    <w:name w:val="Table Grid"/>
    <w:basedOn w:val="Standaardtabel"/>
    <w:uiPriority w:val="39"/>
    <w:rsid w:val="002F6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F82D4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82D4B"/>
    <w:rPr>
      <w:sz w:val="20"/>
      <w:szCs w:val="20"/>
    </w:rPr>
  </w:style>
  <w:style w:type="character" w:styleId="Voetnootmarkering">
    <w:name w:val="footnote reference"/>
    <w:basedOn w:val="Standaardalinea-lettertype"/>
    <w:uiPriority w:val="99"/>
    <w:semiHidden/>
    <w:unhideWhenUsed/>
    <w:rsid w:val="00F82D4B"/>
    <w:rPr>
      <w:vertAlign w:val="superscript"/>
    </w:rPr>
  </w:style>
  <w:style w:type="paragraph" w:customStyle="1" w:styleId="Default">
    <w:name w:val="Default"/>
    <w:rsid w:val="00D45D6B"/>
    <w:pPr>
      <w:autoSpaceDE w:val="0"/>
      <w:autoSpaceDN w:val="0"/>
      <w:adjustRightInd w:val="0"/>
      <w:spacing w:after="0" w:line="240" w:lineRule="auto"/>
    </w:pPr>
    <w:rPr>
      <w:rFonts w:ascii="Times New Roman" w:hAnsi="Times New Roman" w:cs="Times New Roman"/>
      <w:color w:val="000000"/>
      <w:sz w:val="24"/>
      <w:szCs w:val="24"/>
    </w:rPr>
  </w:style>
  <w:style w:type="character" w:styleId="Verwijzingopmerking">
    <w:name w:val="annotation reference"/>
    <w:basedOn w:val="Standaardalinea-lettertype"/>
    <w:uiPriority w:val="99"/>
    <w:semiHidden/>
    <w:unhideWhenUsed/>
    <w:rsid w:val="003733C5"/>
    <w:rPr>
      <w:sz w:val="16"/>
      <w:szCs w:val="16"/>
    </w:rPr>
  </w:style>
  <w:style w:type="paragraph" w:styleId="Tekstopmerking">
    <w:name w:val="annotation text"/>
    <w:basedOn w:val="Standaard"/>
    <w:link w:val="TekstopmerkingChar"/>
    <w:uiPriority w:val="99"/>
    <w:semiHidden/>
    <w:unhideWhenUsed/>
    <w:rsid w:val="003733C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733C5"/>
    <w:rPr>
      <w:sz w:val="20"/>
      <w:szCs w:val="20"/>
    </w:rPr>
  </w:style>
  <w:style w:type="paragraph" w:styleId="Onderwerpvanopmerking">
    <w:name w:val="annotation subject"/>
    <w:basedOn w:val="Tekstopmerking"/>
    <w:next w:val="Tekstopmerking"/>
    <w:link w:val="OnderwerpvanopmerkingChar"/>
    <w:uiPriority w:val="99"/>
    <w:semiHidden/>
    <w:unhideWhenUsed/>
    <w:rsid w:val="003733C5"/>
    <w:rPr>
      <w:b/>
      <w:bCs/>
    </w:rPr>
  </w:style>
  <w:style w:type="character" w:customStyle="1" w:styleId="OnderwerpvanopmerkingChar">
    <w:name w:val="Onderwerp van opmerking Char"/>
    <w:basedOn w:val="TekstopmerkingChar"/>
    <w:link w:val="Onderwerpvanopmerking"/>
    <w:uiPriority w:val="99"/>
    <w:semiHidden/>
    <w:rsid w:val="003733C5"/>
    <w:rPr>
      <w:b/>
      <w:bCs/>
      <w:sz w:val="20"/>
      <w:szCs w:val="20"/>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15146A"/>
    <w:rPr>
      <w:rFonts w:ascii="Calibri" w:hAnsi="Calibri" w:cs="Calibri"/>
    </w:rPr>
  </w:style>
  <w:style w:type="character" w:styleId="Zwaar">
    <w:name w:val="Strong"/>
    <w:basedOn w:val="Standaardalinea-lettertype"/>
    <w:uiPriority w:val="22"/>
    <w:qFormat/>
    <w:rsid w:val="001718D1"/>
    <w:rPr>
      <w:b/>
      <w:bCs/>
    </w:rPr>
  </w:style>
  <w:style w:type="paragraph" w:styleId="Koptekst">
    <w:name w:val="header"/>
    <w:basedOn w:val="Standaard"/>
    <w:link w:val="KoptekstChar"/>
    <w:uiPriority w:val="99"/>
    <w:unhideWhenUsed/>
    <w:rsid w:val="00C7708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77080"/>
  </w:style>
  <w:style w:type="paragraph" w:styleId="Voettekst">
    <w:name w:val="footer"/>
    <w:basedOn w:val="Standaard"/>
    <w:link w:val="VoettekstChar"/>
    <w:uiPriority w:val="99"/>
    <w:unhideWhenUsed/>
    <w:rsid w:val="00C7708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77080"/>
  </w:style>
  <w:style w:type="paragraph" w:styleId="Ballontekst">
    <w:name w:val="Balloon Text"/>
    <w:basedOn w:val="Standaard"/>
    <w:link w:val="BallontekstChar"/>
    <w:uiPriority w:val="99"/>
    <w:semiHidden/>
    <w:unhideWhenUsed/>
    <w:rsid w:val="00373E4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73E46"/>
    <w:rPr>
      <w:rFonts w:ascii="Segoe UI" w:hAnsi="Segoe UI" w:cs="Segoe UI"/>
      <w:sz w:val="18"/>
      <w:szCs w:val="18"/>
    </w:rPr>
  </w:style>
  <w:style w:type="character" w:styleId="Hyperlink">
    <w:name w:val="Hyperlink"/>
    <w:basedOn w:val="Standaardalinea-lettertype"/>
    <w:uiPriority w:val="99"/>
    <w:unhideWhenUsed/>
    <w:rsid w:val="00373E46"/>
    <w:rPr>
      <w:color w:val="0563C1" w:themeColor="hyperlink"/>
      <w:u w:val="single"/>
    </w:rPr>
  </w:style>
  <w:style w:type="character" w:customStyle="1" w:styleId="UnresolvedMention1">
    <w:name w:val="Unresolved Mention1"/>
    <w:basedOn w:val="Standaardalinea-lettertype"/>
    <w:uiPriority w:val="99"/>
    <w:semiHidden/>
    <w:unhideWhenUsed/>
    <w:rsid w:val="00373E46"/>
    <w:rPr>
      <w:color w:val="605E5C"/>
      <w:shd w:val="clear" w:color="auto" w:fill="E1DFDD"/>
    </w:rPr>
  </w:style>
  <w:style w:type="paragraph" w:styleId="Revisie">
    <w:name w:val="Revision"/>
    <w:hidden/>
    <w:uiPriority w:val="99"/>
    <w:semiHidden/>
    <w:rsid w:val="00A665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930698">
      <w:bodyDiv w:val="1"/>
      <w:marLeft w:val="0"/>
      <w:marRight w:val="0"/>
      <w:marTop w:val="0"/>
      <w:marBottom w:val="0"/>
      <w:divBdr>
        <w:top w:val="none" w:sz="0" w:space="0" w:color="auto"/>
        <w:left w:val="none" w:sz="0" w:space="0" w:color="auto"/>
        <w:bottom w:val="none" w:sz="0" w:space="0" w:color="auto"/>
        <w:right w:val="none" w:sz="0" w:space="0" w:color="auto"/>
      </w:divBdr>
    </w:div>
    <w:div w:id="1367565541">
      <w:bodyDiv w:val="1"/>
      <w:marLeft w:val="0"/>
      <w:marRight w:val="0"/>
      <w:marTop w:val="0"/>
      <w:marBottom w:val="0"/>
      <w:divBdr>
        <w:top w:val="none" w:sz="0" w:space="0" w:color="auto"/>
        <w:left w:val="none" w:sz="0" w:space="0" w:color="auto"/>
        <w:bottom w:val="none" w:sz="0" w:space="0" w:color="auto"/>
        <w:right w:val="none" w:sz="0" w:space="0" w:color="auto"/>
      </w:divBdr>
    </w:div>
    <w:div w:id="1757559371">
      <w:bodyDiv w:val="1"/>
      <w:marLeft w:val="0"/>
      <w:marRight w:val="0"/>
      <w:marTop w:val="0"/>
      <w:marBottom w:val="0"/>
      <w:divBdr>
        <w:top w:val="none" w:sz="0" w:space="0" w:color="auto"/>
        <w:left w:val="none" w:sz="0" w:space="0" w:color="auto"/>
        <w:bottom w:val="none" w:sz="0" w:space="0" w:color="auto"/>
        <w:right w:val="none" w:sz="0" w:space="0" w:color="auto"/>
      </w:divBdr>
    </w:div>
    <w:div w:id="192869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1808</ap:Words>
  <ap:Characters>9947</ap:Characters>
  <ap:DocSecurity>0</ap:DocSecurity>
  <ap:Lines>82</ap:Lines>
  <ap:Paragraphs>23</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11732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2022-01-24T09:48:00.0000000Z</dcterms:created>
  <dcterms:modified xsi:type="dcterms:W3CDTF">2022-01-24T09:48:00.0000000Z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d3b34b-2bef-4a54-879f-885ba821ef67_Enabled">
    <vt:lpwstr>true</vt:lpwstr>
  </property>
  <property fmtid="{D5CDD505-2E9C-101B-9397-08002B2CF9AE}" pid="3" name="MSIP_Label_26d3b34b-2bef-4a54-879f-885ba821ef67_SetDate">
    <vt:lpwstr>2021-12-15T09:40:56Z</vt:lpwstr>
  </property>
  <property fmtid="{D5CDD505-2E9C-101B-9397-08002B2CF9AE}" pid="4" name="MSIP_Label_26d3b34b-2bef-4a54-879f-885ba821ef67_Method">
    <vt:lpwstr>Standard</vt:lpwstr>
  </property>
  <property fmtid="{D5CDD505-2E9C-101B-9397-08002B2CF9AE}" pid="5" name="MSIP_Label_26d3b34b-2bef-4a54-879f-885ba821ef67_Name">
    <vt:lpwstr>Departement (DGGT)</vt:lpwstr>
  </property>
  <property fmtid="{D5CDD505-2E9C-101B-9397-08002B2CF9AE}" pid="6" name="MSIP_Label_26d3b34b-2bef-4a54-879f-885ba821ef67_SiteId">
    <vt:lpwstr>84712536-f524-40a0-913b-5d25ba502732</vt:lpwstr>
  </property>
  <property fmtid="{D5CDD505-2E9C-101B-9397-08002B2CF9AE}" pid="7" name="MSIP_Label_26d3b34b-2bef-4a54-879f-885ba821ef67_ActionId">
    <vt:lpwstr>2128cb08-3e74-4827-8d68-453779e4b995</vt:lpwstr>
  </property>
  <property fmtid="{D5CDD505-2E9C-101B-9397-08002B2CF9AE}" pid="8" name="MSIP_Label_26d3b34b-2bef-4a54-879f-885ba821ef67_ContentBits">
    <vt:lpwstr>0</vt:lpwstr>
  </property>
</Properties>
</file>