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7D47" w:rsidR="00A828E3" w:rsidRDefault="00E02D08" w14:paraId="1D58C16C" w14:textId="74F7AE7B">
      <w:pPr>
        <w:pStyle w:val="PlatteTekst"/>
        <w:rPr>
          <w:szCs w:val="18"/>
        </w:rPr>
        <w:sectPr w:rsidRPr="00DE7D47"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DE7D47">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75152" w14:paraId="258EB843" w14:textId="4905FC54">
                            <w:pPr>
                              <w:pStyle w:val="Huisstijl-Agendatitel"/>
                              <w:ind w:left="0" w:firstLine="0"/>
                              <w:jc w:val="right"/>
                            </w:pPr>
                            <w:r>
                              <w:t>6</w:t>
                            </w:r>
                            <w:r w:rsidR="00924EA0">
                              <w:t xml:space="preserve"> januari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75152" w14:paraId="258EB843" w14:textId="4905FC54">
                      <w:pPr>
                        <w:pStyle w:val="Huisstijl-Agendatitel"/>
                        <w:ind w:left="0" w:firstLine="0"/>
                        <w:jc w:val="right"/>
                      </w:pPr>
                      <w:r>
                        <w:t>6</w:t>
                      </w:r>
                      <w:r w:rsidR="00924EA0">
                        <w:t xml:space="preserve"> januari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DE7D47"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DE7D47" w:rsidR="00E02D08" w:rsidP="00C727FA" w:rsidRDefault="00E02D08" w14:paraId="05CDB571" w14:textId="47CE6B3B">
      <w:pPr>
        <w:rPr>
          <w:b/>
          <w:szCs w:val="18"/>
        </w:rPr>
      </w:pPr>
      <w:r w:rsidRPr="00DE7D47">
        <w:rPr>
          <w:b/>
          <w:szCs w:val="18"/>
        </w:rPr>
        <w:t xml:space="preserve">Lijst van nieuwe EU-voorstellen </w:t>
      </w:r>
    </w:p>
    <w:p w:rsidRPr="00DE7D47" w:rsidR="00E02D08" w:rsidP="00C727FA" w:rsidRDefault="00E02D08" w14:paraId="54F4943E" w14:textId="77777777">
      <w:pPr>
        <w:rPr>
          <w:b/>
          <w:szCs w:val="18"/>
        </w:rPr>
      </w:pPr>
    </w:p>
    <w:p w:rsidRPr="00DE7D47" w:rsidR="00DE51BD" w:rsidP="00DE51BD" w:rsidRDefault="00DE51BD" w14:paraId="45D31253" w14:textId="46B6C959">
      <w:pPr>
        <w:pStyle w:val="Normaalweb"/>
        <w:rPr>
          <w:rFonts w:ascii="Verdana" w:hAnsi="Verdana"/>
          <w:sz w:val="18"/>
          <w:szCs w:val="18"/>
        </w:rPr>
      </w:pPr>
      <w:r w:rsidRPr="00DE7D4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DE7D47" w:rsidR="00DE7D47">
        <w:rPr>
          <w:rStyle w:val="Voetnootmarkering"/>
          <w:rFonts w:ascii="Verdana" w:hAnsi="Verdana"/>
          <w:sz w:val="18"/>
          <w:szCs w:val="18"/>
        </w:rPr>
        <w:footnoteReference w:id="1"/>
      </w:r>
      <w:r w:rsidRPr="00DE7D47">
        <w:rPr>
          <w:rFonts w:ascii="Verdana" w:hAnsi="Verdana"/>
          <w:sz w:val="18"/>
          <w:szCs w:val="18"/>
        </w:rPr>
        <w:t xml:space="preserve">: </w:t>
      </w:r>
    </w:p>
    <w:p w:rsidRPr="00DE7D47" w:rsidR="00820149" w:rsidP="00C727FA" w:rsidRDefault="00820149" w14:paraId="594D8C14" w14:textId="7519FF2E">
      <w:pPr>
        <w:rPr>
          <w:szCs w:val="18"/>
        </w:rPr>
      </w:pPr>
    </w:p>
    <w:p w:rsidRPr="00DE7D47" w:rsidR="00820149" w:rsidP="00820149" w:rsidRDefault="00D27FE7" w14:paraId="015F6DB1" w14:textId="088DF86F">
      <w:pPr>
        <w:pStyle w:val="Lijstalinea"/>
        <w:numPr>
          <w:ilvl w:val="0"/>
          <w:numId w:val="2"/>
        </w:numPr>
        <w:rPr>
          <w:b/>
          <w:szCs w:val="18"/>
        </w:rPr>
      </w:pPr>
      <w:r w:rsidRPr="00DE7D47">
        <w:rPr>
          <w:b/>
          <w:szCs w:val="18"/>
        </w:rPr>
        <w:t>Nieuw voorgestelde EU-w</w:t>
      </w:r>
      <w:r w:rsidRPr="00DE7D47" w:rsidR="00820149">
        <w:rPr>
          <w:b/>
          <w:szCs w:val="18"/>
        </w:rPr>
        <w:t>etgeving</w:t>
      </w:r>
      <w:r w:rsidRPr="00DE7D47" w:rsidR="00E02D08">
        <w:rPr>
          <w:rStyle w:val="Voetnootmarkering"/>
          <w:b/>
          <w:szCs w:val="18"/>
        </w:rPr>
        <w:br/>
      </w:r>
      <w:r w:rsidRPr="00DE7D47" w:rsidR="00E02D08">
        <w:rPr>
          <w:szCs w:val="18"/>
        </w:rPr>
        <w:t>(Verordeningen, richtlijnen en wetgevende besluiten)</w:t>
      </w:r>
    </w:p>
    <w:p w:rsidRPr="00DE7D47"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417B6F7B"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286713" w:rsidR="002A4BD8" w:rsidP="00CC5689" w:rsidRDefault="00286713" w14:paraId="3770AB7C" w14:textId="265BE87F">
            <w:pPr>
              <w:spacing w:after="240"/>
              <w:rPr>
                <w:b/>
                <w:color w:val="595959" w:themeColor="text1" w:themeTint="A6"/>
                <w:szCs w:val="18"/>
              </w:rPr>
            </w:pPr>
            <w:r w:rsidRPr="00286713">
              <w:rPr>
                <w:rFonts w:cs="Calibri"/>
              </w:rPr>
              <w:t xml:space="preserve">Voorstel voor een RICHTLIJN VAN DE RAAD tot wijziging van Richtlijn 2008/118/EG en Richtlijn (EU) 2020/262 (herschikking) betreffende taxfreeshops in de Franse terminal van de Kanaaltunnel </w:t>
            </w:r>
            <w:hyperlink w:history="1" r:id="rId14">
              <w:r w:rsidRPr="00286713">
                <w:rPr>
                  <w:rStyle w:val="Hyperlink"/>
                  <w:rFonts w:cs="Calibri"/>
                </w:rPr>
                <w:t>COM (2021) 817</w:t>
              </w:r>
            </w:hyperlink>
          </w:p>
        </w:tc>
      </w:tr>
      <w:tr w:rsidRPr="00DE7D47"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7A0B1CB" w14:textId="77777777">
            <w:pPr>
              <w:spacing w:after="240"/>
              <w:rPr>
                <w:szCs w:val="18"/>
              </w:rPr>
            </w:pPr>
          </w:p>
        </w:tc>
        <w:tc>
          <w:tcPr>
            <w:tcW w:w="1035" w:type="dxa"/>
          </w:tcPr>
          <w:p w:rsidRPr="00DE7D47" w:rsidR="002A4BD8" w:rsidP="003A21AA" w:rsidRDefault="002A4BD8" w14:paraId="1AD1B08F" w14:textId="77777777">
            <w:pPr>
              <w:spacing w:after="240"/>
              <w:rPr>
                <w:szCs w:val="18"/>
              </w:rPr>
            </w:pPr>
            <w:r w:rsidRPr="00DE7D47">
              <w:rPr>
                <w:szCs w:val="18"/>
              </w:rPr>
              <w:t>Voorstel</w:t>
            </w:r>
          </w:p>
        </w:tc>
        <w:tc>
          <w:tcPr>
            <w:tcW w:w="6529" w:type="dxa"/>
          </w:tcPr>
          <w:p w:rsidRPr="00DE7D47" w:rsidR="002A4BD8" w:rsidP="00286713" w:rsidRDefault="00D8279B" w14:paraId="796F226E" w14:textId="0DE194D1">
            <w:pPr>
              <w:spacing w:after="240"/>
              <w:rPr>
                <w:szCs w:val="18"/>
              </w:rPr>
            </w:pPr>
            <w:r>
              <w:rPr>
                <w:szCs w:val="18"/>
              </w:rPr>
              <w:t>Voor kennisgeving aannemen</w:t>
            </w:r>
          </w:p>
        </w:tc>
      </w:tr>
      <w:tr w:rsidRPr="00DE7D47"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17A999B7" w14:textId="77777777">
            <w:pPr>
              <w:spacing w:after="240"/>
              <w:rPr>
                <w:color w:val="595959" w:themeColor="text1" w:themeTint="A6"/>
                <w:szCs w:val="18"/>
              </w:rPr>
            </w:pPr>
          </w:p>
        </w:tc>
        <w:tc>
          <w:tcPr>
            <w:tcW w:w="1035" w:type="dxa"/>
          </w:tcPr>
          <w:p w:rsidRPr="00DE7D47" w:rsidR="002A4BD8" w:rsidP="003A21AA" w:rsidRDefault="002A4BD8" w14:paraId="607AB8A0" w14:textId="77777777">
            <w:pPr>
              <w:spacing w:after="240"/>
              <w:rPr>
                <w:color w:val="595959" w:themeColor="text1" w:themeTint="A6"/>
                <w:szCs w:val="18"/>
              </w:rPr>
            </w:pPr>
            <w:r w:rsidRPr="00DE7D47">
              <w:rPr>
                <w:color w:val="595959" w:themeColor="text1" w:themeTint="A6"/>
                <w:szCs w:val="18"/>
              </w:rPr>
              <w:t>Noot</w:t>
            </w:r>
          </w:p>
        </w:tc>
        <w:tc>
          <w:tcPr>
            <w:tcW w:w="6529" w:type="dxa"/>
          </w:tcPr>
          <w:p w:rsidR="002A4BD8" w:rsidP="00D8279B" w:rsidRDefault="00D8279B" w14:paraId="1F9F505A" w14:textId="77777777">
            <w:pPr>
              <w:spacing w:after="240"/>
              <w:rPr>
                <w:color w:val="595959" w:themeColor="text1" w:themeTint="A6"/>
                <w:szCs w:val="18"/>
              </w:rPr>
            </w:pPr>
            <w:r w:rsidRPr="00D8279B">
              <w:rPr>
                <w:color w:val="595959" w:themeColor="text1" w:themeTint="A6"/>
                <w:szCs w:val="18"/>
              </w:rPr>
              <w:t xml:space="preserve">Als gevolg van de </w:t>
            </w:r>
            <w:proofErr w:type="spellStart"/>
            <w:r>
              <w:rPr>
                <w:color w:val="595959" w:themeColor="text1" w:themeTint="A6"/>
                <w:szCs w:val="18"/>
              </w:rPr>
              <w:t>Brexit</w:t>
            </w:r>
            <w:proofErr w:type="spellEnd"/>
            <w:r w:rsidRPr="00D8279B">
              <w:rPr>
                <w:color w:val="595959" w:themeColor="text1" w:themeTint="A6"/>
                <w:szCs w:val="18"/>
              </w:rPr>
              <w:t xml:space="preserve"> wordt met dit voorstel een vroegere bepaling van Richtlijn 92/12/EEG, waarin de specifieke status van de vaste Kanaalverbinding en de vergelijkbaarheid van deze situatie met die van een haven wordt erkend, opnieuw in de accijnsrichtlijn  opgenomen</w:t>
            </w:r>
            <w:r>
              <w:rPr>
                <w:color w:val="595959" w:themeColor="text1" w:themeTint="A6"/>
                <w:szCs w:val="18"/>
              </w:rPr>
              <w:t xml:space="preserve">. </w:t>
            </w:r>
            <w:r w:rsidRPr="00D8279B">
              <w:rPr>
                <w:color w:val="595959" w:themeColor="text1" w:themeTint="A6"/>
                <w:szCs w:val="18"/>
              </w:rPr>
              <w:t>Met het voorstel wordt een eerdere bepaling opnieuw ingevoerd, waardoor de heropening wordt toegestaan van taxfreeshops in de Franse terminal van de vaste Kanaalverbinding</w:t>
            </w:r>
            <w:r>
              <w:rPr>
                <w:color w:val="595959" w:themeColor="text1" w:themeTint="A6"/>
                <w:szCs w:val="18"/>
              </w:rPr>
              <w:t xml:space="preserve">. </w:t>
            </w:r>
          </w:p>
          <w:p w:rsidRPr="00D8279B" w:rsidR="00D8279B" w:rsidP="00D8279B" w:rsidRDefault="00D8279B" w14:paraId="5F09C656" w14:textId="169BDE0B">
            <w:pPr>
              <w:spacing w:after="240"/>
              <w:rPr>
                <w:i/>
                <w:color w:val="595959" w:themeColor="text1" w:themeTint="A6"/>
                <w:szCs w:val="18"/>
              </w:rPr>
            </w:pPr>
            <w:r>
              <w:rPr>
                <w:i/>
                <w:color w:val="595959" w:themeColor="text1" w:themeTint="A6"/>
                <w:szCs w:val="18"/>
              </w:rPr>
              <w:t xml:space="preserve">Dit voorstel heeft geen directe betrekking op Nederland. </w:t>
            </w:r>
          </w:p>
        </w:tc>
      </w:tr>
    </w:tbl>
    <w:p w:rsidR="002A4BD8" w:rsidP="002A4BD8" w:rsidRDefault="002A4BD8" w14:paraId="597C8652" w14:textId="3811DD3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86713" w:rsidR="0069621F" w:rsidTr="00F71C71" w14:paraId="06E1A05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69621F" w:rsidP="00F71C71" w:rsidRDefault="0069621F" w14:paraId="77E1BEAF" w14:textId="77777777">
            <w:pPr>
              <w:pStyle w:val="Lijstalinea"/>
              <w:numPr>
                <w:ilvl w:val="0"/>
                <w:numId w:val="10"/>
              </w:numPr>
              <w:spacing w:after="240"/>
              <w:ind w:left="312"/>
              <w:rPr>
                <w:color w:val="595959" w:themeColor="text1" w:themeTint="A6"/>
                <w:szCs w:val="18"/>
              </w:rPr>
            </w:pPr>
          </w:p>
        </w:tc>
        <w:tc>
          <w:tcPr>
            <w:tcW w:w="1035" w:type="dxa"/>
          </w:tcPr>
          <w:p w:rsidRPr="00DE7D47" w:rsidR="0069621F" w:rsidP="00F71C71" w:rsidRDefault="0069621F" w14:paraId="2A5D2999"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286713" w:rsidR="00286713" w:rsidP="00286713" w:rsidRDefault="00286713" w14:paraId="12EC42D1" w14:textId="77777777">
            <w:pPr>
              <w:rPr>
                <w:color w:val="000000"/>
                <w:szCs w:val="18"/>
              </w:rPr>
            </w:pPr>
            <w:r w:rsidRPr="00286713">
              <w:rPr>
                <w:rFonts w:cs="Calibri"/>
              </w:rPr>
              <w:t xml:space="preserve">Voorstel voor een VERORDENING VAN HET EUROPEES PARLEMENT EN DE RAAD tot wijziging van Verordening (EU) nr. 549/2013 en tot intrekking van elf wetgevingsbesluiten op het gebied van nationale rekeningen </w:t>
            </w:r>
            <w:hyperlink w:history="1" r:id="rId15">
              <w:r w:rsidRPr="00286713">
                <w:rPr>
                  <w:rStyle w:val="Hyperlink"/>
                  <w:rFonts w:cs="Calibri"/>
                </w:rPr>
                <w:t>COM (2021) 776</w:t>
              </w:r>
            </w:hyperlink>
          </w:p>
          <w:p w:rsidRPr="00286713" w:rsidR="0069621F" w:rsidP="00286713" w:rsidRDefault="0069621F" w14:paraId="6832FB5A" w14:textId="1B79F467">
            <w:pPr>
              <w:spacing w:after="240"/>
              <w:rPr>
                <w:b/>
                <w:color w:val="595959" w:themeColor="text1" w:themeTint="A6"/>
                <w:szCs w:val="18"/>
              </w:rPr>
            </w:pPr>
          </w:p>
        </w:tc>
      </w:tr>
      <w:tr w:rsidRPr="00DE7D47" w:rsidR="002632F6" w:rsidTr="00F71C71" w14:paraId="0DB9A0A6" w14:textId="77777777">
        <w:tc>
          <w:tcPr>
            <w:tcW w:w="421" w:type="dxa"/>
            <w:vMerge/>
            <w:tcBorders>
              <w:top w:val="nil"/>
              <w:bottom w:val="single" w:color="D9D9D9" w:themeColor="background1" w:themeShade="D9" w:sz="4" w:space="0"/>
            </w:tcBorders>
            <w:shd w:val="clear" w:color="auto" w:fill="F2F2F2" w:themeFill="background1" w:themeFillShade="F2"/>
          </w:tcPr>
          <w:p w:rsidRPr="00286713" w:rsidR="002632F6" w:rsidP="002632F6" w:rsidRDefault="002632F6" w14:paraId="18D1BC25" w14:textId="77777777">
            <w:pPr>
              <w:spacing w:after="240"/>
              <w:rPr>
                <w:szCs w:val="18"/>
              </w:rPr>
            </w:pPr>
          </w:p>
        </w:tc>
        <w:tc>
          <w:tcPr>
            <w:tcW w:w="1035" w:type="dxa"/>
          </w:tcPr>
          <w:p w:rsidRPr="00DE7D47" w:rsidR="002632F6" w:rsidP="002632F6" w:rsidRDefault="002632F6" w14:paraId="412B9F4C" w14:textId="77777777">
            <w:pPr>
              <w:spacing w:after="240"/>
              <w:rPr>
                <w:szCs w:val="18"/>
              </w:rPr>
            </w:pPr>
            <w:r w:rsidRPr="00DE7D47">
              <w:rPr>
                <w:szCs w:val="18"/>
              </w:rPr>
              <w:t>Voorstel</w:t>
            </w:r>
          </w:p>
        </w:tc>
        <w:tc>
          <w:tcPr>
            <w:tcW w:w="6529" w:type="dxa"/>
          </w:tcPr>
          <w:p w:rsidRPr="00DE7D47" w:rsidR="002632F6" w:rsidP="002632F6" w:rsidRDefault="00286713" w14:paraId="418B07DE" w14:textId="07BD8674">
            <w:pPr>
              <w:spacing w:after="240"/>
              <w:rPr>
                <w:szCs w:val="18"/>
              </w:rPr>
            </w:pPr>
            <w:r>
              <w:rPr>
                <w:szCs w:val="18"/>
              </w:rPr>
              <w:t>Voor kennisgeving aannemen</w:t>
            </w:r>
          </w:p>
        </w:tc>
      </w:tr>
      <w:tr w:rsidRPr="00DE7D47" w:rsidR="002632F6" w:rsidTr="00F71C71" w14:paraId="2015B336"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632F6" w:rsidP="002632F6" w:rsidRDefault="002632F6" w14:paraId="2554C158" w14:textId="77777777">
            <w:pPr>
              <w:spacing w:after="240"/>
              <w:rPr>
                <w:color w:val="595959" w:themeColor="text1" w:themeTint="A6"/>
                <w:szCs w:val="18"/>
              </w:rPr>
            </w:pPr>
          </w:p>
        </w:tc>
        <w:tc>
          <w:tcPr>
            <w:tcW w:w="1035" w:type="dxa"/>
          </w:tcPr>
          <w:p w:rsidRPr="00DE7D47" w:rsidR="002632F6" w:rsidP="002632F6" w:rsidRDefault="002632F6" w14:paraId="3F8A19EC"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632F6" w:rsidP="002632F6" w:rsidRDefault="009E5388" w14:paraId="30113B1E" w14:textId="6B99169F">
            <w:pPr>
              <w:spacing w:after="240"/>
              <w:rPr>
                <w:color w:val="595959" w:themeColor="text1" w:themeTint="A6"/>
                <w:szCs w:val="18"/>
              </w:rPr>
            </w:pPr>
            <w:r>
              <w:rPr>
                <w:color w:val="595959" w:themeColor="text1" w:themeTint="A6"/>
                <w:szCs w:val="18"/>
              </w:rPr>
              <w:t xml:space="preserve">Verordening nr. 549/2013 betreft het Europees systeem van nationale en regionale rekeningen (ESR 2010). </w:t>
            </w:r>
            <w:r w:rsidRPr="009E5388">
              <w:rPr>
                <w:color w:val="595959" w:themeColor="text1" w:themeTint="A6"/>
                <w:szCs w:val="18"/>
              </w:rPr>
              <w:t>Sinds de invoering van het ESR 2010 in 2014 is er sprake van een ontwikkeling in een belangrijke statistische classificatie waarop deze is gebaseerd</w:t>
            </w:r>
            <w:r>
              <w:rPr>
                <w:color w:val="595959" w:themeColor="text1" w:themeTint="A6"/>
                <w:szCs w:val="18"/>
              </w:rPr>
              <w:t xml:space="preserve">. De </w:t>
            </w:r>
            <w:r w:rsidR="004C30A9">
              <w:rPr>
                <w:color w:val="595959" w:themeColor="text1" w:themeTint="A6"/>
                <w:szCs w:val="18"/>
              </w:rPr>
              <w:t>bijlagen bij de verordening worden</w:t>
            </w:r>
            <w:r>
              <w:rPr>
                <w:color w:val="595959" w:themeColor="text1" w:themeTint="A6"/>
                <w:szCs w:val="18"/>
              </w:rPr>
              <w:t xml:space="preserve"> hiermee in lijn gebracht. Daarnaast worden elf wetgevingsbesluiten ingetrokken die niet langer relevant zijn met die nieuwe systeem. </w:t>
            </w:r>
          </w:p>
        </w:tc>
      </w:tr>
    </w:tbl>
    <w:p w:rsidR="0069621F" w:rsidP="002A4BD8" w:rsidRDefault="0069621F" w14:paraId="205FD42E" w14:textId="77777777">
      <w:pPr>
        <w:rPr>
          <w:szCs w:val="18"/>
        </w:rPr>
      </w:pPr>
    </w:p>
    <w:p w:rsidRPr="00DE7D47" w:rsidR="0069621F" w:rsidP="002A4BD8" w:rsidRDefault="0069621F" w14:paraId="29793CB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580DD4" w:rsidTr="00450F63" w14:paraId="37A6D21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580DD4" w:rsidP="00450F63" w:rsidRDefault="00580DD4" w14:paraId="1914BE31" w14:textId="77777777">
            <w:pPr>
              <w:pStyle w:val="Lijstalinea"/>
              <w:numPr>
                <w:ilvl w:val="0"/>
                <w:numId w:val="10"/>
              </w:numPr>
              <w:spacing w:after="240"/>
              <w:ind w:left="312"/>
              <w:rPr>
                <w:color w:val="595959" w:themeColor="text1" w:themeTint="A6"/>
                <w:szCs w:val="18"/>
              </w:rPr>
            </w:pPr>
          </w:p>
        </w:tc>
        <w:tc>
          <w:tcPr>
            <w:tcW w:w="1035" w:type="dxa"/>
          </w:tcPr>
          <w:p w:rsidRPr="003C6001" w:rsidR="00580DD4" w:rsidP="00450F63" w:rsidRDefault="00580DD4" w14:paraId="4BD10E5B" w14:textId="77777777">
            <w:pPr>
              <w:spacing w:after="240"/>
              <w:rPr>
                <w:color w:val="595959" w:themeColor="text1" w:themeTint="A6"/>
                <w:szCs w:val="18"/>
              </w:rPr>
            </w:pPr>
            <w:r w:rsidRPr="003C6001">
              <w:rPr>
                <w:color w:val="595959" w:themeColor="text1" w:themeTint="A6"/>
                <w:szCs w:val="18"/>
              </w:rPr>
              <w:t>Titel</w:t>
            </w:r>
          </w:p>
        </w:tc>
        <w:tc>
          <w:tcPr>
            <w:tcW w:w="6529" w:type="dxa"/>
          </w:tcPr>
          <w:p w:rsidRPr="003C6001" w:rsidR="00580DD4" w:rsidP="00450F63" w:rsidRDefault="00580DD4" w14:paraId="30FB66E3" w14:textId="637E770A">
            <w:pPr>
              <w:spacing w:after="240"/>
              <w:rPr>
                <w:b/>
                <w:color w:val="595959" w:themeColor="text1" w:themeTint="A6"/>
                <w:szCs w:val="18"/>
                <w:lang w:val="en-GB"/>
              </w:rPr>
            </w:pPr>
            <w:r w:rsidRPr="003C6001">
              <w:rPr>
                <w:rFonts w:cs="Calibri"/>
                <w:lang w:val="en-US"/>
              </w:rPr>
              <w:t xml:space="preserve">Proposal for a COUNCIL DIRECTIVE on ensuring a global minimum level of taxation for multinational groups in the Union </w:t>
            </w:r>
            <w:hyperlink w:history="1" r:id="rId16">
              <w:r w:rsidRPr="003C6001">
                <w:rPr>
                  <w:rStyle w:val="Hyperlink"/>
                  <w:rFonts w:cs="Calibri"/>
                  <w:lang w:val="en-US"/>
                </w:rPr>
                <w:t>COM (2021) 823</w:t>
              </w:r>
            </w:hyperlink>
          </w:p>
        </w:tc>
      </w:tr>
      <w:tr w:rsidRPr="00DE7D47" w:rsidR="002C5503" w:rsidTr="00450F63" w14:paraId="2988293B"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2C5503" w:rsidP="002C5503" w:rsidRDefault="002C5503" w14:paraId="15D62B46" w14:textId="77777777">
            <w:pPr>
              <w:spacing w:after="240"/>
              <w:rPr>
                <w:szCs w:val="18"/>
                <w:lang w:val="en-GB"/>
              </w:rPr>
            </w:pPr>
          </w:p>
        </w:tc>
        <w:tc>
          <w:tcPr>
            <w:tcW w:w="1035" w:type="dxa"/>
          </w:tcPr>
          <w:p w:rsidRPr="003C6001" w:rsidR="002C5503" w:rsidP="002C5503" w:rsidRDefault="002C5503" w14:paraId="5446E662" w14:textId="77777777">
            <w:pPr>
              <w:spacing w:after="240"/>
              <w:rPr>
                <w:szCs w:val="18"/>
              </w:rPr>
            </w:pPr>
            <w:r w:rsidRPr="003C6001">
              <w:rPr>
                <w:szCs w:val="18"/>
              </w:rPr>
              <w:t>Voorstel</w:t>
            </w:r>
          </w:p>
        </w:tc>
        <w:tc>
          <w:tcPr>
            <w:tcW w:w="6529" w:type="dxa"/>
          </w:tcPr>
          <w:p w:rsidRPr="003C6001" w:rsidR="002C5503" w:rsidP="002C5503" w:rsidRDefault="003C6001" w14:paraId="3F012228" w14:textId="7E3B79FF">
            <w:pPr>
              <w:spacing w:after="240"/>
              <w:rPr>
                <w:i/>
                <w:szCs w:val="18"/>
              </w:rPr>
            </w:pPr>
            <w:r w:rsidRPr="003C6001">
              <w:rPr>
                <w:szCs w:val="18"/>
              </w:rPr>
              <w:t>Kabinetsappreciatie afwachten en vervolgens agenderen voor een schriftelijk overleg (conform reguliere werkwijze)</w:t>
            </w:r>
            <w:r>
              <w:rPr>
                <w:szCs w:val="18"/>
              </w:rPr>
              <w:t xml:space="preserve"> (</w:t>
            </w:r>
            <w:r>
              <w:rPr>
                <w:i/>
                <w:szCs w:val="18"/>
              </w:rPr>
              <w:t>Indien het voorstel prioritair wordt verklaard tijdens de procedurevergadering van 12 januari aanstaande, zal in een aparte stafnotitie een nader behandelvoorstel volgen)</w:t>
            </w:r>
          </w:p>
        </w:tc>
      </w:tr>
      <w:tr w:rsidRPr="00DE7D47" w:rsidR="002C5503" w:rsidTr="00450F63" w14:paraId="0F83043E"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C5503" w:rsidP="002C5503" w:rsidRDefault="002C5503" w14:paraId="67A287F6" w14:textId="77777777">
            <w:pPr>
              <w:spacing w:after="240"/>
              <w:rPr>
                <w:color w:val="595959" w:themeColor="text1" w:themeTint="A6"/>
                <w:szCs w:val="18"/>
              </w:rPr>
            </w:pPr>
          </w:p>
        </w:tc>
        <w:tc>
          <w:tcPr>
            <w:tcW w:w="1035" w:type="dxa"/>
          </w:tcPr>
          <w:p w:rsidRPr="003C6001" w:rsidR="002C5503" w:rsidP="002C5503" w:rsidRDefault="002C5503" w14:paraId="6146C5CD" w14:textId="77777777">
            <w:pPr>
              <w:spacing w:after="240"/>
              <w:rPr>
                <w:color w:val="595959" w:themeColor="text1" w:themeTint="A6"/>
                <w:szCs w:val="18"/>
              </w:rPr>
            </w:pPr>
            <w:r w:rsidRPr="003C6001">
              <w:rPr>
                <w:color w:val="595959" w:themeColor="text1" w:themeTint="A6"/>
                <w:szCs w:val="18"/>
              </w:rPr>
              <w:t>Noot</w:t>
            </w:r>
          </w:p>
        </w:tc>
        <w:tc>
          <w:tcPr>
            <w:tcW w:w="6529" w:type="dxa"/>
          </w:tcPr>
          <w:p w:rsidRPr="003C6001" w:rsidR="002C5503" w:rsidP="003C6001" w:rsidRDefault="003C6001" w14:paraId="731F36B7" w14:textId="3988FD3D">
            <w:pPr>
              <w:spacing w:after="240"/>
              <w:rPr>
                <w:color w:val="595959" w:themeColor="text1" w:themeTint="A6"/>
                <w:szCs w:val="18"/>
              </w:rPr>
            </w:pPr>
            <w:r w:rsidRPr="003C6001">
              <w:rPr>
                <w:color w:val="595959" w:themeColor="text1" w:themeTint="A6"/>
                <w:szCs w:val="18"/>
              </w:rPr>
              <w:t>Om tot een snelle omzetting van de OESO deal te komen heeft de Europese Commissie dit voorstel gepubliceerd voor een richtlijn die voorziet in een minimaal effectief belastingtarief voor de mondiale activiteiten van multinationals. Het voorstel zet uiteen hoe het belastingtarief van 15% in de praktijk binnen de EU zal worden toegepast. Zo bevat het voorstel gemeenschappelijke regels voor de berekening van dit belastingtarief.</w:t>
            </w:r>
          </w:p>
        </w:tc>
      </w:tr>
    </w:tbl>
    <w:p w:rsidR="002A4BD8" w:rsidP="002A4BD8" w:rsidRDefault="002A4BD8" w14:paraId="416B2070" w14:textId="7598CD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580DD4" w:rsidTr="00450F63" w14:paraId="19F0467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580DD4" w:rsidP="00450F63" w:rsidRDefault="00580DD4" w14:paraId="737F2282" w14:textId="77777777">
            <w:pPr>
              <w:pStyle w:val="Lijstalinea"/>
              <w:numPr>
                <w:ilvl w:val="0"/>
                <w:numId w:val="10"/>
              </w:numPr>
              <w:spacing w:after="240"/>
              <w:ind w:left="312"/>
              <w:rPr>
                <w:color w:val="595959" w:themeColor="text1" w:themeTint="A6"/>
                <w:szCs w:val="18"/>
              </w:rPr>
            </w:pPr>
          </w:p>
        </w:tc>
        <w:tc>
          <w:tcPr>
            <w:tcW w:w="1035" w:type="dxa"/>
          </w:tcPr>
          <w:p w:rsidRPr="00DE7D47" w:rsidR="00580DD4" w:rsidP="00450F63" w:rsidRDefault="00580DD4" w14:paraId="6F5BD7F9"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580DD4" w:rsidR="00580DD4" w:rsidP="00450F63" w:rsidRDefault="00580DD4" w14:paraId="31796A50" w14:textId="01EAFB4E">
            <w:pPr>
              <w:spacing w:after="240"/>
              <w:rPr>
                <w:b/>
                <w:color w:val="595959" w:themeColor="text1" w:themeTint="A6"/>
                <w:szCs w:val="18"/>
                <w:lang w:val="en-GB"/>
              </w:rPr>
            </w:pPr>
            <w:r w:rsidRPr="00580DD4">
              <w:rPr>
                <w:rFonts w:cs="Calibri"/>
                <w:lang w:val="en-US"/>
              </w:rPr>
              <w:t xml:space="preserve">Proposal for a COUNCIL DIRECTIVE laying down rules to prevent the misuse of shell entities for tax purposes and amending Directive 2011/16/EU </w:t>
            </w:r>
            <w:hyperlink w:history="1" r:id="rId17">
              <w:r w:rsidRPr="00580DD4">
                <w:rPr>
                  <w:rStyle w:val="Hyperlink"/>
                  <w:rFonts w:cs="Calibri"/>
                  <w:lang w:val="en-US"/>
                </w:rPr>
                <w:t>COM (2021) 565</w:t>
              </w:r>
            </w:hyperlink>
          </w:p>
        </w:tc>
      </w:tr>
      <w:tr w:rsidRPr="00DE7D47" w:rsidR="00580DD4" w:rsidTr="00450F63" w14:paraId="5B22DF83"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580DD4" w:rsidP="00450F63" w:rsidRDefault="00580DD4" w14:paraId="31CC4768" w14:textId="77777777">
            <w:pPr>
              <w:spacing w:after="240"/>
              <w:rPr>
                <w:szCs w:val="18"/>
                <w:lang w:val="en-GB"/>
              </w:rPr>
            </w:pPr>
          </w:p>
        </w:tc>
        <w:tc>
          <w:tcPr>
            <w:tcW w:w="1035" w:type="dxa"/>
          </w:tcPr>
          <w:p w:rsidRPr="00DE7D47" w:rsidR="00580DD4" w:rsidP="00450F63" w:rsidRDefault="00580DD4" w14:paraId="04DC2425" w14:textId="77777777">
            <w:pPr>
              <w:spacing w:after="240"/>
              <w:rPr>
                <w:szCs w:val="18"/>
              </w:rPr>
            </w:pPr>
            <w:r w:rsidRPr="00DE7D47">
              <w:rPr>
                <w:szCs w:val="18"/>
              </w:rPr>
              <w:t>Voorstel</w:t>
            </w:r>
          </w:p>
        </w:tc>
        <w:tc>
          <w:tcPr>
            <w:tcW w:w="6529" w:type="dxa"/>
          </w:tcPr>
          <w:p w:rsidRPr="00DE7D47" w:rsidR="00580DD4" w:rsidP="00450F63" w:rsidRDefault="003B6828" w14:paraId="0C635E3C" w14:textId="02E636B6">
            <w:pPr>
              <w:spacing w:after="240"/>
              <w:rPr>
                <w:szCs w:val="18"/>
              </w:rPr>
            </w:pPr>
            <w:r>
              <w:rPr>
                <w:szCs w:val="18"/>
              </w:rPr>
              <w:t>Kabinetsappreciatie afwachten en vervolgens agenderen voor een schriftelijk overleg (conform reguliere werkwijze)</w:t>
            </w:r>
          </w:p>
        </w:tc>
      </w:tr>
      <w:tr w:rsidRPr="00DE7D47" w:rsidR="00580DD4" w:rsidTr="00450F63" w14:paraId="013FC397"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580DD4" w:rsidP="00450F63" w:rsidRDefault="00580DD4" w14:paraId="63E59BE0" w14:textId="77777777">
            <w:pPr>
              <w:spacing w:after="240"/>
              <w:rPr>
                <w:color w:val="595959" w:themeColor="text1" w:themeTint="A6"/>
                <w:szCs w:val="18"/>
              </w:rPr>
            </w:pPr>
          </w:p>
        </w:tc>
        <w:tc>
          <w:tcPr>
            <w:tcW w:w="1035" w:type="dxa"/>
          </w:tcPr>
          <w:p w:rsidRPr="00DE7D47" w:rsidR="00580DD4" w:rsidP="00450F63" w:rsidRDefault="00580DD4" w14:paraId="7A99C0CE"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580DD4" w:rsidP="00450F63" w:rsidRDefault="003B6828" w14:paraId="77869645" w14:textId="04DA1432">
            <w:pPr>
              <w:spacing w:after="240"/>
              <w:rPr>
                <w:color w:val="595959" w:themeColor="text1" w:themeTint="A6"/>
                <w:szCs w:val="18"/>
              </w:rPr>
            </w:pPr>
            <w:r>
              <w:rPr>
                <w:color w:val="595959" w:themeColor="text1" w:themeTint="A6"/>
                <w:szCs w:val="18"/>
              </w:rPr>
              <w:t>Met dit voorstel wil de Commissie</w:t>
            </w:r>
            <w:r w:rsidRPr="003B6828">
              <w:rPr>
                <w:color w:val="595959" w:themeColor="text1" w:themeTint="A6"/>
                <w:szCs w:val="18"/>
              </w:rPr>
              <w:t xml:space="preserve"> misbruik van lege entiteiten voor one</w:t>
            </w:r>
            <w:r>
              <w:rPr>
                <w:color w:val="595959" w:themeColor="text1" w:themeTint="A6"/>
                <w:szCs w:val="18"/>
              </w:rPr>
              <w:t>igenlijke belastingdoeleinden</w:t>
            </w:r>
            <w:r w:rsidRPr="003B6828">
              <w:rPr>
                <w:color w:val="595959" w:themeColor="text1" w:themeTint="A6"/>
                <w:szCs w:val="18"/>
              </w:rPr>
              <w:t xml:space="preserve"> bestrijden.</w:t>
            </w:r>
            <w:r w:rsidR="00623594">
              <w:rPr>
                <w:color w:val="595959" w:themeColor="text1" w:themeTint="A6"/>
                <w:szCs w:val="18"/>
              </w:rPr>
              <w:t xml:space="preserve"> Het voorstel moet ervoor zorgen dat entiteiten in de EU die geen of minimale economische activiteiten ontplooien</w:t>
            </w:r>
            <w:r w:rsidRPr="00623594" w:rsidR="00623594">
              <w:rPr>
                <w:color w:val="595959" w:themeColor="text1" w:themeTint="A6"/>
                <w:szCs w:val="18"/>
              </w:rPr>
              <w:t xml:space="preserve"> niet in aanmerking komen voor belastingvoordelen en geen financiële lasten voor de belastingbetaler met zich meebrengen</w:t>
            </w:r>
            <w:r w:rsidR="00623594">
              <w:rPr>
                <w:color w:val="595959" w:themeColor="text1" w:themeTint="A6"/>
                <w:szCs w:val="18"/>
              </w:rPr>
              <w:t>.</w:t>
            </w:r>
          </w:p>
        </w:tc>
      </w:tr>
    </w:tbl>
    <w:p w:rsidR="00580DD4" w:rsidP="002A4BD8" w:rsidRDefault="00580DD4" w14:paraId="02046376" w14:textId="2CC10C1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3B6828" w:rsidTr="00450F63" w14:paraId="26020B7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3B6828" w:rsidP="00450F63" w:rsidRDefault="003B6828" w14:paraId="0E6F1A8C" w14:textId="77777777">
            <w:pPr>
              <w:pStyle w:val="Lijstalinea"/>
              <w:numPr>
                <w:ilvl w:val="0"/>
                <w:numId w:val="10"/>
              </w:numPr>
              <w:spacing w:after="240"/>
              <w:ind w:left="312"/>
              <w:rPr>
                <w:color w:val="595959" w:themeColor="text1" w:themeTint="A6"/>
                <w:szCs w:val="18"/>
              </w:rPr>
            </w:pPr>
          </w:p>
        </w:tc>
        <w:tc>
          <w:tcPr>
            <w:tcW w:w="1035" w:type="dxa"/>
          </w:tcPr>
          <w:p w:rsidRPr="00DE7D47" w:rsidR="003B6828" w:rsidP="00450F63" w:rsidRDefault="003B6828" w14:paraId="575A23B5"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367047" w:rsidR="003B6828" w:rsidP="003B6828" w:rsidRDefault="003B6828" w14:paraId="3818AF18" w14:textId="0534360F">
            <w:pPr>
              <w:spacing w:after="240"/>
              <w:rPr>
                <w:b/>
                <w:color w:val="595959" w:themeColor="text1" w:themeTint="A6"/>
                <w:szCs w:val="18"/>
                <w:lang w:val="en-GB"/>
              </w:rPr>
            </w:pPr>
            <w:r w:rsidRPr="003C6001">
              <w:rPr>
                <w:rFonts w:cs="Calibri"/>
                <w:lang w:val="en-GB"/>
              </w:rPr>
              <w:t xml:space="preserve">Proposal for a COUNCIL REGULATION amending Regulation (EU, </w:t>
            </w:r>
            <w:proofErr w:type="spellStart"/>
            <w:r w:rsidRPr="003C6001">
              <w:rPr>
                <w:rFonts w:cs="Calibri"/>
                <w:lang w:val="en-GB"/>
              </w:rPr>
              <w:t>Euratom</w:t>
            </w:r>
            <w:proofErr w:type="spellEnd"/>
            <w:r w:rsidRPr="003C6001">
              <w:rPr>
                <w:rFonts w:cs="Calibri"/>
                <w:lang w:val="en-GB"/>
              </w:rPr>
              <w:t xml:space="preserve">) 2020/2093 laying down the multiannual financial </w:t>
            </w:r>
            <w:proofErr w:type="spellStart"/>
            <w:r w:rsidRPr="003C6001">
              <w:rPr>
                <w:rFonts w:cs="Calibri"/>
                <w:lang w:val="en-GB"/>
              </w:rPr>
              <w:t>fr</w:t>
            </w:r>
            <w:r w:rsidRPr="00367047">
              <w:rPr>
                <w:rFonts w:cs="Calibri"/>
                <w:lang w:val="en-US"/>
              </w:rPr>
              <w:t>amework</w:t>
            </w:r>
            <w:proofErr w:type="spellEnd"/>
            <w:r w:rsidRPr="00367047">
              <w:rPr>
                <w:rFonts w:cs="Calibri"/>
                <w:lang w:val="en-US"/>
              </w:rPr>
              <w:t xml:space="preserve"> for the years 2021 to 2027 </w:t>
            </w:r>
            <w:hyperlink w:history="1" r:id="rId18">
              <w:r w:rsidRPr="00367047">
                <w:rPr>
                  <w:rStyle w:val="Hyperlink"/>
                  <w:rFonts w:cs="Calibri"/>
                  <w:lang w:val="en-US"/>
                </w:rPr>
                <w:t>COM (2021) 569</w:t>
              </w:r>
            </w:hyperlink>
          </w:p>
        </w:tc>
      </w:tr>
      <w:tr w:rsidRPr="00DE7D47" w:rsidR="003B6828" w:rsidTr="00450F63" w14:paraId="6539D798"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3B6828" w:rsidP="00450F63" w:rsidRDefault="003B6828" w14:paraId="377F2668" w14:textId="77777777">
            <w:pPr>
              <w:spacing w:after="240"/>
              <w:rPr>
                <w:szCs w:val="18"/>
                <w:lang w:val="en-GB"/>
              </w:rPr>
            </w:pPr>
          </w:p>
        </w:tc>
        <w:tc>
          <w:tcPr>
            <w:tcW w:w="1035" w:type="dxa"/>
          </w:tcPr>
          <w:p w:rsidRPr="00DE7D47" w:rsidR="003B6828" w:rsidP="00450F63" w:rsidRDefault="003B6828" w14:paraId="23F12A84" w14:textId="77777777">
            <w:pPr>
              <w:spacing w:after="240"/>
              <w:rPr>
                <w:szCs w:val="18"/>
              </w:rPr>
            </w:pPr>
            <w:r w:rsidRPr="00DE7D47">
              <w:rPr>
                <w:szCs w:val="18"/>
              </w:rPr>
              <w:t>Voorstel</w:t>
            </w:r>
          </w:p>
        </w:tc>
        <w:tc>
          <w:tcPr>
            <w:tcW w:w="6529" w:type="dxa"/>
          </w:tcPr>
          <w:p w:rsidRPr="00DE7D47" w:rsidR="003B6828" w:rsidP="00450F63" w:rsidRDefault="003B6828" w14:paraId="75F8CF69" w14:textId="511C1A14">
            <w:pPr>
              <w:spacing w:after="240"/>
              <w:rPr>
                <w:szCs w:val="18"/>
              </w:rPr>
            </w:pPr>
            <w:r>
              <w:rPr>
                <w:i/>
                <w:szCs w:val="18"/>
              </w:rPr>
              <w:t>Behandelvoorstel volgt in een separate stafnotitie over de EU voorstellen betreffend nieuwe eigen middelen.</w:t>
            </w:r>
          </w:p>
        </w:tc>
      </w:tr>
      <w:tr w:rsidRPr="00DE7D47" w:rsidR="003B6828" w:rsidTr="00450F63" w14:paraId="55013588"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3B6828" w:rsidP="00450F63" w:rsidRDefault="003B6828" w14:paraId="7710C426" w14:textId="77777777">
            <w:pPr>
              <w:spacing w:after="240"/>
              <w:rPr>
                <w:color w:val="595959" w:themeColor="text1" w:themeTint="A6"/>
                <w:szCs w:val="18"/>
              </w:rPr>
            </w:pPr>
          </w:p>
        </w:tc>
        <w:tc>
          <w:tcPr>
            <w:tcW w:w="1035" w:type="dxa"/>
          </w:tcPr>
          <w:p w:rsidRPr="00DE7D47" w:rsidR="003B6828" w:rsidP="00450F63" w:rsidRDefault="003B6828" w14:paraId="5941CF27"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3B6828" w:rsidP="00450F63" w:rsidRDefault="003B6828" w14:paraId="4CB4F3FE" w14:textId="1A320C3C">
            <w:pPr>
              <w:spacing w:after="240"/>
              <w:rPr>
                <w:color w:val="595959" w:themeColor="text1" w:themeTint="A6"/>
                <w:szCs w:val="18"/>
              </w:rPr>
            </w:pPr>
            <w:r>
              <w:rPr>
                <w:color w:val="595959" w:themeColor="text1" w:themeTint="A6"/>
                <w:szCs w:val="18"/>
              </w:rPr>
              <w:t>Nadere toelichting volgt in een separate stafnotitie</w:t>
            </w:r>
            <w:r w:rsidR="00D561FE">
              <w:rPr>
                <w:color w:val="595959" w:themeColor="text1" w:themeTint="A6"/>
                <w:szCs w:val="18"/>
              </w:rPr>
              <w:t>, die wordt geagendeerd voor bespreking in de procedurevergadering van 26 januari 2022.</w:t>
            </w:r>
          </w:p>
        </w:tc>
      </w:tr>
    </w:tbl>
    <w:p w:rsidR="003B6828" w:rsidP="002A4BD8" w:rsidRDefault="003B6828" w14:paraId="04F9551A" w14:textId="7A8AA44F">
      <w:pPr>
        <w:rPr>
          <w:szCs w:val="18"/>
        </w:rPr>
      </w:pPr>
    </w:p>
    <w:p w:rsidR="003C6001" w:rsidP="002A4BD8" w:rsidRDefault="003C6001" w14:paraId="33CE61C3" w14:textId="77777777">
      <w:pPr>
        <w:rPr>
          <w:szCs w:val="18"/>
        </w:rPr>
      </w:pPr>
    </w:p>
    <w:p w:rsidR="00580DD4" w:rsidP="002A4BD8" w:rsidRDefault="00580DD4" w14:paraId="584905E8" w14:textId="7A3CA978">
      <w:pPr>
        <w:rPr>
          <w:szCs w:val="18"/>
        </w:rPr>
      </w:pPr>
    </w:p>
    <w:p w:rsidR="00D561FE" w:rsidP="002A4BD8" w:rsidRDefault="00D561FE" w14:paraId="043E5FAD" w14:textId="0E970C32">
      <w:pPr>
        <w:rPr>
          <w:szCs w:val="18"/>
        </w:rPr>
      </w:pPr>
    </w:p>
    <w:p w:rsidRPr="00DE7D47" w:rsidR="00D561FE" w:rsidP="002A4BD8" w:rsidRDefault="00D561FE" w14:paraId="53BBA072" w14:textId="77777777">
      <w:pPr>
        <w:rPr>
          <w:szCs w:val="18"/>
        </w:rPr>
      </w:pPr>
    </w:p>
    <w:p w:rsidRPr="00DE7D47" w:rsidR="00820149" w:rsidP="00820149" w:rsidRDefault="00D27FE7" w14:paraId="56C0CBEE" w14:textId="2B17A68E">
      <w:pPr>
        <w:pStyle w:val="Lijstalinea"/>
        <w:numPr>
          <w:ilvl w:val="0"/>
          <w:numId w:val="2"/>
        </w:numPr>
        <w:rPr>
          <w:b/>
          <w:szCs w:val="18"/>
        </w:rPr>
      </w:pPr>
      <w:r w:rsidRPr="00DE7D47">
        <w:rPr>
          <w:b/>
          <w:szCs w:val="18"/>
        </w:rPr>
        <w:lastRenderedPageBreak/>
        <w:t>Nieuwe</w:t>
      </w:r>
      <w:r w:rsidRPr="00DE7D47" w:rsidR="008C43A5">
        <w:rPr>
          <w:b/>
          <w:szCs w:val="18"/>
        </w:rPr>
        <w:t xml:space="preserve"> EU-</w:t>
      </w:r>
      <w:r w:rsidRPr="00DE7D47" w:rsidR="006E2C94">
        <w:rPr>
          <w:b/>
          <w:szCs w:val="18"/>
        </w:rPr>
        <w:t>documenten</w:t>
      </w:r>
      <w:r w:rsidRPr="00DE7D47">
        <w:rPr>
          <w:b/>
          <w:szCs w:val="18"/>
        </w:rPr>
        <w:t xml:space="preserve"> van niet-wetgevende aard </w:t>
      </w:r>
      <w:r w:rsidRPr="00DE7D47" w:rsidR="00E02D08">
        <w:rPr>
          <w:b/>
          <w:szCs w:val="18"/>
        </w:rPr>
        <w:br/>
      </w:r>
      <w:r w:rsidRPr="00DE7D47" w:rsidR="00E02D08">
        <w:rPr>
          <w:szCs w:val="18"/>
        </w:rPr>
        <w:t>(M</w:t>
      </w:r>
      <w:r w:rsidRPr="00DE7D47" w:rsidR="00820149">
        <w:rPr>
          <w:szCs w:val="18"/>
        </w:rPr>
        <w:t>edede</w:t>
      </w:r>
      <w:r w:rsidRPr="00DE7D47">
        <w:rPr>
          <w:szCs w:val="18"/>
        </w:rPr>
        <w:t>lingen, aanbevelingen, actieplannen, consultaties, etc.</w:t>
      </w:r>
      <w:r w:rsidRPr="00DE7D47" w:rsidR="00E02D08">
        <w:rPr>
          <w:szCs w:val="18"/>
        </w:rPr>
        <w:t>)</w:t>
      </w:r>
    </w:p>
    <w:p w:rsidRPr="00DE7D47" w:rsidR="00820149" w:rsidP="00970CA0" w:rsidRDefault="00820149" w14:paraId="3F06741A" w14:textId="77777777">
      <w:pPr>
        <w:rPr>
          <w:szCs w:val="18"/>
        </w:rPr>
      </w:pPr>
    </w:p>
    <w:p w:rsidRPr="00DE7D47"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0AC39600"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286713" w:rsidR="003A69A5" w:rsidP="003A69A5" w:rsidRDefault="00286713" w14:paraId="5C37886A" w14:textId="371E1E75">
            <w:pPr>
              <w:rPr>
                <w:color w:val="000000"/>
                <w:szCs w:val="18"/>
                <w:lang w:val="en-GB" w:eastAsia="nl-NL"/>
              </w:rPr>
            </w:pPr>
            <w:r w:rsidRPr="00580DD4">
              <w:rPr>
                <w:rFonts w:cs="Calibri"/>
                <w:lang w:val="en-GB"/>
              </w:rPr>
              <w:t>CO</w:t>
            </w:r>
            <w:r w:rsidRPr="00286713">
              <w:rPr>
                <w:rFonts w:cs="Calibri"/>
                <w:lang w:val="en-US"/>
              </w:rPr>
              <w:t xml:space="preserve">MMUNICATION FROM THE COMMISSION TO THE EUROPEAN PARLIAMENT, THE COUNCIL, THE EUROPEAN ECONOMIC AND SOCIAL COMMITTEE AND THE COMMITTEE OF THE REGIONS Strategy on supervisory data in EU financial services </w:t>
            </w:r>
            <w:hyperlink w:history="1" r:id="rId19">
              <w:r w:rsidRPr="00286713">
                <w:rPr>
                  <w:rStyle w:val="Hyperlink"/>
                  <w:rFonts w:cs="Calibri"/>
                  <w:lang w:val="en-US"/>
                </w:rPr>
                <w:t>COM (2021) 798</w:t>
              </w:r>
            </w:hyperlink>
          </w:p>
          <w:p w:rsidRPr="00286713" w:rsidR="002A4BD8" w:rsidP="003A21AA" w:rsidRDefault="002A4BD8" w14:paraId="0C5E3C92" w14:textId="795DCC3D">
            <w:pPr>
              <w:spacing w:after="240"/>
              <w:rPr>
                <w:b/>
                <w:color w:val="595959" w:themeColor="text1" w:themeTint="A6"/>
                <w:szCs w:val="18"/>
                <w:lang w:val="en-GB"/>
              </w:rPr>
            </w:pPr>
          </w:p>
        </w:tc>
      </w:tr>
      <w:tr w:rsidRPr="00DE7D47"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286713" w:rsidR="002A4BD8" w:rsidP="003A21AA" w:rsidRDefault="002A4BD8" w14:paraId="230BAF7C" w14:textId="77777777">
            <w:pPr>
              <w:spacing w:after="240"/>
              <w:rPr>
                <w:szCs w:val="18"/>
                <w:lang w:val="en-GB"/>
              </w:rPr>
            </w:pPr>
          </w:p>
        </w:tc>
        <w:tc>
          <w:tcPr>
            <w:tcW w:w="1035" w:type="dxa"/>
          </w:tcPr>
          <w:p w:rsidRPr="00DE7D47" w:rsidR="002A4BD8" w:rsidP="003A21AA" w:rsidRDefault="002A4BD8" w14:paraId="1257E0FF" w14:textId="77777777">
            <w:pPr>
              <w:spacing w:after="240"/>
              <w:rPr>
                <w:szCs w:val="18"/>
              </w:rPr>
            </w:pPr>
            <w:r w:rsidRPr="00DE7D47">
              <w:rPr>
                <w:szCs w:val="18"/>
              </w:rPr>
              <w:t>Voorstel</w:t>
            </w:r>
          </w:p>
        </w:tc>
        <w:tc>
          <w:tcPr>
            <w:tcW w:w="6529" w:type="dxa"/>
          </w:tcPr>
          <w:p w:rsidRPr="00DE7D47" w:rsidR="002A4BD8" w:rsidP="00A6534D" w:rsidRDefault="008271D3" w14:paraId="505F4BE9" w14:textId="465D131A">
            <w:pPr>
              <w:spacing w:after="240"/>
              <w:rPr>
                <w:szCs w:val="18"/>
              </w:rPr>
            </w:pPr>
            <w:r>
              <w:rPr>
                <w:szCs w:val="18"/>
              </w:rPr>
              <w:t>K</w:t>
            </w:r>
            <w:r w:rsidR="00F23506">
              <w:rPr>
                <w:szCs w:val="18"/>
              </w:rPr>
              <w:t>abinetsappreciatie</w:t>
            </w:r>
            <w:r>
              <w:rPr>
                <w:szCs w:val="18"/>
              </w:rPr>
              <w:t xml:space="preserve"> afwachten</w:t>
            </w:r>
            <w:r w:rsidR="00F23506">
              <w:rPr>
                <w:szCs w:val="18"/>
              </w:rPr>
              <w:t xml:space="preserve"> en vervolgens agenderen voor een schriftelijk overleg (conform reguliere werkwijze)</w:t>
            </w:r>
          </w:p>
        </w:tc>
      </w:tr>
      <w:tr w:rsidRPr="00DE7D47"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7D9A1404" w14:textId="77777777">
            <w:pPr>
              <w:spacing w:after="240"/>
              <w:rPr>
                <w:color w:val="595959" w:themeColor="text1" w:themeTint="A6"/>
                <w:szCs w:val="18"/>
              </w:rPr>
            </w:pPr>
          </w:p>
        </w:tc>
        <w:tc>
          <w:tcPr>
            <w:tcW w:w="1035" w:type="dxa"/>
          </w:tcPr>
          <w:p w:rsidRPr="00DE7D47" w:rsidR="002A4BD8" w:rsidP="003A21AA" w:rsidRDefault="002A4BD8" w14:paraId="1AFEDB1C"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F23506" w:rsidP="00FA5FA4" w:rsidRDefault="007C6569" w14:paraId="3E288C2D" w14:textId="4FB66DBC">
            <w:pPr>
              <w:spacing w:after="240"/>
              <w:rPr>
                <w:color w:val="595959" w:themeColor="text1" w:themeTint="A6"/>
                <w:szCs w:val="18"/>
              </w:rPr>
            </w:pPr>
            <w:r>
              <w:rPr>
                <w:color w:val="595959" w:themeColor="text1" w:themeTint="A6"/>
                <w:szCs w:val="18"/>
              </w:rPr>
              <w:t xml:space="preserve">Het betreft een nieuwe strategie om de financiële rapportage aan de toezichthouders in de EU te verbeteren en te moderniseren. </w:t>
            </w:r>
            <w:r w:rsidRPr="00F23506" w:rsidR="00F23506">
              <w:rPr>
                <w:color w:val="595959" w:themeColor="text1" w:themeTint="A6"/>
                <w:szCs w:val="18"/>
              </w:rPr>
              <w:t>De belangrijkste doelstelling van de strategie is het opzetten van een systeem dat de toezichthoudende autoriteiten op EU- en nationaal niveau nauwkeurige, consistente en tijdige gegevens verstrekt en tegelijkertijd de totale rapportagelast voor financiële instellingen tot een minimum beperkt.</w:t>
            </w:r>
            <w:r w:rsidR="00F23506">
              <w:rPr>
                <w:color w:val="595959" w:themeColor="text1" w:themeTint="A6"/>
                <w:szCs w:val="18"/>
              </w:rPr>
              <w:t xml:space="preserve"> De strategie omvat vier bouwstenen: 1) zorgen voor consistente en gestandaardiseerde gegevens, 2)</w:t>
            </w:r>
            <w:r w:rsidR="00F23506">
              <w:t xml:space="preserve"> </w:t>
            </w:r>
            <w:r w:rsidR="00F23506">
              <w:rPr>
                <w:color w:val="595959" w:themeColor="text1" w:themeTint="A6"/>
                <w:szCs w:val="18"/>
              </w:rPr>
              <w:t>e</w:t>
            </w:r>
            <w:r w:rsidRPr="00F23506" w:rsidR="00F23506">
              <w:rPr>
                <w:color w:val="595959" w:themeColor="text1" w:themeTint="A6"/>
                <w:szCs w:val="18"/>
              </w:rPr>
              <w:t>rvoor zorgen dat gerapporteerde gegevens gemakkelijker kunnen worden gedeeld en hergebruikt</w:t>
            </w:r>
            <w:r w:rsidR="00F23506">
              <w:rPr>
                <w:color w:val="595959" w:themeColor="text1" w:themeTint="A6"/>
                <w:szCs w:val="18"/>
              </w:rPr>
              <w:t>, 3)</w:t>
            </w:r>
            <w:r w:rsidR="00F23506">
              <w:t xml:space="preserve"> </w:t>
            </w:r>
            <w:r w:rsidR="00FA5FA4">
              <w:rPr>
                <w:color w:val="595959" w:themeColor="text1" w:themeTint="A6"/>
                <w:szCs w:val="18"/>
              </w:rPr>
              <w:t>he</w:t>
            </w:r>
            <w:r w:rsidRPr="00F23506" w:rsidR="00F23506">
              <w:rPr>
                <w:color w:val="595959" w:themeColor="text1" w:themeTint="A6"/>
                <w:szCs w:val="18"/>
              </w:rPr>
              <w:t>t verbeteren van de opzet van rapportagevereisten</w:t>
            </w:r>
            <w:r w:rsidR="00FA5FA4">
              <w:rPr>
                <w:color w:val="595959" w:themeColor="text1" w:themeTint="A6"/>
                <w:szCs w:val="18"/>
              </w:rPr>
              <w:t>, en 4) h</w:t>
            </w:r>
            <w:r w:rsidRPr="00FA5FA4" w:rsidR="00FA5FA4">
              <w:rPr>
                <w:color w:val="595959" w:themeColor="text1" w:themeTint="A6"/>
                <w:szCs w:val="18"/>
              </w:rPr>
              <w:t>et opzetten van gezamenlijke governance</w:t>
            </w:r>
            <w:r w:rsidR="00FA5FA4">
              <w:rPr>
                <w:color w:val="595959" w:themeColor="text1" w:themeTint="A6"/>
                <w:szCs w:val="18"/>
              </w:rPr>
              <w:t xml:space="preserve"> </w:t>
            </w:r>
            <w:r w:rsidRPr="00FA5FA4" w:rsidR="00FA5FA4">
              <w:rPr>
                <w:color w:val="595959" w:themeColor="text1" w:themeTint="A6"/>
                <w:szCs w:val="18"/>
              </w:rPr>
              <w:t>regelingen</w:t>
            </w:r>
            <w:r w:rsidR="00FA5FA4">
              <w:rPr>
                <w:color w:val="595959" w:themeColor="text1" w:themeTint="A6"/>
                <w:szCs w:val="18"/>
              </w:rPr>
              <w:t xml:space="preserve">. </w:t>
            </w:r>
          </w:p>
        </w:tc>
      </w:tr>
    </w:tbl>
    <w:p w:rsidRPr="00DE7D47"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E7D47"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E7D47" w:rsidR="002A4BD8" w:rsidP="003A21AA" w:rsidRDefault="002A4BD8" w14:paraId="50781506"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286713" w:rsidR="002A4BD8" w:rsidP="00286713" w:rsidRDefault="00286713" w14:paraId="29CB7480" w14:textId="35A12D4F">
            <w:pPr>
              <w:shd w:val="clear" w:color="auto" w:fill="FFFFFF"/>
              <w:spacing w:after="75"/>
              <w:rPr>
                <w:b/>
                <w:color w:val="595959" w:themeColor="text1" w:themeTint="A6"/>
                <w:szCs w:val="18"/>
              </w:rPr>
            </w:pPr>
            <w:r w:rsidRPr="00286713">
              <w:rPr>
                <w:rFonts w:cs="Calibri"/>
              </w:rPr>
              <w:t xml:space="preserve">VERSLAG VAN DE COMMISSIE AAN HET EUROPEES PARLEMENT EN DE RAAD Eindevaluatie van Verordening (EU) nr. 250/2014 van het Europees Parlement en de Raad van 26 februari 2014 tot vaststelling van een programma voor de bevordering van acties op het gebied van de bescherming van de financiële belangen van de Europese Unie (programma „Hercules III”) en tot intrekking van Besluit nr. 804/2004/EG </w:t>
            </w:r>
            <w:hyperlink w:history="1" r:id="rId20">
              <w:r w:rsidRPr="00286713">
                <w:rPr>
                  <w:rStyle w:val="Hyperlink"/>
                  <w:rFonts w:cs="Calibri"/>
                </w:rPr>
                <w:t>COM (2021) 809</w:t>
              </w:r>
            </w:hyperlink>
          </w:p>
        </w:tc>
      </w:tr>
      <w:tr w:rsidRPr="00DE7D47"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4862F65F" w14:textId="77777777">
            <w:pPr>
              <w:spacing w:after="240"/>
              <w:rPr>
                <w:szCs w:val="18"/>
              </w:rPr>
            </w:pPr>
          </w:p>
        </w:tc>
        <w:tc>
          <w:tcPr>
            <w:tcW w:w="1035" w:type="dxa"/>
          </w:tcPr>
          <w:p w:rsidRPr="00DE7D47" w:rsidR="002A4BD8" w:rsidP="003A21AA" w:rsidRDefault="002A4BD8" w14:paraId="17927D7F" w14:textId="77777777">
            <w:pPr>
              <w:spacing w:after="240"/>
              <w:rPr>
                <w:szCs w:val="18"/>
              </w:rPr>
            </w:pPr>
            <w:r w:rsidRPr="00DE7D47">
              <w:rPr>
                <w:szCs w:val="18"/>
              </w:rPr>
              <w:t>Voorstel</w:t>
            </w:r>
          </w:p>
        </w:tc>
        <w:tc>
          <w:tcPr>
            <w:tcW w:w="6529" w:type="dxa"/>
          </w:tcPr>
          <w:p w:rsidRPr="00DE7D47" w:rsidR="002A4BD8" w:rsidP="00286713" w:rsidRDefault="00781FC2" w14:paraId="69E52296" w14:textId="5B1402FC">
            <w:pPr>
              <w:spacing w:after="240"/>
              <w:rPr>
                <w:szCs w:val="18"/>
              </w:rPr>
            </w:pPr>
            <w:r>
              <w:rPr>
                <w:szCs w:val="18"/>
              </w:rPr>
              <w:t>Voor kennisgeving aannemen</w:t>
            </w:r>
          </w:p>
        </w:tc>
      </w:tr>
      <w:tr w:rsidRPr="00DE7D47"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A4BD8" w:rsidP="003A21AA" w:rsidRDefault="002A4BD8" w14:paraId="677C0A18" w14:textId="77777777">
            <w:pPr>
              <w:spacing w:after="240"/>
              <w:rPr>
                <w:color w:val="595959" w:themeColor="text1" w:themeTint="A6"/>
                <w:szCs w:val="18"/>
              </w:rPr>
            </w:pPr>
          </w:p>
        </w:tc>
        <w:tc>
          <w:tcPr>
            <w:tcW w:w="1035" w:type="dxa"/>
          </w:tcPr>
          <w:p w:rsidRPr="00DE7D47" w:rsidR="002A4BD8" w:rsidP="003A21AA" w:rsidRDefault="002A4BD8" w14:paraId="1C9C2532"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A4BD8" w:rsidP="00ED7D6E" w:rsidRDefault="00ED7D6E" w14:paraId="2D4BA6EA" w14:textId="087D76FD">
            <w:pPr>
              <w:spacing w:after="240"/>
              <w:rPr>
                <w:color w:val="595959" w:themeColor="text1" w:themeTint="A6"/>
                <w:szCs w:val="18"/>
              </w:rPr>
            </w:pPr>
            <w:r>
              <w:rPr>
                <w:color w:val="595959" w:themeColor="text1" w:themeTint="A6"/>
                <w:szCs w:val="18"/>
              </w:rPr>
              <w:t>Dit betreft een eindevaluatie van het Hercules III programma dat lidstaten steunt b</w:t>
            </w:r>
            <w:r w:rsidRPr="00ED7D6E">
              <w:rPr>
                <w:color w:val="595959" w:themeColor="text1" w:themeTint="A6"/>
                <w:szCs w:val="18"/>
              </w:rPr>
              <w:t xml:space="preserve">ij hun inspanningen om </w:t>
            </w:r>
            <w:r>
              <w:rPr>
                <w:color w:val="595959" w:themeColor="text1" w:themeTint="A6"/>
                <w:szCs w:val="18"/>
              </w:rPr>
              <w:t xml:space="preserve">EU </w:t>
            </w:r>
            <w:r w:rsidRPr="00ED7D6E">
              <w:rPr>
                <w:color w:val="595959" w:themeColor="text1" w:themeTint="A6"/>
                <w:szCs w:val="18"/>
              </w:rPr>
              <w:t>fi</w:t>
            </w:r>
            <w:r>
              <w:rPr>
                <w:color w:val="595959" w:themeColor="text1" w:themeTint="A6"/>
                <w:szCs w:val="18"/>
              </w:rPr>
              <w:t xml:space="preserve">nanciële belangen te beschermen en </w:t>
            </w:r>
            <w:r w:rsidRPr="00ED7D6E">
              <w:rPr>
                <w:color w:val="595959" w:themeColor="text1" w:themeTint="A6"/>
                <w:szCs w:val="18"/>
              </w:rPr>
              <w:t>het voorkomen en bestrijden van fraude, corruptie en andere illegale activiteiten die de financiële belangen van de EU schaden</w:t>
            </w:r>
            <w:r>
              <w:rPr>
                <w:color w:val="595959" w:themeColor="text1" w:themeTint="A6"/>
                <w:szCs w:val="18"/>
              </w:rPr>
              <w:t>. De eindevaluatie is positief over het belang, doeltreffendheid en efficiëntie van het programma. Ook worden enkele uitdagingen genoemd die moeten worden mee</w:t>
            </w:r>
            <w:r w:rsidR="00DF0A73">
              <w:rPr>
                <w:color w:val="595959" w:themeColor="text1" w:themeTint="A6"/>
                <w:szCs w:val="18"/>
              </w:rPr>
              <w:t xml:space="preserve">genomen in het </w:t>
            </w:r>
            <w:r w:rsidRPr="00ED7D6E">
              <w:rPr>
                <w:color w:val="595959" w:themeColor="text1" w:themeTint="A6"/>
                <w:szCs w:val="18"/>
              </w:rPr>
              <w:t>nieuwe fraudebestrijdingsprogramma van de EU (UAFP)</w:t>
            </w:r>
            <w:r>
              <w:rPr>
                <w:color w:val="595959" w:themeColor="text1" w:themeTint="A6"/>
                <w:szCs w:val="18"/>
              </w:rPr>
              <w:t>.</w:t>
            </w:r>
          </w:p>
        </w:tc>
      </w:tr>
    </w:tbl>
    <w:p w:rsidRPr="00DE7D47"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286713" w:rsidTr="003D2A87" w14:paraId="3271A09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286713" w:rsidP="003D2A87" w:rsidRDefault="00286713" w14:paraId="5441654B" w14:textId="77777777">
            <w:pPr>
              <w:pStyle w:val="Lijstalinea"/>
              <w:numPr>
                <w:ilvl w:val="0"/>
                <w:numId w:val="10"/>
              </w:numPr>
              <w:spacing w:after="240"/>
              <w:ind w:left="312"/>
              <w:rPr>
                <w:color w:val="595959" w:themeColor="text1" w:themeTint="A6"/>
                <w:szCs w:val="18"/>
              </w:rPr>
            </w:pPr>
          </w:p>
        </w:tc>
        <w:tc>
          <w:tcPr>
            <w:tcW w:w="1035" w:type="dxa"/>
          </w:tcPr>
          <w:p w:rsidRPr="00DE7D47" w:rsidR="00286713" w:rsidP="003D2A87" w:rsidRDefault="00286713" w14:paraId="6BD7D2B9"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580DD4" w:rsidR="00286713" w:rsidP="003D2A87" w:rsidRDefault="00580DD4" w14:paraId="51BBF34D" w14:textId="632FC9D6">
            <w:pPr>
              <w:shd w:val="clear" w:color="auto" w:fill="FFFFFF"/>
              <w:spacing w:after="75"/>
              <w:rPr>
                <w:b/>
                <w:color w:val="595959" w:themeColor="text1" w:themeTint="A6"/>
                <w:szCs w:val="18"/>
                <w:lang w:val="en-GB"/>
              </w:rPr>
            </w:pPr>
            <w:r w:rsidRPr="00580DD4">
              <w:rPr>
                <w:rFonts w:cs="Calibri"/>
                <w:lang w:val="en-US"/>
              </w:rPr>
              <w:t xml:space="preserve">COMMUNICATION FROM THE COMMISSION TO THE EUROPEAN PARLIAMENT, THE COUNCIL, THE EUROPEAN ECONOMIC AND SOCIAL COMMITTEE AND THE COMMITTEE OF THE REGIONS The next generation of own resources for the EU Budget </w:t>
            </w:r>
            <w:hyperlink w:history="1" r:id="rId21">
              <w:r w:rsidRPr="00580DD4">
                <w:rPr>
                  <w:rStyle w:val="Hyperlink"/>
                  <w:rFonts w:cs="Calibri"/>
                  <w:lang w:val="en-US"/>
                </w:rPr>
                <w:t>COM (2021) 566</w:t>
              </w:r>
            </w:hyperlink>
          </w:p>
        </w:tc>
      </w:tr>
      <w:tr w:rsidRPr="00DE7D47" w:rsidR="002C5503" w:rsidTr="003D2A87" w14:paraId="47680854"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2C5503" w:rsidP="002C5503" w:rsidRDefault="002C5503" w14:paraId="4C2BD0D2" w14:textId="77777777">
            <w:pPr>
              <w:spacing w:after="240"/>
              <w:rPr>
                <w:szCs w:val="18"/>
                <w:lang w:val="en-GB"/>
              </w:rPr>
            </w:pPr>
          </w:p>
        </w:tc>
        <w:tc>
          <w:tcPr>
            <w:tcW w:w="1035" w:type="dxa"/>
          </w:tcPr>
          <w:p w:rsidRPr="00DE7D47" w:rsidR="002C5503" w:rsidP="002C5503" w:rsidRDefault="002C5503" w14:paraId="47F6F90E" w14:textId="77777777">
            <w:pPr>
              <w:spacing w:after="240"/>
              <w:rPr>
                <w:szCs w:val="18"/>
              </w:rPr>
            </w:pPr>
            <w:r w:rsidRPr="00DE7D47">
              <w:rPr>
                <w:szCs w:val="18"/>
              </w:rPr>
              <w:t>Voorstel</w:t>
            </w:r>
          </w:p>
        </w:tc>
        <w:tc>
          <w:tcPr>
            <w:tcW w:w="6529" w:type="dxa"/>
          </w:tcPr>
          <w:p w:rsidRPr="00DE7D47" w:rsidR="002C5503" w:rsidP="002C5503" w:rsidRDefault="002C5503" w14:paraId="68BD7616" w14:textId="72E1A24D">
            <w:pPr>
              <w:spacing w:after="240"/>
              <w:rPr>
                <w:szCs w:val="18"/>
              </w:rPr>
            </w:pPr>
            <w:r>
              <w:rPr>
                <w:i/>
                <w:szCs w:val="18"/>
              </w:rPr>
              <w:t>Behandelvoorstel volgt in een separate stafnotitie over de EU voorstellen betreffende nieuwe eigen middelen.</w:t>
            </w:r>
          </w:p>
        </w:tc>
      </w:tr>
      <w:tr w:rsidRPr="00DE7D47" w:rsidR="00286713" w:rsidTr="003D2A87" w14:paraId="309F7C9B"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286713" w:rsidP="003D2A87" w:rsidRDefault="00286713" w14:paraId="7D144C4A" w14:textId="77777777">
            <w:pPr>
              <w:spacing w:after="240"/>
              <w:rPr>
                <w:color w:val="595959" w:themeColor="text1" w:themeTint="A6"/>
                <w:szCs w:val="18"/>
              </w:rPr>
            </w:pPr>
          </w:p>
        </w:tc>
        <w:tc>
          <w:tcPr>
            <w:tcW w:w="1035" w:type="dxa"/>
          </w:tcPr>
          <w:p w:rsidRPr="00DE7D47" w:rsidR="00286713" w:rsidP="003D2A87" w:rsidRDefault="00286713" w14:paraId="0EBFA18E"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286713" w:rsidP="003D2A87" w:rsidRDefault="00580DD4" w14:paraId="68A58300" w14:textId="626D3B7F">
            <w:pPr>
              <w:spacing w:after="240"/>
              <w:rPr>
                <w:color w:val="595959" w:themeColor="text1" w:themeTint="A6"/>
                <w:szCs w:val="18"/>
              </w:rPr>
            </w:pPr>
            <w:r>
              <w:rPr>
                <w:color w:val="595959" w:themeColor="text1" w:themeTint="A6"/>
                <w:szCs w:val="18"/>
              </w:rPr>
              <w:t>Nadere toelichting volgt in een separate stafnotitie</w:t>
            </w:r>
            <w:r w:rsidR="00D561FE">
              <w:rPr>
                <w:color w:val="595959" w:themeColor="text1" w:themeTint="A6"/>
                <w:szCs w:val="18"/>
              </w:rPr>
              <w:t xml:space="preserve">, </w:t>
            </w:r>
            <w:r w:rsidR="00D561FE">
              <w:rPr>
                <w:color w:val="595959" w:themeColor="text1" w:themeTint="A6"/>
                <w:szCs w:val="18"/>
              </w:rPr>
              <w:t>die wordt geagendeerd voor bespreking in de procedure</w:t>
            </w:r>
            <w:r w:rsidR="00D561FE">
              <w:rPr>
                <w:color w:val="595959" w:themeColor="text1" w:themeTint="A6"/>
                <w:szCs w:val="18"/>
              </w:rPr>
              <w:t>vergadering van 26 januari 2022</w:t>
            </w:r>
            <w:r>
              <w:rPr>
                <w:color w:val="595959" w:themeColor="text1" w:themeTint="A6"/>
                <w:szCs w:val="18"/>
              </w:rPr>
              <w:t>.</w:t>
            </w:r>
          </w:p>
        </w:tc>
      </w:tr>
    </w:tbl>
    <w:p w:rsidR="00DE7D47" w:rsidP="002A4BD8" w:rsidRDefault="00DE7D47" w14:paraId="16569B49" w14:textId="11B2BF7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580DD4" w:rsidTr="00450F63" w14:paraId="179912F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580DD4" w:rsidP="00450F63" w:rsidRDefault="00580DD4" w14:paraId="6C7FBA7D" w14:textId="77777777">
            <w:pPr>
              <w:pStyle w:val="Lijstalinea"/>
              <w:numPr>
                <w:ilvl w:val="0"/>
                <w:numId w:val="10"/>
              </w:numPr>
              <w:spacing w:after="240"/>
              <w:ind w:left="312"/>
              <w:rPr>
                <w:color w:val="595959" w:themeColor="text1" w:themeTint="A6"/>
                <w:szCs w:val="18"/>
              </w:rPr>
            </w:pPr>
          </w:p>
        </w:tc>
        <w:tc>
          <w:tcPr>
            <w:tcW w:w="1035" w:type="dxa"/>
          </w:tcPr>
          <w:p w:rsidRPr="00DE7D47" w:rsidR="00580DD4" w:rsidP="00450F63" w:rsidRDefault="00580DD4" w14:paraId="7B2239D4"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580DD4" w:rsidR="00580DD4" w:rsidP="00580DD4" w:rsidRDefault="00580DD4" w14:paraId="6B1173EC" w14:textId="1FC8E7CC">
            <w:pPr>
              <w:shd w:val="clear" w:color="auto" w:fill="FFFFFF"/>
              <w:spacing w:after="75"/>
              <w:rPr>
                <w:b/>
                <w:color w:val="595959" w:themeColor="text1" w:themeTint="A6"/>
                <w:szCs w:val="18"/>
                <w:lang w:val="en-GB"/>
              </w:rPr>
            </w:pPr>
            <w:r w:rsidRPr="00580DD4">
              <w:rPr>
                <w:rFonts w:cs="Calibri"/>
                <w:lang w:val="en-US"/>
              </w:rPr>
              <w:t xml:space="preserve">Proposal for a COUNCIL DECISION amending Decision (EU, </w:t>
            </w:r>
            <w:proofErr w:type="spellStart"/>
            <w:r w:rsidRPr="00580DD4">
              <w:rPr>
                <w:rFonts w:cs="Calibri"/>
                <w:lang w:val="en-US"/>
              </w:rPr>
              <w:t>Euratom</w:t>
            </w:r>
            <w:proofErr w:type="spellEnd"/>
            <w:r w:rsidRPr="00580DD4">
              <w:rPr>
                <w:rFonts w:cs="Calibri"/>
                <w:lang w:val="en-US"/>
              </w:rPr>
              <w:t xml:space="preserve">) 2020/2053 on the system of own resources of the European Union </w:t>
            </w:r>
            <w:hyperlink w:history="1" r:id="rId22">
              <w:r w:rsidRPr="00580DD4">
                <w:rPr>
                  <w:rStyle w:val="Hyperlink"/>
                  <w:rFonts w:cs="Calibri"/>
                  <w:lang w:val="en-US"/>
                </w:rPr>
                <w:t>COM (2021) 570</w:t>
              </w:r>
            </w:hyperlink>
          </w:p>
        </w:tc>
      </w:tr>
      <w:tr w:rsidRPr="00DE7D47" w:rsidR="00580DD4" w:rsidTr="00450F63" w14:paraId="64BA6E47"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580DD4" w:rsidP="00450F63" w:rsidRDefault="00580DD4" w14:paraId="6678FBF8" w14:textId="77777777">
            <w:pPr>
              <w:spacing w:after="240"/>
              <w:rPr>
                <w:szCs w:val="18"/>
                <w:lang w:val="en-GB"/>
              </w:rPr>
            </w:pPr>
          </w:p>
        </w:tc>
        <w:tc>
          <w:tcPr>
            <w:tcW w:w="1035" w:type="dxa"/>
          </w:tcPr>
          <w:p w:rsidRPr="00DE7D47" w:rsidR="00580DD4" w:rsidP="00450F63" w:rsidRDefault="00580DD4" w14:paraId="4A67576C" w14:textId="77777777">
            <w:pPr>
              <w:spacing w:after="240"/>
              <w:rPr>
                <w:szCs w:val="18"/>
              </w:rPr>
            </w:pPr>
            <w:r w:rsidRPr="00DE7D47">
              <w:rPr>
                <w:szCs w:val="18"/>
              </w:rPr>
              <w:t>Voorstel</w:t>
            </w:r>
          </w:p>
        </w:tc>
        <w:tc>
          <w:tcPr>
            <w:tcW w:w="6529" w:type="dxa"/>
          </w:tcPr>
          <w:p w:rsidRPr="00580DD4" w:rsidR="00580DD4" w:rsidP="00450F63" w:rsidRDefault="00580DD4" w14:paraId="7991AD83" w14:textId="79099C9B">
            <w:pPr>
              <w:spacing w:after="240"/>
              <w:rPr>
                <w:i/>
                <w:szCs w:val="18"/>
              </w:rPr>
            </w:pPr>
            <w:r>
              <w:rPr>
                <w:i/>
                <w:szCs w:val="18"/>
              </w:rPr>
              <w:t>Behandelvoorstel volgt in een separate stafnotitie over de EU voorstellen betreffend nieuwe eigen middelen.</w:t>
            </w:r>
          </w:p>
        </w:tc>
      </w:tr>
      <w:tr w:rsidRPr="00DE7D47" w:rsidR="00580DD4" w:rsidTr="00450F63" w14:paraId="57EDBCCE"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580DD4" w:rsidP="00450F63" w:rsidRDefault="00580DD4" w14:paraId="5F258504" w14:textId="77777777">
            <w:pPr>
              <w:spacing w:after="240"/>
              <w:rPr>
                <w:color w:val="595959" w:themeColor="text1" w:themeTint="A6"/>
                <w:szCs w:val="18"/>
              </w:rPr>
            </w:pPr>
          </w:p>
        </w:tc>
        <w:tc>
          <w:tcPr>
            <w:tcW w:w="1035" w:type="dxa"/>
          </w:tcPr>
          <w:p w:rsidRPr="00DE7D47" w:rsidR="00580DD4" w:rsidP="00450F63" w:rsidRDefault="00580DD4" w14:paraId="3D6CC185"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580DD4" w:rsidP="00450F63" w:rsidRDefault="00580DD4" w14:paraId="1048E7B5" w14:textId="6276A959">
            <w:pPr>
              <w:spacing w:after="240"/>
              <w:rPr>
                <w:color w:val="595959" w:themeColor="text1" w:themeTint="A6"/>
                <w:szCs w:val="18"/>
              </w:rPr>
            </w:pPr>
            <w:r>
              <w:rPr>
                <w:color w:val="595959" w:themeColor="text1" w:themeTint="A6"/>
                <w:szCs w:val="18"/>
              </w:rPr>
              <w:t>Nadere toelichting volgt in een separate stafnotitie</w:t>
            </w:r>
            <w:r w:rsidR="00D561FE">
              <w:rPr>
                <w:color w:val="595959" w:themeColor="text1" w:themeTint="A6"/>
                <w:szCs w:val="18"/>
              </w:rPr>
              <w:t xml:space="preserve">, </w:t>
            </w:r>
            <w:r w:rsidR="00D561FE">
              <w:rPr>
                <w:color w:val="595959" w:themeColor="text1" w:themeTint="A6"/>
                <w:szCs w:val="18"/>
              </w:rPr>
              <w:t>die wordt geagendeerd voor bespreking in de procedure</w:t>
            </w:r>
            <w:r w:rsidR="00D561FE">
              <w:rPr>
                <w:color w:val="595959" w:themeColor="text1" w:themeTint="A6"/>
                <w:szCs w:val="18"/>
              </w:rPr>
              <w:t>vergadering van 26 januari 2022</w:t>
            </w:r>
            <w:bookmarkStart w:name="_GoBack" w:id="0"/>
            <w:bookmarkEnd w:id="0"/>
            <w:r>
              <w:rPr>
                <w:color w:val="595959" w:themeColor="text1" w:themeTint="A6"/>
                <w:szCs w:val="18"/>
              </w:rPr>
              <w:t xml:space="preserve">. </w:t>
            </w:r>
          </w:p>
        </w:tc>
      </w:tr>
    </w:tbl>
    <w:p w:rsidR="00580DD4" w:rsidP="002A4BD8" w:rsidRDefault="00580DD4" w14:paraId="11681C43" w14:textId="00110F9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C6001" w:rsidR="003C6001" w:rsidTr="00D82701" w14:paraId="533EDDB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E7D47" w:rsidR="003C6001" w:rsidP="00D82701" w:rsidRDefault="003C6001" w14:paraId="66E8F7CB" w14:textId="77777777">
            <w:pPr>
              <w:pStyle w:val="Lijstalinea"/>
              <w:numPr>
                <w:ilvl w:val="0"/>
                <w:numId w:val="10"/>
              </w:numPr>
              <w:spacing w:after="240"/>
              <w:ind w:left="312"/>
              <w:rPr>
                <w:color w:val="595959" w:themeColor="text1" w:themeTint="A6"/>
                <w:szCs w:val="18"/>
              </w:rPr>
            </w:pPr>
          </w:p>
        </w:tc>
        <w:tc>
          <w:tcPr>
            <w:tcW w:w="1035" w:type="dxa"/>
          </w:tcPr>
          <w:p w:rsidRPr="00DE7D47" w:rsidR="003C6001" w:rsidP="00D82701" w:rsidRDefault="003C6001" w14:paraId="12770C34" w14:textId="77777777">
            <w:pPr>
              <w:spacing w:after="240"/>
              <w:rPr>
                <w:color w:val="595959" w:themeColor="text1" w:themeTint="A6"/>
                <w:szCs w:val="18"/>
              </w:rPr>
            </w:pPr>
            <w:r w:rsidRPr="00DE7D47">
              <w:rPr>
                <w:color w:val="595959" w:themeColor="text1" w:themeTint="A6"/>
                <w:szCs w:val="18"/>
              </w:rPr>
              <w:t>Titel</w:t>
            </w:r>
          </w:p>
        </w:tc>
        <w:tc>
          <w:tcPr>
            <w:tcW w:w="6529" w:type="dxa"/>
          </w:tcPr>
          <w:p w:rsidRPr="00580DD4" w:rsidR="003C6001" w:rsidP="00D82701" w:rsidRDefault="003C6001" w14:paraId="7C1BD81D" w14:textId="720C3736">
            <w:pPr>
              <w:shd w:val="clear" w:color="auto" w:fill="FFFFFF"/>
              <w:spacing w:after="75"/>
              <w:rPr>
                <w:b/>
                <w:color w:val="595959" w:themeColor="text1" w:themeTint="A6"/>
                <w:szCs w:val="18"/>
                <w:lang w:val="en-GB"/>
              </w:rPr>
            </w:pPr>
            <w:r>
              <w:rPr>
                <w:szCs w:val="18"/>
                <w:lang w:val="en-US"/>
              </w:rPr>
              <w:t xml:space="preserve">Proposal for a DECISION OF THE EUROPEAN PARLIAMENT AND OF THE COUNCIL on providing macro-financial assistance to the Republic of Moldova </w:t>
            </w:r>
            <w:hyperlink w:history="1" r:id="rId23">
              <w:r>
                <w:rPr>
                  <w:rStyle w:val="Hyperlink"/>
                  <w:szCs w:val="18"/>
                  <w:lang w:val="en-US"/>
                </w:rPr>
                <w:t>COM (2022) 4</w:t>
              </w:r>
            </w:hyperlink>
          </w:p>
        </w:tc>
      </w:tr>
      <w:tr w:rsidRPr="00DE7D47" w:rsidR="003C6001" w:rsidTr="00D82701" w14:paraId="056A4ED7" w14:textId="77777777">
        <w:tc>
          <w:tcPr>
            <w:tcW w:w="421" w:type="dxa"/>
            <w:vMerge/>
            <w:tcBorders>
              <w:top w:val="nil"/>
              <w:bottom w:val="single" w:color="D9D9D9" w:themeColor="background1" w:themeShade="D9" w:sz="4" w:space="0"/>
            </w:tcBorders>
            <w:shd w:val="clear" w:color="auto" w:fill="F2F2F2" w:themeFill="background1" w:themeFillShade="F2"/>
          </w:tcPr>
          <w:p w:rsidRPr="00580DD4" w:rsidR="003C6001" w:rsidP="00D82701" w:rsidRDefault="003C6001" w14:paraId="2DCBFDF6" w14:textId="77777777">
            <w:pPr>
              <w:spacing w:after="240"/>
              <w:rPr>
                <w:szCs w:val="18"/>
                <w:lang w:val="en-GB"/>
              </w:rPr>
            </w:pPr>
          </w:p>
        </w:tc>
        <w:tc>
          <w:tcPr>
            <w:tcW w:w="1035" w:type="dxa"/>
          </w:tcPr>
          <w:p w:rsidRPr="00DE7D47" w:rsidR="003C6001" w:rsidP="00D82701" w:rsidRDefault="003C6001" w14:paraId="05DA895B" w14:textId="77777777">
            <w:pPr>
              <w:spacing w:after="240"/>
              <w:rPr>
                <w:szCs w:val="18"/>
              </w:rPr>
            </w:pPr>
            <w:r w:rsidRPr="00DE7D47">
              <w:rPr>
                <w:szCs w:val="18"/>
              </w:rPr>
              <w:t>Voorstel</w:t>
            </w:r>
          </w:p>
        </w:tc>
        <w:tc>
          <w:tcPr>
            <w:tcW w:w="6529" w:type="dxa"/>
          </w:tcPr>
          <w:p w:rsidRPr="003C6001" w:rsidR="003C6001" w:rsidP="00D82701" w:rsidRDefault="003C6001" w14:paraId="2BD42A5F" w14:textId="69E8FD58">
            <w:pPr>
              <w:spacing w:after="240"/>
              <w:rPr>
                <w:szCs w:val="18"/>
              </w:rPr>
            </w:pPr>
            <w:r>
              <w:rPr>
                <w:szCs w:val="18"/>
              </w:rPr>
              <w:t>Voor kennisgeving aannemen</w:t>
            </w:r>
          </w:p>
        </w:tc>
      </w:tr>
      <w:tr w:rsidRPr="00DE7D47" w:rsidR="003C6001" w:rsidTr="00D82701" w14:paraId="3427CE50" w14:textId="77777777">
        <w:tc>
          <w:tcPr>
            <w:tcW w:w="421" w:type="dxa"/>
            <w:vMerge/>
            <w:tcBorders>
              <w:top w:val="nil"/>
              <w:bottom w:val="single" w:color="D9D9D9" w:themeColor="background1" w:themeShade="D9" w:sz="4" w:space="0"/>
            </w:tcBorders>
            <w:shd w:val="clear" w:color="auto" w:fill="F2F2F2" w:themeFill="background1" w:themeFillShade="F2"/>
          </w:tcPr>
          <w:p w:rsidRPr="00DE7D47" w:rsidR="003C6001" w:rsidP="00D82701" w:rsidRDefault="003C6001" w14:paraId="5A5F36CA" w14:textId="77777777">
            <w:pPr>
              <w:spacing w:after="240"/>
              <w:rPr>
                <w:color w:val="595959" w:themeColor="text1" w:themeTint="A6"/>
                <w:szCs w:val="18"/>
              </w:rPr>
            </w:pPr>
          </w:p>
        </w:tc>
        <w:tc>
          <w:tcPr>
            <w:tcW w:w="1035" w:type="dxa"/>
          </w:tcPr>
          <w:p w:rsidRPr="00DE7D47" w:rsidR="003C6001" w:rsidP="00D82701" w:rsidRDefault="003C6001" w14:paraId="11C5D56D" w14:textId="77777777">
            <w:pPr>
              <w:spacing w:after="240"/>
              <w:rPr>
                <w:color w:val="595959" w:themeColor="text1" w:themeTint="A6"/>
                <w:szCs w:val="18"/>
              </w:rPr>
            </w:pPr>
            <w:r w:rsidRPr="00DE7D47">
              <w:rPr>
                <w:color w:val="595959" w:themeColor="text1" w:themeTint="A6"/>
                <w:szCs w:val="18"/>
              </w:rPr>
              <w:t>Noot</w:t>
            </w:r>
          </w:p>
        </w:tc>
        <w:tc>
          <w:tcPr>
            <w:tcW w:w="6529" w:type="dxa"/>
          </w:tcPr>
          <w:p w:rsidRPr="00DE7D47" w:rsidR="003C6001" w:rsidP="00B96D40" w:rsidRDefault="00B96D40" w14:paraId="6D997B9B" w14:textId="66F55A1E">
            <w:pPr>
              <w:spacing w:after="240"/>
              <w:rPr>
                <w:color w:val="595959" w:themeColor="text1" w:themeTint="A6"/>
                <w:szCs w:val="18"/>
              </w:rPr>
            </w:pPr>
            <w:r>
              <w:rPr>
                <w:color w:val="595959" w:themeColor="text1" w:themeTint="A6"/>
                <w:szCs w:val="18"/>
              </w:rPr>
              <w:t xml:space="preserve">Gelet op hernieuwde politieke stabiliteit en na een diepgaande analyse van de politieke en economische situatie in Moldavië, heeft de Commissie dit voorstel opgesteld om nieuwe macro-financiële assistentie te verlenen aan Moldavië ter waarde van 150 miljoen euro, waarvan 120 miljoen in de vorm van leningen en 30 miljoen in de vorm van subsidies. </w:t>
            </w:r>
            <w:r w:rsidR="006C02E4">
              <w:rPr>
                <w:color w:val="595959" w:themeColor="text1" w:themeTint="A6"/>
                <w:szCs w:val="18"/>
              </w:rPr>
              <w:t>Dit zou worden verleend in 3 tranches. (N.B. macro-financiële assistentie kan worden verleend aan landen die onder het Europees nabuurschapsbeleid vallen)</w:t>
            </w:r>
          </w:p>
        </w:tc>
      </w:tr>
    </w:tbl>
    <w:p w:rsidRPr="00DE7D47" w:rsidR="003C6001" w:rsidP="002A4BD8" w:rsidRDefault="003C6001" w14:paraId="298F69BF" w14:textId="77777777">
      <w:pPr>
        <w:rPr>
          <w:szCs w:val="18"/>
        </w:rPr>
      </w:pPr>
    </w:p>
    <w:sectPr w:rsidRPr="00DE7D47" w:rsidR="003C6001" w:rsidSect="00BF62AD">
      <w:headerReference w:type="default" r:id="rId24"/>
      <w:footerReference w:type="default" r:id="rId2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7751DF38" w:rsidR="00A42CDC" w:rsidRDefault="00F407B0">
                          <w:pPr>
                            <w:pStyle w:val="Huisstijl-Paginanummer"/>
                          </w:pPr>
                          <w:r>
                            <w:fldChar w:fldCharType="begin"/>
                          </w:r>
                          <w:r>
                            <w:instrText xml:space="preserve"> PAGE  \* Arabic  \* MERGEFORMAT </w:instrText>
                          </w:r>
                          <w:r>
                            <w:fldChar w:fldCharType="separate"/>
                          </w:r>
                          <w:r w:rsidR="00D561F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7751DF38" w:rsidR="00A42CDC" w:rsidRDefault="00F407B0">
                    <w:pPr>
                      <w:pStyle w:val="Huisstijl-Paginanummer"/>
                    </w:pPr>
                    <w:r>
                      <w:fldChar w:fldCharType="begin"/>
                    </w:r>
                    <w:r>
                      <w:instrText xml:space="preserve"> PAGE  \* Arabic  \* MERGEFORMAT </w:instrText>
                    </w:r>
                    <w:r>
                      <w:fldChar w:fldCharType="separate"/>
                    </w:r>
                    <w:r w:rsidR="00D561FE">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53E2AB3" w:rsidR="00A42CDC" w:rsidRDefault="00F407B0">
                          <w:pPr>
                            <w:pStyle w:val="Huisstijl-Paginanummer"/>
                          </w:pPr>
                          <w:r>
                            <w:fldChar w:fldCharType="begin"/>
                          </w:r>
                          <w:r>
                            <w:instrText xml:space="preserve"> PAGE  \* Arabic  \* MERGEFORMAT </w:instrText>
                          </w:r>
                          <w:r>
                            <w:fldChar w:fldCharType="separate"/>
                          </w:r>
                          <w:r w:rsidR="00D561FE">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53E2AB3" w:rsidR="00A42CDC" w:rsidRDefault="00F407B0">
                    <w:pPr>
                      <w:pStyle w:val="Huisstijl-Paginanummer"/>
                    </w:pPr>
                    <w:r>
                      <w:fldChar w:fldCharType="begin"/>
                    </w:r>
                    <w:r>
                      <w:instrText xml:space="preserve"> PAGE  \* Arabic  \* MERGEFORMAT </w:instrText>
                    </w:r>
                    <w:r>
                      <w:fldChar w:fldCharType="separate"/>
                    </w:r>
                    <w:r w:rsidR="00D561FE">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6D57437B" w14:textId="77777777" w:rsidR="00DE7D47" w:rsidRPr="002B21B2" w:rsidRDefault="00DE7D47" w:rsidP="00DE7D47">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8D44B6"/>
    <w:multiLevelType w:val="hybridMultilevel"/>
    <w:tmpl w:val="F66C5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578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38DF"/>
    <w:rsid w:val="001706B1"/>
    <w:rsid w:val="00170AFB"/>
    <w:rsid w:val="001715CC"/>
    <w:rsid w:val="0017367F"/>
    <w:rsid w:val="001822F7"/>
    <w:rsid w:val="00187402"/>
    <w:rsid w:val="0018775E"/>
    <w:rsid w:val="00191A1A"/>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26BD"/>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32F6"/>
    <w:rsid w:val="00266365"/>
    <w:rsid w:val="00271075"/>
    <w:rsid w:val="0028208B"/>
    <w:rsid w:val="002826C8"/>
    <w:rsid w:val="00286713"/>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C5503"/>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B18"/>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67047"/>
    <w:rsid w:val="0037414F"/>
    <w:rsid w:val="00374B44"/>
    <w:rsid w:val="00376585"/>
    <w:rsid w:val="00377E26"/>
    <w:rsid w:val="003812B9"/>
    <w:rsid w:val="003843F9"/>
    <w:rsid w:val="00393BB7"/>
    <w:rsid w:val="003A219A"/>
    <w:rsid w:val="003A5792"/>
    <w:rsid w:val="003A69A5"/>
    <w:rsid w:val="003B1D02"/>
    <w:rsid w:val="003B254F"/>
    <w:rsid w:val="003B2964"/>
    <w:rsid w:val="003B4119"/>
    <w:rsid w:val="003B484E"/>
    <w:rsid w:val="003B67E0"/>
    <w:rsid w:val="003B6828"/>
    <w:rsid w:val="003C0D63"/>
    <w:rsid w:val="003C2832"/>
    <w:rsid w:val="003C6001"/>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1BA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7762B"/>
    <w:rsid w:val="00480ED9"/>
    <w:rsid w:val="00482405"/>
    <w:rsid w:val="00484658"/>
    <w:rsid w:val="00491847"/>
    <w:rsid w:val="004A0757"/>
    <w:rsid w:val="004A2857"/>
    <w:rsid w:val="004A48F2"/>
    <w:rsid w:val="004A553E"/>
    <w:rsid w:val="004B0C70"/>
    <w:rsid w:val="004B109E"/>
    <w:rsid w:val="004B447F"/>
    <w:rsid w:val="004B572A"/>
    <w:rsid w:val="004B5B19"/>
    <w:rsid w:val="004C30A9"/>
    <w:rsid w:val="004C7B01"/>
    <w:rsid w:val="004E3424"/>
    <w:rsid w:val="004E426E"/>
    <w:rsid w:val="004E5595"/>
    <w:rsid w:val="004E63FD"/>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0DD4"/>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064D3"/>
    <w:rsid w:val="00613764"/>
    <w:rsid w:val="00617577"/>
    <w:rsid w:val="006200E7"/>
    <w:rsid w:val="00621260"/>
    <w:rsid w:val="00623594"/>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621F"/>
    <w:rsid w:val="00697687"/>
    <w:rsid w:val="006A15AD"/>
    <w:rsid w:val="006A45D8"/>
    <w:rsid w:val="006A4888"/>
    <w:rsid w:val="006A5210"/>
    <w:rsid w:val="006B0B28"/>
    <w:rsid w:val="006B488A"/>
    <w:rsid w:val="006C02E4"/>
    <w:rsid w:val="006C4176"/>
    <w:rsid w:val="006D2B66"/>
    <w:rsid w:val="006D3AA5"/>
    <w:rsid w:val="006D4B9F"/>
    <w:rsid w:val="006D7AEF"/>
    <w:rsid w:val="006E0F91"/>
    <w:rsid w:val="006E2C94"/>
    <w:rsid w:val="006E5214"/>
    <w:rsid w:val="006E7466"/>
    <w:rsid w:val="006F18C7"/>
    <w:rsid w:val="006F2511"/>
    <w:rsid w:val="006F4CCC"/>
    <w:rsid w:val="006F52C0"/>
    <w:rsid w:val="0070058B"/>
    <w:rsid w:val="00701CB8"/>
    <w:rsid w:val="00702D44"/>
    <w:rsid w:val="00705CD9"/>
    <w:rsid w:val="00706D62"/>
    <w:rsid w:val="0071017A"/>
    <w:rsid w:val="00711E11"/>
    <w:rsid w:val="007135E6"/>
    <w:rsid w:val="00715569"/>
    <w:rsid w:val="007204C6"/>
    <w:rsid w:val="00720DBB"/>
    <w:rsid w:val="00721758"/>
    <w:rsid w:val="00721E15"/>
    <w:rsid w:val="00723DF8"/>
    <w:rsid w:val="007248BC"/>
    <w:rsid w:val="00724BB0"/>
    <w:rsid w:val="00726354"/>
    <w:rsid w:val="00736908"/>
    <w:rsid w:val="007417AC"/>
    <w:rsid w:val="007439D7"/>
    <w:rsid w:val="00745D31"/>
    <w:rsid w:val="00755534"/>
    <w:rsid w:val="00757AA5"/>
    <w:rsid w:val="007642F9"/>
    <w:rsid w:val="00770A61"/>
    <w:rsid w:val="00773074"/>
    <w:rsid w:val="00773C33"/>
    <w:rsid w:val="00781A50"/>
    <w:rsid w:val="00781FC2"/>
    <w:rsid w:val="007876BC"/>
    <w:rsid w:val="00787C51"/>
    <w:rsid w:val="0079316B"/>
    <w:rsid w:val="00794A22"/>
    <w:rsid w:val="00796433"/>
    <w:rsid w:val="00796B75"/>
    <w:rsid w:val="007A03BA"/>
    <w:rsid w:val="007A4A53"/>
    <w:rsid w:val="007A6CDA"/>
    <w:rsid w:val="007B02DE"/>
    <w:rsid w:val="007C6569"/>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271D3"/>
    <w:rsid w:val="00834690"/>
    <w:rsid w:val="0083576C"/>
    <w:rsid w:val="00840FA0"/>
    <w:rsid w:val="00843FBB"/>
    <w:rsid w:val="008454D2"/>
    <w:rsid w:val="00845DEC"/>
    <w:rsid w:val="0085294F"/>
    <w:rsid w:val="00866593"/>
    <w:rsid w:val="00870719"/>
    <w:rsid w:val="008879D0"/>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64B1"/>
    <w:rsid w:val="0090730F"/>
    <w:rsid w:val="0091479F"/>
    <w:rsid w:val="00914C45"/>
    <w:rsid w:val="00916678"/>
    <w:rsid w:val="0091744E"/>
    <w:rsid w:val="00922C5B"/>
    <w:rsid w:val="00924EA0"/>
    <w:rsid w:val="00927826"/>
    <w:rsid w:val="00927A6F"/>
    <w:rsid w:val="00930D89"/>
    <w:rsid w:val="00935201"/>
    <w:rsid w:val="00935FD0"/>
    <w:rsid w:val="0093711F"/>
    <w:rsid w:val="009373A1"/>
    <w:rsid w:val="009411C2"/>
    <w:rsid w:val="00942CDE"/>
    <w:rsid w:val="00946E0E"/>
    <w:rsid w:val="009531A4"/>
    <w:rsid w:val="0095629C"/>
    <w:rsid w:val="00956342"/>
    <w:rsid w:val="009575DB"/>
    <w:rsid w:val="00962A95"/>
    <w:rsid w:val="009647CC"/>
    <w:rsid w:val="00970CA0"/>
    <w:rsid w:val="00973306"/>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E5388"/>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34D"/>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0890"/>
    <w:rsid w:val="00B53C93"/>
    <w:rsid w:val="00B54A2B"/>
    <w:rsid w:val="00B55826"/>
    <w:rsid w:val="00B56147"/>
    <w:rsid w:val="00B60251"/>
    <w:rsid w:val="00B71A9C"/>
    <w:rsid w:val="00B757E9"/>
    <w:rsid w:val="00B8274B"/>
    <w:rsid w:val="00B860F9"/>
    <w:rsid w:val="00B90C6F"/>
    <w:rsid w:val="00B90CB7"/>
    <w:rsid w:val="00B91483"/>
    <w:rsid w:val="00B914C1"/>
    <w:rsid w:val="00B92EE7"/>
    <w:rsid w:val="00B930A7"/>
    <w:rsid w:val="00B96878"/>
    <w:rsid w:val="00B96AD5"/>
    <w:rsid w:val="00B96D40"/>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C5689"/>
    <w:rsid w:val="00CD180F"/>
    <w:rsid w:val="00CD57F3"/>
    <w:rsid w:val="00CD6193"/>
    <w:rsid w:val="00CD730D"/>
    <w:rsid w:val="00CE0961"/>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1"/>
    <w:rsid w:val="00D212CA"/>
    <w:rsid w:val="00D233A8"/>
    <w:rsid w:val="00D237C3"/>
    <w:rsid w:val="00D26280"/>
    <w:rsid w:val="00D27FE7"/>
    <w:rsid w:val="00D303E7"/>
    <w:rsid w:val="00D3073E"/>
    <w:rsid w:val="00D30C85"/>
    <w:rsid w:val="00D344B1"/>
    <w:rsid w:val="00D36A44"/>
    <w:rsid w:val="00D40390"/>
    <w:rsid w:val="00D4444E"/>
    <w:rsid w:val="00D46679"/>
    <w:rsid w:val="00D467E2"/>
    <w:rsid w:val="00D561FE"/>
    <w:rsid w:val="00D5774F"/>
    <w:rsid w:val="00D63ED4"/>
    <w:rsid w:val="00D64CF8"/>
    <w:rsid w:val="00D64F93"/>
    <w:rsid w:val="00D6591C"/>
    <w:rsid w:val="00D67F7F"/>
    <w:rsid w:val="00D7255C"/>
    <w:rsid w:val="00D72CC9"/>
    <w:rsid w:val="00D75535"/>
    <w:rsid w:val="00D77B15"/>
    <w:rsid w:val="00D8279B"/>
    <w:rsid w:val="00D93558"/>
    <w:rsid w:val="00DA5144"/>
    <w:rsid w:val="00DB2B90"/>
    <w:rsid w:val="00DB3F6B"/>
    <w:rsid w:val="00DB464F"/>
    <w:rsid w:val="00DB6B9D"/>
    <w:rsid w:val="00DC03A3"/>
    <w:rsid w:val="00DC0EBD"/>
    <w:rsid w:val="00DC1442"/>
    <w:rsid w:val="00DC165E"/>
    <w:rsid w:val="00DD5412"/>
    <w:rsid w:val="00DD564F"/>
    <w:rsid w:val="00DD6D95"/>
    <w:rsid w:val="00DE2897"/>
    <w:rsid w:val="00DE32DE"/>
    <w:rsid w:val="00DE51BD"/>
    <w:rsid w:val="00DE5B8E"/>
    <w:rsid w:val="00DE6323"/>
    <w:rsid w:val="00DE6F9D"/>
    <w:rsid w:val="00DE7800"/>
    <w:rsid w:val="00DE7D47"/>
    <w:rsid w:val="00DF0A73"/>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2CB"/>
    <w:rsid w:val="00E666D4"/>
    <w:rsid w:val="00E67989"/>
    <w:rsid w:val="00E75152"/>
    <w:rsid w:val="00E80096"/>
    <w:rsid w:val="00E80FBD"/>
    <w:rsid w:val="00E82B47"/>
    <w:rsid w:val="00E84D83"/>
    <w:rsid w:val="00E86E93"/>
    <w:rsid w:val="00EA3A9D"/>
    <w:rsid w:val="00EA4B76"/>
    <w:rsid w:val="00EA546B"/>
    <w:rsid w:val="00EA6FF9"/>
    <w:rsid w:val="00EB409D"/>
    <w:rsid w:val="00EC4140"/>
    <w:rsid w:val="00EC7E69"/>
    <w:rsid w:val="00ED6644"/>
    <w:rsid w:val="00ED7D6E"/>
    <w:rsid w:val="00EE1C0C"/>
    <w:rsid w:val="00EE306C"/>
    <w:rsid w:val="00EE6B1E"/>
    <w:rsid w:val="00EF265E"/>
    <w:rsid w:val="00EF4583"/>
    <w:rsid w:val="00EF69C7"/>
    <w:rsid w:val="00F00C07"/>
    <w:rsid w:val="00F11149"/>
    <w:rsid w:val="00F14A3A"/>
    <w:rsid w:val="00F17D6A"/>
    <w:rsid w:val="00F21FB6"/>
    <w:rsid w:val="00F2350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1F25"/>
    <w:rsid w:val="00FA5C15"/>
    <w:rsid w:val="00FA5FA4"/>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2678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4689113">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51938357">
      <w:bodyDiv w:val="1"/>
      <w:marLeft w:val="0"/>
      <w:marRight w:val="0"/>
      <w:marTop w:val="0"/>
      <w:marBottom w:val="0"/>
      <w:divBdr>
        <w:top w:val="none" w:sz="0" w:space="0" w:color="auto"/>
        <w:left w:val="none" w:sz="0" w:space="0" w:color="auto"/>
        <w:bottom w:val="none" w:sz="0" w:space="0" w:color="auto"/>
        <w:right w:val="none" w:sz="0" w:space="0" w:color="auto"/>
      </w:divBdr>
    </w:div>
    <w:div w:id="321158225">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6749317">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8738979">
      <w:bodyDiv w:val="1"/>
      <w:marLeft w:val="0"/>
      <w:marRight w:val="0"/>
      <w:marTop w:val="0"/>
      <w:marBottom w:val="0"/>
      <w:divBdr>
        <w:top w:val="none" w:sz="0" w:space="0" w:color="auto"/>
        <w:left w:val="none" w:sz="0" w:space="0" w:color="auto"/>
        <w:bottom w:val="none" w:sz="0" w:space="0" w:color="auto"/>
        <w:right w:val="none" w:sz="0" w:space="0" w:color="auto"/>
      </w:divBdr>
    </w:div>
    <w:div w:id="1180704783">
      <w:bodyDiv w:val="1"/>
      <w:marLeft w:val="0"/>
      <w:marRight w:val="0"/>
      <w:marTop w:val="0"/>
      <w:marBottom w:val="0"/>
      <w:divBdr>
        <w:top w:val="none" w:sz="0" w:space="0" w:color="auto"/>
        <w:left w:val="none" w:sz="0" w:space="0" w:color="auto"/>
        <w:bottom w:val="none" w:sz="0" w:space="0" w:color="auto"/>
        <w:right w:val="none" w:sz="0" w:space="0" w:color="auto"/>
      </w:divBdr>
    </w:div>
    <w:div w:id="1185704536">
      <w:bodyDiv w:val="1"/>
      <w:marLeft w:val="0"/>
      <w:marRight w:val="0"/>
      <w:marTop w:val="0"/>
      <w:marBottom w:val="0"/>
      <w:divBdr>
        <w:top w:val="none" w:sz="0" w:space="0" w:color="auto"/>
        <w:left w:val="none" w:sz="0" w:space="0" w:color="auto"/>
        <w:bottom w:val="none" w:sz="0" w:space="0" w:color="auto"/>
        <w:right w:val="none" w:sz="0" w:space="0" w:color="auto"/>
      </w:divBdr>
    </w:div>
    <w:div w:id="1205144220">
      <w:bodyDiv w:val="1"/>
      <w:marLeft w:val="0"/>
      <w:marRight w:val="0"/>
      <w:marTop w:val="0"/>
      <w:marBottom w:val="0"/>
      <w:divBdr>
        <w:top w:val="none" w:sz="0" w:space="0" w:color="auto"/>
        <w:left w:val="none" w:sz="0" w:space="0" w:color="auto"/>
        <w:bottom w:val="none" w:sz="0" w:space="0" w:color="auto"/>
        <w:right w:val="none" w:sz="0" w:space="0" w:color="auto"/>
      </w:divBdr>
    </w:div>
    <w:div w:id="1275819681">
      <w:bodyDiv w:val="1"/>
      <w:marLeft w:val="0"/>
      <w:marRight w:val="0"/>
      <w:marTop w:val="0"/>
      <w:marBottom w:val="0"/>
      <w:divBdr>
        <w:top w:val="none" w:sz="0" w:space="0" w:color="auto"/>
        <w:left w:val="none" w:sz="0" w:space="0" w:color="auto"/>
        <w:bottom w:val="none" w:sz="0" w:space="0" w:color="auto"/>
        <w:right w:val="none" w:sz="0" w:space="0" w:color="auto"/>
      </w:divBdr>
    </w:div>
    <w:div w:id="1436486107">
      <w:bodyDiv w:val="1"/>
      <w:marLeft w:val="0"/>
      <w:marRight w:val="0"/>
      <w:marTop w:val="0"/>
      <w:marBottom w:val="0"/>
      <w:divBdr>
        <w:top w:val="none" w:sz="0" w:space="0" w:color="auto"/>
        <w:left w:val="none" w:sz="0" w:space="0" w:color="auto"/>
        <w:bottom w:val="none" w:sz="0" w:space="0" w:color="auto"/>
        <w:right w:val="none" w:sz="0" w:space="0" w:color="auto"/>
      </w:divBdr>
    </w:div>
    <w:div w:id="1447775501">
      <w:bodyDiv w:val="1"/>
      <w:marLeft w:val="0"/>
      <w:marRight w:val="0"/>
      <w:marTop w:val="0"/>
      <w:marBottom w:val="0"/>
      <w:divBdr>
        <w:top w:val="none" w:sz="0" w:space="0" w:color="auto"/>
        <w:left w:val="none" w:sz="0" w:space="0" w:color="auto"/>
        <w:bottom w:val="none" w:sz="0" w:space="0" w:color="auto"/>
        <w:right w:val="none" w:sz="0" w:space="0" w:color="auto"/>
      </w:divBdr>
    </w:div>
    <w:div w:id="149005214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8902807">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82985587">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52637802">
      <w:bodyDiv w:val="1"/>
      <w:marLeft w:val="0"/>
      <w:marRight w:val="0"/>
      <w:marTop w:val="0"/>
      <w:marBottom w:val="0"/>
      <w:divBdr>
        <w:top w:val="none" w:sz="0" w:space="0" w:color="auto"/>
        <w:left w:val="none" w:sz="0" w:space="0" w:color="auto"/>
        <w:bottom w:val="none" w:sz="0" w:space="0" w:color="auto"/>
        <w:right w:val="none" w:sz="0" w:space="0" w:color="auto"/>
      </w:divBdr>
    </w:div>
    <w:div w:id="165367581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42053645">
      <w:bodyDiv w:val="1"/>
      <w:marLeft w:val="0"/>
      <w:marRight w:val="0"/>
      <w:marTop w:val="0"/>
      <w:marBottom w:val="0"/>
      <w:divBdr>
        <w:top w:val="none" w:sz="0" w:space="0" w:color="auto"/>
        <w:left w:val="none" w:sz="0" w:space="0" w:color="auto"/>
        <w:bottom w:val="none" w:sz="0" w:space="0" w:color="auto"/>
        <w:right w:val="none" w:sz="0" w:space="0" w:color="auto"/>
      </w:divBdr>
    </w:div>
    <w:div w:id="2077969993">
      <w:bodyDiv w:val="1"/>
      <w:marLeft w:val="0"/>
      <w:marRight w:val="0"/>
      <w:marTop w:val="0"/>
      <w:marBottom w:val="0"/>
      <w:divBdr>
        <w:top w:val="none" w:sz="0" w:space="0" w:color="auto"/>
        <w:left w:val="none" w:sz="0" w:space="0" w:color="auto"/>
        <w:bottom w:val="none" w:sz="0" w:space="0" w:color="auto"/>
        <w:right w:val="none" w:sz="0" w:space="0" w:color="auto"/>
      </w:divBdr>
    </w:div>
    <w:div w:id="208706850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OM%3A2021%3A569%3AFIN&amp;qid=1640684846414" TargetMode="External" Id="rId18" /><Relationship Type="http://schemas.openxmlformats.org/officeDocument/2006/relationships/fontTable" Target="fontTable.xml" Id="rId26" /><Relationship Type="http://schemas.openxmlformats.org/officeDocument/2006/relationships/hyperlink" Target="https://eur-lex.europa.eu/legal-content/NL/TXT/?uri=COM%3A2021%3A566%3AFIN&amp;qid=1640684650502"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OM%3A2021%3A565%3AFIN&amp;qid=1640685154392" TargetMode="External" Id="rId17" /><Relationship Type="http://schemas.openxmlformats.org/officeDocument/2006/relationships/footer" Target="footer2.xml" Id="rId25" /><Relationship Type="http://schemas.openxmlformats.org/officeDocument/2006/relationships/hyperlink" Target="https://eur-lex.europa.eu/legal-content/NL/TXT/?uri=COM%3A2021%3A823%3AFIN&amp;qid=1640685078340" TargetMode="External" Id="rId16" /><Relationship Type="http://schemas.openxmlformats.org/officeDocument/2006/relationships/hyperlink" Target="https://eur-lex.europa.eu/legal-content/NL/TXT/?uri=COM%3A2021%3A809%3AFIN&amp;qid=1640084518784"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hyperlink" Target="https://eur-lex.europa.eu/legal-content/NL/TXT/?uri=CELEX:52021PC0776" TargetMode="External" Id="rId15" /><Relationship Type="http://schemas.openxmlformats.org/officeDocument/2006/relationships/hyperlink" Target="https://eur-lex.europa.eu/legal-content/NL/TXT/?uri=COM%3A2022%3A4%3AFIN&amp;qid=1641304341077" TargetMode="External" Id="rId23" /><Relationship Type="http://schemas.openxmlformats.org/officeDocument/2006/relationships/footnotes" Target="footnotes.xml" Id="rId10" /><Relationship Type="http://schemas.openxmlformats.org/officeDocument/2006/relationships/hyperlink" Target="https://eur-lex.europa.eu/legal-content/NL/TXT/?uri=COM%3A2021%3A798%3AFIN&amp;qid=1639661100011" TargetMode="External" Id="rId19" /><Relationship Type="http://schemas.openxmlformats.org/officeDocument/2006/relationships/webSettings" Target="webSettings.xml" Id="rId9" /><Relationship Type="http://schemas.openxmlformats.org/officeDocument/2006/relationships/hyperlink" Target="https://eur-lex.europa.eu/legal-content/NL/TXT/?uri=COM%3A2021%3A817%3AFIN&amp;qid=1639664833193" TargetMode="External" Id="rId14" /><Relationship Type="http://schemas.openxmlformats.org/officeDocument/2006/relationships/hyperlink" Target="https://eur-lex.europa.eu/legal-content/NL/TXT/?uri=COM%3A2021%3A570%3AFIN&amp;qid=1640684760684"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1080</ap:Words>
  <ap:Characters>7623</ap:Characters>
  <ap:DocSecurity>0</ap:DocSecurity>
  <ap:Lines>63</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2022-01-06T12:27:00.0000000Z</dcterms:created>
  <dcterms:modified xsi:type="dcterms:W3CDTF">2022-01-06T12:30:00.0000000Z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