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5E69" w:rsidP="005E277E" w:rsidRDefault="00355E69" w14:paraId="7DB1CDB6" w14:textId="33FB0A24">
      <w:pPr>
        <w:spacing w:after="0"/>
        <w:rPr>
          <w:b/>
          <w:bCs/>
          <w:color w:val="FF0000"/>
        </w:rPr>
      </w:pPr>
      <w:proofErr w:type="spellStart"/>
      <w:r>
        <w:rPr>
          <w:b/>
          <w:bCs/>
          <w:color w:val="FF0000"/>
        </w:rPr>
        <w:t>Silent</w:t>
      </w:r>
      <w:proofErr w:type="spellEnd"/>
      <w:r>
        <w:rPr>
          <w:b/>
          <w:bCs/>
          <w:color w:val="FF0000"/>
        </w:rPr>
        <w:t xml:space="preserve"> Spring.</w:t>
      </w:r>
    </w:p>
    <w:p w:rsidRPr="002430AC" w:rsidR="00355E69" w:rsidP="005E277E" w:rsidRDefault="00355E69" w14:paraId="57FDE1F8" w14:textId="56B05919">
      <w:pPr>
        <w:spacing w:after="0"/>
      </w:pPr>
      <w:r>
        <w:t xml:space="preserve">Het is dit jaar 60 jaar geleden dat Rachel </w:t>
      </w:r>
      <w:proofErr w:type="spellStart"/>
      <w:r>
        <w:t>Carson</w:t>
      </w:r>
      <w:proofErr w:type="spellEnd"/>
      <w:r>
        <w:t xml:space="preserve"> haar beroemde boek ‘</w:t>
      </w:r>
      <w:proofErr w:type="spellStart"/>
      <w:r>
        <w:t>Silent</w:t>
      </w:r>
      <w:proofErr w:type="spellEnd"/>
      <w:r>
        <w:t xml:space="preserve"> Spring’ schreef. We </w:t>
      </w:r>
      <w:r w:rsidR="00A73F17">
        <w:t>hebben er echter niet veel van geleerd.</w:t>
      </w:r>
      <w:r>
        <w:t xml:space="preserve"> DDT is vervangen door organofosfaten</w:t>
      </w:r>
      <w:r w:rsidR="004B5E65">
        <w:t xml:space="preserve">, </w:t>
      </w:r>
      <w:r w:rsidR="00033171">
        <w:t>d</w:t>
      </w:r>
      <w:r w:rsidR="00330A2E">
        <w:t>ie</w:t>
      </w:r>
      <w:r w:rsidR="00033171">
        <w:t xml:space="preserve"> weer </w:t>
      </w:r>
      <w:r w:rsidR="004B5E65">
        <w:t>door</w:t>
      </w:r>
      <w:r>
        <w:t xml:space="preserve"> neonicotinoïden</w:t>
      </w:r>
      <w:r w:rsidR="004B5E65">
        <w:t xml:space="preserve"> en nu de semi-neonicotinoïden</w:t>
      </w:r>
      <w:r>
        <w:t>, maar er is geen wezenlijke ver</w:t>
      </w:r>
      <w:r w:rsidR="00A73F17">
        <w:t>andering</w:t>
      </w:r>
      <w:r>
        <w:t xml:space="preserve">. Nog steeds is de industriële landbouw met een hoog </w:t>
      </w:r>
      <w:r w:rsidR="002108B1">
        <w:t>pesticiden gebruik</w:t>
      </w:r>
      <w:r>
        <w:t xml:space="preserve"> de leidende vorm van landbouw in Nederland. En zien we de ‘</w:t>
      </w:r>
      <w:proofErr w:type="spellStart"/>
      <w:r>
        <w:t>Silent</w:t>
      </w:r>
      <w:proofErr w:type="spellEnd"/>
      <w:r>
        <w:t xml:space="preserve"> Spring’ in haar volle omvang. De biodiversiteit is </w:t>
      </w:r>
      <w:r w:rsidR="002108B1">
        <w:t>ingestort</w:t>
      </w:r>
      <w:r w:rsidR="001A0840">
        <w:t xml:space="preserve">, </w:t>
      </w:r>
      <w:r w:rsidR="00033171">
        <w:t>met een voorname rol voor</w:t>
      </w:r>
      <w:r w:rsidR="001A0840">
        <w:t xml:space="preserve"> pesticiden</w:t>
      </w:r>
      <w:r w:rsidR="001A0840">
        <w:rPr>
          <w:rStyle w:val="Voetnootmarkering"/>
        </w:rPr>
        <w:footnoteReference w:id="1"/>
      </w:r>
      <w:r>
        <w:t>. En onze landbouwgebieden fungeren als een</w:t>
      </w:r>
      <w:r w:rsidR="000C1B8B">
        <w:t xml:space="preserve"> soort van</w:t>
      </w:r>
      <w:r>
        <w:t xml:space="preserve"> ‘zwart gat’ </w:t>
      </w:r>
      <w:r w:rsidR="000C1B8B">
        <w:t>voor</w:t>
      </w:r>
      <w:r>
        <w:t xml:space="preserve"> </w:t>
      </w:r>
      <w:r w:rsidR="004B5E65">
        <w:t>natuurlijke organismen</w:t>
      </w:r>
      <w:r>
        <w:t xml:space="preserve">. </w:t>
      </w:r>
      <w:r w:rsidRPr="002430AC" w:rsidR="004B5E65">
        <w:t>We moeten</w:t>
      </w:r>
      <w:r w:rsidR="00330A2E">
        <w:t xml:space="preserve"> </w:t>
      </w:r>
      <w:r w:rsidRPr="002430AC" w:rsidR="004B5E65">
        <w:t>afscheid nemen van de</w:t>
      </w:r>
      <w:r w:rsidR="00033171">
        <w:t>ze</w:t>
      </w:r>
      <w:r w:rsidRPr="002430AC" w:rsidR="004B5E65">
        <w:t xml:space="preserve"> </w:t>
      </w:r>
      <w:r w:rsidR="000C1B8B">
        <w:t xml:space="preserve">vorm van </w:t>
      </w:r>
      <w:r w:rsidRPr="002430AC" w:rsidR="004B5E65">
        <w:t>landbouw</w:t>
      </w:r>
      <w:r w:rsidR="002430AC">
        <w:t xml:space="preserve">; de alternatieven, geïntegreerde teelt en biologisch </w:t>
      </w:r>
      <w:r w:rsidR="0062099B">
        <w:t>staan klaar</w:t>
      </w:r>
      <w:r w:rsidR="002430AC">
        <w:t>.</w:t>
      </w:r>
    </w:p>
    <w:p w:rsidR="004B5E65" w:rsidP="005E277E" w:rsidRDefault="004B5E65" w14:paraId="65C507D1" w14:textId="77777777">
      <w:pPr>
        <w:spacing w:after="0"/>
        <w:rPr>
          <w:b/>
          <w:bCs/>
          <w:color w:val="FF0000"/>
        </w:rPr>
      </w:pPr>
    </w:p>
    <w:p w:rsidR="005E277E" w:rsidP="005E277E" w:rsidRDefault="00BD1DBE" w14:paraId="52D597E4" w14:textId="77777777">
      <w:pPr>
        <w:spacing w:after="0"/>
        <w:rPr>
          <w:b/>
          <w:bCs/>
          <w:color w:val="FF0000"/>
        </w:rPr>
      </w:pPr>
      <w:r w:rsidRPr="00E86AD4">
        <w:rPr>
          <w:b/>
          <w:bCs/>
          <w:color w:val="FF0000"/>
        </w:rPr>
        <w:t xml:space="preserve">Kosten afgewenteld op de samenleving. </w:t>
      </w:r>
    </w:p>
    <w:p w:rsidR="00DA19EF" w:rsidP="005E277E" w:rsidRDefault="00E86AD4" w14:paraId="14B6B7E2" w14:textId="49F2274F">
      <w:pPr>
        <w:spacing w:after="0"/>
      </w:pPr>
      <w:r>
        <w:t>Economisch gezien is het gebruik van pesticiden onbegrijpelijk. Miljarden</w:t>
      </w:r>
      <w:r w:rsidR="00EE118D">
        <w:t xml:space="preserve"> </w:t>
      </w:r>
      <w:r w:rsidR="00B8669C">
        <w:t>e</w:t>
      </w:r>
      <w:r w:rsidR="00EE118D">
        <w:t xml:space="preserve">uro’s </w:t>
      </w:r>
      <w:r>
        <w:t xml:space="preserve">schade voor de mens (stijgende </w:t>
      </w:r>
      <w:r w:rsidR="00033171">
        <w:t xml:space="preserve">kosten </w:t>
      </w:r>
      <w:r>
        <w:t>chronische ziektes</w:t>
      </w:r>
      <w:r w:rsidR="00033171">
        <w:t>;</w:t>
      </w:r>
      <w:r>
        <w:t xml:space="preserve"> verlies kwaliteit van leven) en milieuvernietiging</w:t>
      </w:r>
      <w:r w:rsidR="00B8669C">
        <w:t xml:space="preserve"> </w:t>
      </w:r>
      <w:r w:rsidR="005C19C3">
        <w:t>worden voor lief genomen</w:t>
      </w:r>
      <w:r>
        <w:t>. Een schade die niet door de fabrikant of gebruiker wordt betaald, maar door de samenleving. Een nieuw rapport</w:t>
      </w:r>
      <w:r w:rsidR="003E0009">
        <w:rPr>
          <w:rStyle w:val="Voetnootmarkering"/>
        </w:rPr>
        <w:footnoteReference w:id="2"/>
      </w:r>
      <w:r>
        <w:t xml:space="preserve"> </w:t>
      </w:r>
      <w:r w:rsidR="003E0009">
        <w:t xml:space="preserve">stelt vast dat de kosten voor de samenleving in Europa </w:t>
      </w:r>
      <w:r w:rsidR="00DA19EF">
        <w:t xml:space="preserve">bij het gebruik van pesticiden </w:t>
      </w:r>
      <w:r w:rsidR="003E0009">
        <w:t xml:space="preserve">2,5x hoger zijn dan de opbrengsten voor de sector. </w:t>
      </w:r>
      <w:r w:rsidR="00DA19EF">
        <w:t xml:space="preserve">Een berekening die nog vele soorten moeilijk berekenbare schade, zoals </w:t>
      </w:r>
      <w:r w:rsidR="00B8669C">
        <w:t xml:space="preserve">die </w:t>
      </w:r>
      <w:r w:rsidR="00DA19EF">
        <w:t xml:space="preserve">aan de biodiversiteit, buiten beschouwing laat. </w:t>
      </w:r>
      <w:r w:rsidRPr="00B8669C" w:rsidR="00DA19EF">
        <w:rPr>
          <w:b/>
          <w:bCs/>
        </w:rPr>
        <w:t>Voorstel:</w:t>
      </w:r>
      <w:r w:rsidRPr="00B8669C" w:rsidR="00DA19EF">
        <w:t xml:space="preserve"> start met een </w:t>
      </w:r>
      <w:r w:rsidR="002108B1">
        <w:t>pesticiden</w:t>
      </w:r>
      <w:r w:rsidRPr="00B8669C" w:rsidR="002108B1">
        <w:t xml:space="preserve"> heffing</w:t>
      </w:r>
      <w:r w:rsidRPr="00B8669C" w:rsidR="00DA19EF">
        <w:t xml:space="preserve"> om </w:t>
      </w:r>
      <w:r w:rsidR="000C1B8B">
        <w:t>de kosten</w:t>
      </w:r>
      <w:r w:rsidRPr="00B8669C" w:rsidR="00DA19EF">
        <w:t xml:space="preserve"> te </w:t>
      </w:r>
      <w:r w:rsidR="004E7308">
        <w:t>leggen</w:t>
      </w:r>
      <w:r w:rsidR="00046620">
        <w:t xml:space="preserve"> </w:t>
      </w:r>
      <w:r w:rsidR="004E7308">
        <w:t>waar die ho</w:t>
      </w:r>
      <w:r w:rsidR="000C1B8B">
        <w:t>ren</w:t>
      </w:r>
      <w:r w:rsidR="004E7308">
        <w:t xml:space="preserve"> </w:t>
      </w:r>
      <w:r w:rsidR="00046620">
        <w:t xml:space="preserve">en te </w:t>
      </w:r>
      <w:r w:rsidRPr="00B8669C" w:rsidR="00EE118D">
        <w:t>voorkomen</w:t>
      </w:r>
      <w:r w:rsidRPr="00B8669C" w:rsidR="00DA19EF">
        <w:t>.</w:t>
      </w:r>
    </w:p>
    <w:p w:rsidR="005E277E" w:rsidP="005E277E" w:rsidRDefault="005E277E" w14:paraId="5A4EE5CA" w14:textId="77777777">
      <w:pPr>
        <w:spacing w:after="0"/>
      </w:pPr>
    </w:p>
    <w:p w:rsidRPr="005F6ABD" w:rsidR="005F6ABD" w:rsidP="005E277E" w:rsidRDefault="005F6ABD" w14:paraId="5E63A4FA" w14:textId="11079CDA">
      <w:pPr>
        <w:spacing w:after="0"/>
        <w:rPr>
          <w:b/>
          <w:bCs/>
          <w:color w:val="FF0000"/>
        </w:rPr>
      </w:pPr>
      <w:r w:rsidRPr="005F6ABD">
        <w:rPr>
          <w:b/>
          <w:bCs/>
          <w:color w:val="FF0000"/>
        </w:rPr>
        <w:t>De dossiers, de bakker keurt z’n eigen brood.</w:t>
      </w:r>
    </w:p>
    <w:p w:rsidRPr="005F6ABD" w:rsidR="005F6ABD" w:rsidP="005F6ABD" w:rsidRDefault="005F6ABD" w14:paraId="151F497F" w14:textId="06A1646A">
      <w:r>
        <w:t>Ongelofelijk maar waar, de industrie test z’n eigen producten</w:t>
      </w:r>
      <w:r w:rsidR="00330A2E">
        <w:t>.</w:t>
      </w:r>
      <w:r>
        <w:t xml:space="preserve"> Dat vraagt om fraude als het om zulke enorme potentiële winsten gaat. En, inderdaad, er was massale fraude in de jaren -80. Als remedie hebben de autoriteiten </w:t>
      </w:r>
      <w:r w:rsidR="003128ED">
        <w:t>een certificaat</w:t>
      </w:r>
      <w:r w:rsidR="003128ED">
        <w:rPr>
          <w:rStyle w:val="Voetnootmarkering"/>
        </w:rPr>
        <w:footnoteReference w:id="3"/>
      </w:r>
      <w:r w:rsidR="003128ED">
        <w:t xml:space="preserve"> verplicht gesteld. Dit GLP-certificaat </w:t>
      </w:r>
      <w:r w:rsidR="002108B1">
        <w:t>eist</w:t>
      </w:r>
      <w:r w:rsidR="003128ED">
        <w:t xml:space="preserve"> administratie, maar of daar fraude en manipulatie mee is te voorkomen, blijft </w:t>
      </w:r>
      <w:r w:rsidR="00B8669C">
        <w:t>de</w:t>
      </w:r>
      <w:r w:rsidR="003128ED">
        <w:t xml:space="preserve"> vraag. In het geval van Glyfosaat is duidelijk geworden dat </w:t>
      </w:r>
      <w:proofErr w:type="spellStart"/>
      <w:r w:rsidR="003128ED">
        <w:t>Monsanto</w:t>
      </w:r>
      <w:proofErr w:type="spellEnd"/>
      <w:r w:rsidR="003128ED">
        <w:t xml:space="preserve"> de data heeft gemanipuleerd. Het is ook makkelijk om onwelgevallige uitkomsten geheim te houden of een beter meewerkend testlaboratorium uit te zoeken. </w:t>
      </w:r>
      <w:r w:rsidRPr="003128ED" w:rsidR="003128ED">
        <w:rPr>
          <w:b/>
          <w:bCs/>
        </w:rPr>
        <w:t>Voorstel</w:t>
      </w:r>
      <w:r w:rsidR="003128ED">
        <w:t xml:space="preserve">: </w:t>
      </w:r>
      <w:r w:rsidRPr="00EE118D" w:rsidR="003128ED">
        <w:t xml:space="preserve">Nederland gaat in Europa pleiten voor </w:t>
      </w:r>
      <w:r w:rsidR="00046620">
        <w:t>een onafhankelijk testregi</w:t>
      </w:r>
      <w:r w:rsidR="00F605C5">
        <w:t>me</w:t>
      </w:r>
      <w:r w:rsidRPr="00EE118D" w:rsidR="003128ED">
        <w:t>.</w:t>
      </w:r>
      <w:r w:rsidR="003128ED">
        <w:t xml:space="preserve"> </w:t>
      </w:r>
    </w:p>
    <w:p w:rsidRPr="005F6ABD" w:rsidR="003E0009" w:rsidP="005E277E" w:rsidRDefault="00BD1DBE" w14:paraId="52D13E26" w14:textId="0661C5A4">
      <w:pPr>
        <w:spacing w:after="0"/>
        <w:rPr>
          <w:b/>
          <w:bCs/>
          <w:color w:val="FF0000"/>
        </w:rPr>
      </w:pPr>
      <w:r w:rsidRPr="005F6ABD">
        <w:rPr>
          <w:b/>
          <w:bCs/>
          <w:color w:val="FF0000"/>
        </w:rPr>
        <w:t xml:space="preserve">Europese toelating, </w:t>
      </w:r>
      <w:r w:rsidRPr="005F6ABD" w:rsidR="003E0009">
        <w:rPr>
          <w:b/>
          <w:bCs/>
          <w:color w:val="FF0000"/>
        </w:rPr>
        <w:t xml:space="preserve">onafhankelijke wetenschap </w:t>
      </w:r>
      <w:r w:rsidR="00330A2E">
        <w:rPr>
          <w:b/>
          <w:bCs/>
          <w:color w:val="FF0000"/>
        </w:rPr>
        <w:t>telt n</w:t>
      </w:r>
      <w:r w:rsidR="00BC7B62">
        <w:rPr>
          <w:b/>
          <w:bCs/>
          <w:color w:val="FF0000"/>
        </w:rPr>
        <w:t>auwelijks</w:t>
      </w:r>
      <w:r w:rsidR="00330A2E">
        <w:rPr>
          <w:b/>
          <w:bCs/>
          <w:color w:val="FF0000"/>
        </w:rPr>
        <w:t xml:space="preserve"> mee</w:t>
      </w:r>
      <w:r w:rsidRPr="005F6ABD" w:rsidR="003E0009">
        <w:rPr>
          <w:b/>
          <w:bCs/>
          <w:color w:val="FF0000"/>
        </w:rPr>
        <w:t>.</w:t>
      </w:r>
    </w:p>
    <w:p w:rsidRPr="00DA19EF" w:rsidR="00DA19EF" w:rsidP="00480FC1" w:rsidRDefault="00DA19EF" w14:paraId="20828161" w14:textId="531F2F3A">
      <w:r w:rsidRPr="00DA19EF">
        <w:t xml:space="preserve">De </w:t>
      </w:r>
      <w:r w:rsidR="00330A2E">
        <w:t>toelating</w:t>
      </w:r>
      <w:r w:rsidR="005F6ABD">
        <w:t xml:space="preserve"> </w:t>
      </w:r>
      <w:r w:rsidR="00B8669C">
        <w:t>moet gebaseerd zijn</w:t>
      </w:r>
      <w:r w:rsidR="00A77BBE">
        <w:t xml:space="preserve"> op een wetenschappelijke beoordeling</w:t>
      </w:r>
      <w:r w:rsidRPr="00EE118D" w:rsidR="00EE118D">
        <w:rPr>
          <w:vertAlign w:val="superscript"/>
        </w:rPr>
        <w:footnoteReference w:id="4"/>
      </w:r>
      <w:r w:rsidR="005F6ABD">
        <w:t xml:space="preserve">. </w:t>
      </w:r>
      <w:r w:rsidR="0050000C">
        <w:t>Een EFSA richtsnoer</w:t>
      </w:r>
      <w:r w:rsidR="0050000C">
        <w:rPr>
          <w:rStyle w:val="Voetnootmarkering"/>
        </w:rPr>
        <w:footnoteReference w:id="5"/>
      </w:r>
      <w:r w:rsidR="0050000C">
        <w:t xml:space="preserve"> bepaalt echter dat de data van de industrie meer betrouwbaar zijn dan de research van onafhankelijke wetenschappers</w:t>
      </w:r>
      <w:r w:rsidR="00B8669C">
        <w:t>. En dat het werk van academici</w:t>
      </w:r>
      <w:r w:rsidR="00A77BBE">
        <w:t xml:space="preserve"> genegeerd kan worden</w:t>
      </w:r>
      <w:r w:rsidR="0050000C">
        <w:t>.</w:t>
      </w:r>
      <w:r w:rsidR="005F6ABD">
        <w:t xml:space="preserve"> </w:t>
      </w:r>
      <w:r w:rsidR="0050000C">
        <w:t>De systematiek is ontworpen door 3 medewerkers van BASF</w:t>
      </w:r>
      <w:r w:rsidR="0050000C">
        <w:rPr>
          <w:rStyle w:val="Voetnootmarkering"/>
        </w:rPr>
        <w:footnoteReference w:id="6"/>
      </w:r>
      <w:r w:rsidR="00B4682B">
        <w:t xml:space="preserve">. </w:t>
      </w:r>
      <w:r w:rsidR="004823F7">
        <w:t>Daarmee</w:t>
      </w:r>
      <w:r w:rsidR="00B4682B">
        <w:t xml:space="preserve"> </w:t>
      </w:r>
      <w:r w:rsidR="00BC7B62">
        <w:t>wordt</w:t>
      </w:r>
      <w:r w:rsidR="00B4682B">
        <w:t xml:space="preserve"> het </w:t>
      </w:r>
      <w:r w:rsidR="005E277E">
        <w:t xml:space="preserve">politieke </w:t>
      </w:r>
      <w:r w:rsidR="00B4682B">
        <w:t xml:space="preserve">besluit </w:t>
      </w:r>
      <w:r w:rsidR="00A77BBE">
        <w:t>uit</w:t>
      </w:r>
      <w:r w:rsidR="00B4682B">
        <w:t xml:space="preserve"> 2009 om onafhankelijke literatuur mee te nemen </w:t>
      </w:r>
      <w:r w:rsidR="004823F7">
        <w:t>bij</w:t>
      </w:r>
      <w:r w:rsidR="00B4682B">
        <w:t xml:space="preserve"> de beoordelingen </w:t>
      </w:r>
      <w:r w:rsidR="0062099B">
        <w:t>ondermijnd</w:t>
      </w:r>
      <w:r w:rsidR="00B4682B">
        <w:t xml:space="preserve">. </w:t>
      </w:r>
      <w:r w:rsidR="00C63870">
        <w:t>Zelfs in de huidige herziening van Glyfosaat word</w:t>
      </w:r>
      <w:r w:rsidR="00BC7B62">
        <w:t>t</w:t>
      </w:r>
      <w:r w:rsidR="00C63870">
        <w:t xml:space="preserve"> van de </w:t>
      </w:r>
      <w:r w:rsidR="005C19C3">
        <w:t xml:space="preserve">ca. </w:t>
      </w:r>
      <w:r w:rsidR="00C63870">
        <w:t>7000 onafhankelijke studie</w:t>
      </w:r>
      <w:r w:rsidR="00B8669C">
        <w:t>s</w:t>
      </w:r>
      <w:r w:rsidR="005C19C3">
        <w:t xml:space="preserve"> die er zijn, </w:t>
      </w:r>
      <w:r w:rsidR="00C63870">
        <w:t xml:space="preserve">maar 0,4% </w:t>
      </w:r>
      <w:r w:rsidR="004823F7">
        <w:t>‘</w:t>
      </w:r>
      <w:r w:rsidR="00C63870">
        <w:t>betrokken</w:t>
      </w:r>
      <w:r w:rsidR="004823F7">
        <w:t>’</w:t>
      </w:r>
      <w:r w:rsidR="00C63870">
        <w:t xml:space="preserve"> bij de beoordeling</w:t>
      </w:r>
      <w:r w:rsidR="00C63870">
        <w:rPr>
          <w:rStyle w:val="Voetnootmarkering"/>
        </w:rPr>
        <w:footnoteReference w:id="7"/>
      </w:r>
      <w:r w:rsidR="00C91AE2">
        <w:t>,</w:t>
      </w:r>
      <w:r w:rsidR="005C19C3">
        <w:t xml:space="preserve"> en</w:t>
      </w:r>
      <w:r w:rsidR="00C91AE2">
        <w:t xml:space="preserve"> uiteindelijke niet </w:t>
      </w:r>
      <w:r w:rsidR="004823F7">
        <w:t xml:space="preserve">eentje daarvan </w:t>
      </w:r>
      <w:r w:rsidR="00C91AE2">
        <w:t>als ‘</w:t>
      </w:r>
      <w:proofErr w:type="spellStart"/>
      <w:r w:rsidR="00C91AE2">
        <w:t>key</w:t>
      </w:r>
      <w:proofErr w:type="spellEnd"/>
      <w:r w:rsidR="00C91AE2">
        <w:t xml:space="preserve"> </w:t>
      </w:r>
      <w:proofErr w:type="spellStart"/>
      <w:r w:rsidR="00C91AE2">
        <w:t>study</w:t>
      </w:r>
      <w:proofErr w:type="spellEnd"/>
      <w:r w:rsidR="00C91AE2">
        <w:t>’ beschouwd</w:t>
      </w:r>
      <w:r w:rsidR="00E16AFC">
        <w:t>. H</w:t>
      </w:r>
      <w:r w:rsidR="00C91AE2">
        <w:t>et oordeel</w:t>
      </w:r>
      <w:r w:rsidR="00E16AFC">
        <w:t xml:space="preserve"> rust dus</w:t>
      </w:r>
      <w:r w:rsidR="00C91AE2">
        <w:t xml:space="preserve"> weer voor 100% op de </w:t>
      </w:r>
      <w:r w:rsidR="005C19C3">
        <w:t xml:space="preserve">door de </w:t>
      </w:r>
      <w:r w:rsidR="00C91AE2">
        <w:t xml:space="preserve">industrie </w:t>
      </w:r>
      <w:r w:rsidR="005C19C3">
        <w:t xml:space="preserve">gesponsorde </w:t>
      </w:r>
      <w:r w:rsidR="00C91AE2">
        <w:t xml:space="preserve">studies. </w:t>
      </w:r>
      <w:r w:rsidRPr="00DF76B6" w:rsidR="00C91AE2">
        <w:rPr>
          <w:b/>
          <w:bCs/>
        </w:rPr>
        <w:t>Voorstel</w:t>
      </w:r>
      <w:r w:rsidR="00C91AE2">
        <w:t xml:space="preserve">: Nederland pleit er in Brussel voor dat onafhankelijke literatuur even zwaar wordt gewogen als de </w:t>
      </w:r>
      <w:r w:rsidR="004823F7">
        <w:t xml:space="preserve">studies van de </w:t>
      </w:r>
      <w:r w:rsidR="00C91AE2">
        <w:t xml:space="preserve">industrie. </w:t>
      </w:r>
    </w:p>
    <w:p w:rsidR="005C19C3" w:rsidP="005E277E" w:rsidRDefault="005C19C3" w14:paraId="7D353641" w14:textId="77777777">
      <w:pPr>
        <w:spacing w:after="0"/>
        <w:rPr>
          <w:b/>
          <w:bCs/>
          <w:color w:val="FF0000"/>
        </w:rPr>
      </w:pPr>
    </w:p>
    <w:p w:rsidRPr="00C91AE2" w:rsidR="00BD1DBE" w:rsidP="005E277E" w:rsidRDefault="003E0009" w14:paraId="5E2CD18C" w14:textId="7895E496">
      <w:pPr>
        <w:spacing w:after="0"/>
        <w:rPr>
          <w:b/>
          <w:bCs/>
          <w:color w:val="FF0000"/>
        </w:rPr>
      </w:pPr>
      <w:r w:rsidRPr="00C91AE2">
        <w:rPr>
          <w:b/>
          <w:bCs/>
          <w:color w:val="FF0000"/>
        </w:rPr>
        <w:lastRenderedPageBreak/>
        <w:t xml:space="preserve">Europese richtsnoeren, </w:t>
      </w:r>
      <w:r w:rsidR="00972CA0">
        <w:rPr>
          <w:b/>
          <w:bCs/>
          <w:color w:val="FF0000"/>
        </w:rPr>
        <w:t>en</w:t>
      </w:r>
      <w:r w:rsidR="00C91AE2">
        <w:rPr>
          <w:b/>
          <w:bCs/>
          <w:color w:val="FF0000"/>
        </w:rPr>
        <w:t xml:space="preserve"> opnieuw </w:t>
      </w:r>
      <w:r w:rsidRPr="00C91AE2" w:rsidR="00BD1DBE">
        <w:rPr>
          <w:b/>
          <w:bCs/>
          <w:color w:val="FF0000"/>
        </w:rPr>
        <w:t>de bakker keurt z’n eigen brood.</w:t>
      </w:r>
    </w:p>
    <w:p w:rsidR="00B51359" w:rsidP="00480FC1" w:rsidRDefault="00BD1DBE" w14:paraId="6A1A2CE0" w14:textId="0FC7F626">
      <w:r>
        <w:t xml:space="preserve">De Europese </w:t>
      </w:r>
      <w:r w:rsidR="00A77BBE">
        <w:t xml:space="preserve">pesticiden </w:t>
      </w:r>
      <w:r>
        <w:t xml:space="preserve">wetgeving </w:t>
      </w:r>
      <w:r w:rsidR="00A77BBE">
        <w:t xml:space="preserve">is </w:t>
      </w:r>
      <w:r w:rsidR="005E277E">
        <w:t xml:space="preserve">lang </w:t>
      </w:r>
      <w:r w:rsidR="00A77BBE">
        <w:t xml:space="preserve">niet slecht. Dat </w:t>
      </w:r>
      <w:r w:rsidR="005C19C3">
        <w:t>is</w:t>
      </w:r>
      <w:r w:rsidR="00A77BBE">
        <w:t xml:space="preserve"> vooral te danken aan de betrokkenheid van het EU parlement. D</w:t>
      </w:r>
      <w:r w:rsidR="00E16AFC">
        <w:t>at</w:t>
      </w:r>
      <w:r w:rsidR="00A77BBE">
        <w:t xml:space="preserve"> wilde </w:t>
      </w:r>
      <w:r w:rsidR="005C19C3">
        <w:t xml:space="preserve">haar </w:t>
      </w:r>
      <w:r w:rsidR="00A77BBE">
        <w:t xml:space="preserve">burgers beschermen. De </w:t>
      </w:r>
      <w:r>
        <w:t xml:space="preserve">pesticiden industrie </w:t>
      </w:r>
      <w:r w:rsidR="00A77BBE">
        <w:t xml:space="preserve">heeft toen, heel slim, besloten zich te richten </w:t>
      </w:r>
      <w:r>
        <w:t>op de invulling van de regels. Met hun uitpuilende beurzen en ingehuurde experts, helaas ook diverse vanuit ‘Wageningen’, zijn ze daar behoorlijk goed in geslaagd. De Europese richtsnoeren komen bijna allemaal uit de koker van de industrie en leiden er toe dat de pesticiden</w:t>
      </w:r>
      <w:r w:rsidR="004823F7">
        <w:t xml:space="preserve"> </w:t>
      </w:r>
      <w:r w:rsidR="00AF18FA">
        <w:t>vaak</w:t>
      </w:r>
      <w:r>
        <w:t xml:space="preserve"> toch ‘veilig’ zijn</w:t>
      </w:r>
      <w:r w:rsidR="002C6FDD">
        <w:rPr>
          <w:rStyle w:val="Voetnootmarkering"/>
        </w:rPr>
        <w:footnoteReference w:id="8"/>
      </w:r>
      <w:r>
        <w:t xml:space="preserve">. </w:t>
      </w:r>
      <w:r w:rsidR="00046620">
        <w:t>Veel w</w:t>
      </w:r>
      <w:r w:rsidR="00DD536C">
        <w:t xml:space="preserve">etenschap komt daar </w:t>
      </w:r>
      <w:r w:rsidR="00AF18FA">
        <w:t>doorgaans</w:t>
      </w:r>
      <w:r w:rsidR="00BC7B62">
        <w:t xml:space="preserve"> niet</w:t>
      </w:r>
      <w:r w:rsidR="00DD536C">
        <w:t xml:space="preserve"> bij te pas. Het zijn experts in panels van EFSA</w:t>
      </w:r>
      <w:r w:rsidR="004823F7">
        <w:t xml:space="preserve"> met hun visies</w:t>
      </w:r>
      <w:r w:rsidR="00DD536C">
        <w:t xml:space="preserve"> en ‘toevallig’ hebben industrie-gelieerde experts zich hier massaal voor aangemeld. Wat krom is wordt recht gepraat. </w:t>
      </w:r>
      <w:r w:rsidR="005E277E">
        <w:t>B</w:t>
      </w:r>
      <w:r w:rsidR="00DD536C">
        <w:t xml:space="preserve">ijv. </w:t>
      </w:r>
      <w:r w:rsidR="00283E40">
        <w:t xml:space="preserve">als </w:t>
      </w:r>
      <w:r w:rsidR="00DD536C">
        <w:t>alle insecten dood</w:t>
      </w:r>
      <w:r w:rsidR="00283E40">
        <w:t xml:space="preserve"> </w:t>
      </w:r>
      <w:r w:rsidR="000327D0">
        <w:t xml:space="preserve">blijken te </w:t>
      </w:r>
      <w:r w:rsidR="00DD536C">
        <w:t xml:space="preserve">gaan door een bespuiting, </w:t>
      </w:r>
      <w:r w:rsidR="00E16AFC">
        <w:t xml:space="preserve">nemen de experts aan </w:t>
      </w:r>
      <w:r w:rsidR="00DD536C">
        <w:t>dat dat niet erg is omdat ze het volgend jaar wel terug komen (‘recovery’ heet dat)</w:t>
      </w:r>
      <w:r w:rsidR="004823F7">
        <w:t>. Z</w:t>
      </w:r>
      <w:r w:rsidR="00DD536C">
        <w:t>onder enig wetenschappelijk bewijs</w:t>
      </w:r>
      <w:r w:rsidR="004823F7">
        <w:t xml:space="preserve"> te leveren</w:t>
      </w:r>
      <w:r w:rsidR="00DD536C">
        <w:t xml:space="preserve">. Als in dierstudies </w:t>
      </w:r>
      <w:r w:rsidR="00E16AFC">
        <w:t>schildklier</w:t>
      </w:r>
      <w:r w:rsidR="00DD536C">
        <w:t>tumoren voorkomen als gevolg van blootstelling aan een pesticide wordt gezegd dat die ‘</w:t>
      </w:r>
      <w:r w:rsidR="000327D0">
        <w:t>knaagdier specifiek</w:t>
      </w:r>
      <w:r w:rsidR="00DD536C">
        <w:t>’ zijn</w:t>
      </w:r>
      <w:r w:rsidR="004421AC">
        <w:t>, n</w:t>
      </w:r>
      <w:r w:rsidR="00DD536C">
        <w:t>iet relevant</w:t>
      </w:r>
      <w:r w:rsidR="004823F7">
        <w:t xml:space="preserve"> voor de mens</w:t>
      </w:r>
      <w:r w:rsidR="004421AC">
        <w:t xml:space="preserve"> en veilig</w:t>
      </w:r>
      <w:r w:rsidR="00DD536C">
        <w:t xml:space="preserve">. </w:t>
      </w:r>
      <w:r w:rsidRPr="00DF76B6" w:rsidR="00972CA0">
        <w:rPr>
          <w:b/>
          <w:bCs/>
        </w:rPr>
        <w:t>Voorstel</w:t>
      </w:r>
      <w:r w:rsidR="00972CA0">
        <w:t>: N</w:t>
      </w:r>
      <w:r w:rsidR="002430AC">
        <w:t>ederland</w:t>
      </w:r>
      <w:r w:rsidR="00972CA0">
        <w:t xml:space="preserve"> pleit in Brussel voor herziening van alle richtsnoeren door wetenschappers</w:t>
      </w:r>
      <w:r w:rsidR="004A0E32">
        <w:t xml:space="preserve"> </w:t>
      </w:r>
      <w:r w:rsidR="002430AC">
        <w:t>zonder</w:t>
      </w:r>
      <w:r w:rsidR="004A0E32">
        <w:t xml:space="preserve"> </w:t>
      </w:r>
      <w:r w:rsidR="00ED3601">
        <w:t xml:space="preserve">enige </w:t>
      </w:r>
      <w:r w:rsidR="00E16AFC">
        <w:t>band met</w:t>
      </w:r>
      <w:r w:rsidR="004A0E32">
        <w:t xml:space="preserve"> de industrie</w:t>
      </w:r>
      <w:r w:rsidR="00972CA0">
        <w:t>.</w:t>
      </w:r>
    </w:p>
    <w:p w:rsidRPr="00DF76B6" w:rsidR="00972CA0" w:rsidP="005E277E" w:rsidRDefault="00972CA0" w14:paraId="36D22C31" w14:textId="64C5C39A">
      <w:pPr>
        <w:spacing w:after="0"/>
        <w:rPr>
          <w:b/>
          <w:bCs/>
          <w:color w:val="FF0000"/>
        </w:rPr>
      </w:pPr>
      <w:r w:rsidRPr="00DF76B6">
        <w:rPr>
          <w:b/>
          <w:bCs/>
          <w:color w:val="FF0000"/>
        </w:rPr>
        <w:t>N</w:t>
      </w:r>
      <w:r w:rsidR="004823F7">
        <w:rPr>
          <w:b/>
          <w:bCs/>
          <w:color w:val="FF0000"/>
        </w:rPr>
        <w:t>ederlands</w:t>
      </w:r>
      <w:r w:rsidRPr="00DF76B6">
        <w:rPr>
          <w:b/>
          <w:bCs/>
          <w:color w:val="FF0000"/>
        </w:rPr>
        <w:t xml:space="preserve"> beleid </w:t>
      </w:r>
      <w:r w:rsidR="00BC7B62">
        <w:rPr>
          <w:b/>
          <w:bCs/>
          <w:color w:val="FF0000"/>
        </w:rPr>
        <w:t>onzichtbaar</w:t>
      </w:r>
      <w:r w:rsidRPr="00DF76B6">
        <w:rPr>
          <w:b/>
          <w:bCs/>
          <w:color w:val="FF0000"/>
        </w:rPr>
        <w:t>.</w:t>
      </w:r>
    </w:p>
    <w:p w:rsidR="00972CA0" w:rsidP="00480FC1" w:rsidRDefault="00972CA0" w14:paraId="3C560117" w14:textId="4C0608D4">
      <w:r>
        <w:t xml:space="preserve">Geen 50% reductie van pesticiden in het nieuwe regeerakkoord, geen 25% biologische landbouw, geen heffing op pesticiden, geen </w:t>
      </w:r>
      <w:r w:rsidR="002F06B2">
        <w:t xml:space="preserve">verplichting alternatieven toe te passen. Maar wel </w:t>
      </w:r>
      <w:r>
        <w:t>“</w:t>
      </w:r>
      <w:r w:rsidRPr="00E16AFC">
        <w:rPr>
          <w:i/>
          <w:iCs/>
        </w:rPr>
        <w:t>We intensiveren de ingezette omslag naar geïntegreerde gewasbescherming…</w:t>
      </w:r>
      <w:r>
        <w:t xml:space="preserve"> “</w:t>
      </w:r>
      <w:r w:rsidR="002F06B2">
        <w:t xml:space="preserve">, </w:t>
      </w:r>
      <w:r w:rsidR="000327D0">
        <w:t>met de suggestie dat we op de goede weg zijn</w:t>
      </w:r>
      <w:r>
        <w:t>. Recent is nog weer eens aangetoond</w:t>
      </w:r>
      <w:r w:rsidR="00EF272E">
        <w:t xml:space="preserve"> dat een </w:t>
      </w:r>
      <w:r w:rsidR="00BC7B62">
        <w:t xml:space="preserve">dergelijke </w:t>
      </w:r>
      <w:r w:rsidR="00EF272E">
        <w:t>omslag</w:t>
      </w:r>
      <w:r w:rsidR="00BC7B62">
        <w:t xml:space="preserve"> niet terug te vinden is in de</w:t>
      </w:r>
      <w:r w:rsidR="005D2331">
        <w:t xml:space="preserve"> </w:t>
      </w:r>
      <w:r w:rsidR="00BC7B62">
        <w:t>cijfer</w:t>
      </w:r>
      <w:r w:rsidR="005D2331">
        <w:t xml:space="preserve">s. Die tonen </w:t>
      </w:r>
      <w:r w:rsidR="002F06B2">
        <w:t xml:space="preserve">een stijgende vervuiling </w:t>
      </w:r>
      <w:r w:rsidR="005D2331">
        <w:t>aan</w:t>
      </w:r>
      <w:r w:rsidRPr="005D2331" w:rsidR="005D2331">
        <w:rPr>
          <w:vertAlign w:val="superscript"/>
        </w:rPr>
        <w:footnoteReference w:id="9"/>
      </w:r>
      <w:r w:rsidR="00EF272E">
        <w:t xml:space="preserve">. </w:t>
      </w:r>
      <w:r w:rsidRPr="00DF76B6" w:rsidR="00EF272E">
        <w:rPr>
          <w:b/>
          <w:bCs/>
        </w:rPr>
        <w:t>Voorstel:</w:t>
      </w:r>
      <w:r w:rsidR="00EF272E">
        <w:t xml:space="preserve"> Nederland neemt alle Europese doelstellingen 1:1 over</w:t>
      </w:r>
      <w:r w:rsidR="00E91734">
        <w:t xml:space="preserve"> en gaat over tot verplichte invoering van geïntegreerde landbouw.</w:t>
      </w:r>
    </w:p>
    <w:p w:rsidRPr="00DF76B6" w:rsidR="00DF76B6" w:rsidP="005E277E" w:rsidRDefault="00DF76B6" w14:paraId="0C251541" w14:textId="413BBFC6">
      <w:pPr>
        <w:spacing w:after="0"/>
        <w:rPr>
          <w:b/>
          <w:bCs/>
          <w:color w:val="FF0000"/>
        </w:rPr>
      </w:pPr>
      <w:r w:rsidRPr="00DF76B6">
        <w:rPr>
          <w:b/>
          <w:bCs/>
          <w:color w:val="FF0000"/>
        </w:rPr>
        <w:t xml:space="preserve">Nederland </w:t>
      </w:r>
      <w:r w:rsidR="005D2331">
        <w:rPr>
          <w:b/>
          <w:bCs/>
          <w:color w:val="FF0000"/>
        </w:rPr>
        <w:t>ontwijkt</w:t>
      </w:r>
      <w:r w:rsidRPr="00DF76B6">
        <w:rPr>
          <w:b/>
          <w:bCs/>
          <w:color w:val="FF0000"/>
        </w:rPr>
        <w:t xml:space="preserve"> afgesproken vervanging. </w:t>
      </w:r>
    </w:p>
    <w:p w:rsidR="00DF76B6" w:rsidP="00480FC1" w:rsidRDefault="00DF76B6" w14:paraId="78ACDCC3" w14:textId="04CA8929">
      <w:r>
        <w:t xml:space="preserve">De </w:t>
      </w:r>
      <w:r w:rsidR="00D135A3">
        <w:t>V</w:t>
      </w:r>
      <w:r>
        <w:t xml:space="preserve">erordening (art.50) bepaalt dat de meest giftige pesticiden vervangen moeten worden. Dat zijn er op dit moment zo’n 55 van de 500. </w:t>
      </w:r>
      <w:r w:rsidR="00E91734">
        <w:t xml:space="preserve">Nationaal moet daarom een </w:t>
      </w:r>
      <w:r w:rsidR="00046620">
        <w:t>“</w:t>
      </w:r>
      <w:r w:rsidR="00E91734">
        <w:t>vergelijkende analyse</w:t>
      </w:r>
      <w:r w:rsidR="00046620">
        <w:t>”</w:t>
      </w:r>
      <w:r w:rsidR="00E91734">
        <w:t xml:space="preserve"> worden uitgevoerd met alternatieven. </w:t>
      </w:r>
      <w:r w:rsidR="000327D0">
        <w:t>H</w:t>
      </w:r>
      <w:r w:rsidR="00E91734">
        <w:t xml:space="preserve">et </w:t>
      </w:r>
      <w:proofErr w:type="spellStart"/>
      <w:r w:rsidR="00E91734">
        <w:t>Ctgb</w:t>
      </w:r>
      <w:proofErr w:type="spellEnd"/>
      <w:r w:rsidR="00E91734">
        <w:t xml:space="preserve"> </w:t>
      </w:r>
      <w:r w:rsidR="00F62CA5">
        <w:t>ondermijn</w:t>
      </w:r>
      <w:r w:rsidR="00782DC4">
        <w:t>t</w:t>
      </w:r>
      <w:r w:rsidR="00F62CA5">
        <w:t xml:space="preserve"> deze bepaling </w:t>
      </w:r>
      <w:r w:rsidR="00283E40">
        <w:t xml:space="preserve">echter </w:t>
      </w:r>
      <w:r w:rsidR="00E91734">
        <w:t xml:space="preserve">door het bestrijden van resistentie voorrang </w:t>
      </w:r>
      <w:r w:rsidR="00AF18FA">
        <w:t xml:space="preserve">te geven </w:t>
      </w:r>
      <w:r w:rsidR="00E91734">
        <w:t xml:space="preserve">op vervanging. </w:t>
      </w:r>
      <w:r w:rsidR="00DF2793">
        <w:t>E</w:t>
      </w:r>
      <w:r w:rsidR="00D135A3">
        <w:t xml:space="preserve">en procedure </w:t>
      </w:r>
      <w:r w:rsidR="00DF2793">
        <w:t>gevoerd door PAN Europe</w:t>
      </w:r>
      <w:r w:rsidR="00D135A3">
        <w:t xml:space="preserve"> over het middel </w:t>
      </w:r>
      <w:proofErr w:type="spellStart"/>
      <w:r w:rsidR="00D135A3">
        <w:t>Tavas</w:t>
      </w:r>
      <w:proofErr w:type="spellEnd"/>
      <w:r w:rsidR="000327D0">
        <w:t xml:space="preserve"> met twee te-vervangen stoffen</w:t>
      </w:r>
      <w:r w:rsidR="00DF2793">
        <w:t xml:space="preserve"> is daarvan een illustratie</w:t>
      </w:r>
      <w:r w:rsidR="00E91734">
        <w:t xml:space="preserve">. Voor </w:t>
      </w:r>
      <w:r w:rsidR="00AF18FA">
        <w:t>de</w:t>
      </w:r>
      <w:r w:rsidR="00E91734">
        <w:t xml:space="preserve"> te-bestrijden onkruidsoort (</w:t>
      </w:r>
      <w:proofErr w:type="spellStart"/>
      <w:r w:rsidR="00E91734">
        <w:t>dicotylen</w:t>
      </w:r>
      <w:proofErr w:type="spellEnd"/>
      <w:r w:rsidR="00E91734">
        <w:t xml:space="preserve">) in aardappelen waren al 15 verschillende pesticiden beschikbaar, maar het </w:t>
      </w:r>
      <w:proofErr w:type="spellStart"/>
      <w:r w:rsidR="00E91734">
        <w:t>Ctgb</w:t>
      </w:r>
      <w:proofErr w:type="spellEnd"/>
      <w:r w:rsidR="00E91734">
        <w:t xml:space="preserve"> oordeelde dat nr. 16 toch nodig was om resistenties </w:t>
      </w:r>
      <w:r w:rsidR="000327D0">
        <w:t xml:space="preserve">tegen pesticiden </w:t>
      </w:r>
      <w:r w:rsidR="00E91734">
        <w:t xml:space="preserve">te kunnen bedwingen. Het feit dat </w:t>
      </w:r>
      <w:r w:rsidR="00D135A3">
        <w:t xml:space="preserve">al </w:t>
      </w:r>
      <w:r w:rsidR="00E91734">
        <w:t>38% van de aardappeltelers mechanische onkruidbestrijding toepast</w:t>
      </w:r>
      <w:r w:rsidR="00E91734">
        <w:rPr>
          <w:rStyle w:val="Voetnootmarkering"/>
        </w:rPr>
        <w:footnoteReference w:id="10"/>
      </w:r>
      <w:r w:rsidR="00E91734">
        <w:t>, uiteraard de super</w:t>
      </w:r>
      <w:r w:rsidR="00270057">
        <w:t xml:space="preserve">ieure manier om resistenties te bedwingen, deed niet ter zake. En zo is er nog niet </w:t>
      </w:r>
      <w:r w:rsidR="00AE3ED5">
        <w:rPr>
          <w:rFonts w:cstheme="minorHAnsi"/>
        </w:rPr>
        <w:t>éé</w:t>
      </w:r>
      <w:r w:rsidR="00270057">
        <w:t xml:space="preserve">n stof vervangen door het </w:t>
      </w:r>
      <w:proofErr w:type="spellStart"/>
      <w:r w:rsidR="00270057">
        <w:t>Ctgb</w:t>
      </w:r>
      <w:proofErr w:type="spellEnd"/>
      <w:r w:rsidR="00270057">
        <w:t>.</w:t>
      </w:r>
      <w:r w:rsidR="00AE3ED5">
        <w:t xml:space="preserve"> </w:t>
      </w:r>
      <w:r w:rsidR="002F06B2">
        <w:t>Het instrument ‘vervanging’ is omgebogen naar ‘meer toelating’.</w:t>
      </w:r>
      <w:r w:rsidR="00270057">
        <w:t xml:space="preserve"> </w:t>
      </w:r>
    </w:p>
    <w:p w:rsidRPr="00DF76B6" w:rsidR="00B51359" w:rsidP="005E277E" w:rsidRDefault="00B51359" w14:paraId="321BE459" w14:textId="1E756981">
      <w:pPr>
        <w:spacing w:after="0"/>
        <w:rPr>
          <w:b/>
          <w:bCs/>
          <w:color w:val="FF0000"/>
        </w:rPr>
      </w:pPr>
      <w:r w:rsidRPr="00DF76B6">
        <w:rPr>
          <w:b/>
          <w:bCs/>
          <w:color w:val="FF0000"/>
        </w:rPr>
        <w:t>Nationale toelating</w:t>
      </w:r>
      <w:r w:rsidRPr="00DF76B6" w:rsidR="002C6FDD">
        <w:rPr>
          <w:b/>
          <w:bCs/>
          <w:color w:val="FF0000"/>
        </w:rPr>
        <w:t xml:space="preserve">; </w:t>
      </w:r>
      <w:proofErr w:type="spellStart"/>
      <w:r w:rsidRPr="00DF76B6" w:rsidR="002C6FDD">
        <w:rPr>
          <w:b/>
          <w:bCs/>
          <w:color w:val="FF0000"/>
        </w:rPr>
        <w:t>Ctgb</w:t>
      </w:r>
      <w:proofErr w:type="spellEnd"/>
      <w:r w:rsidRPr="00DF76B6">
        <w:rPr>
          <w:b/>
          <w:bCs/>
          <w:color w:val="FF0000"/>
        </w:rPr>
        <w:t xml:space="preserve"> </w:t>
      </w:r>
      <w:r w:rsidR="005D2331">
        <w:rPr>
          <w:b/>
          <w:bCs/>
          <w:color w:val="FF0000"/>
        </w:rPr>
        <w:t>geen zelfstandige, wetenschappelijke rol</w:t>
      </w:r>
      <w:r w:rsidRPr="00DF76B6">
        <w:rPr>
          <w:b/>
          <w:bCs/>
          <w:color w:val="FF0000"/>
        </w:rPr>
        <w:t>.</w:t>
      </w:r>
    </w:p>
    <w:p w:rsidR="007120A0" w:rsidP="00480FC1" w:rsidRDefault="00EF272E" w14:paraId="1BFE803E" w14:textId="547AF941">
      <w:r>
        <w:t xml:space="preserve">Het </w:t>
      </w:r>
      <w:proofErr w:type="spellStart"/>
      <w:r>
        <w:t>Ctgb</w:t>
      </w:r>
      <w:proofErr w:type="spellEnd"/>
      <w:r>
        <w:t xml:space="preserve"> kent dezelfde gebreken als de Europese toelating</w:t>
      </w:r>
      <w:r w:rsidR="002F06B2">
        <w:t xml:space="preserve"> </w:t>
      </w:r>
      <w:r w:rsidR="000B737C">
        <w:t>met</w:t>
      </w:r>
      <w:r w:rsidR="00782DC4">
        <w:t xml:space="preserve"> het </w:t>
      </w:r>
      <w:r w:rsidR="005D2331">
        <w:t xml:space="preserve">gebruik van </w:t>
      </w:r>
      <w:r w:rsidR="00782DC4">
        <w:t xml:space="preserve">de </w:t>
      </w:r>
      <w:r w:rsidR="005D2331">
        <w:t xml:space="preserve">richtsnoeren </w:t>
      </w:r>
      <w:r w:rsidR="00782DC4">
        <w:t xml:space="preserve">van EFSA </w:t>
      </w:r>
      <w:r w:rsidR="005D2331">
        <w:t xml:space="preserve">die </w:t>
      </w:r>
      <w:r w:rsidR="000B737C">
        <w:t xml:space="preserve">vaak </w:t>
      </w:r>
      <w:r w:rsidR="004E7308">
        <w:t xml:space="preserve">weinig </w:t>
      </w:r>
      <w:r w:rsidR="005D2331">
        <w:t>wetenschap</w:t>
      </w:r>
      <w:r w:rsidR="004E7308">
        <w:t>pelijk zijn</w:t>
      </w:r>
      <w:r w:rsidR="005D2331">
        <w:t xml:space="preserve"> of</w:t>
      </w:r>
      <w:r w:rsidR="004E7308">
        <w:t xml:space="preserve"> met de</w:t>
      </w:r>
      <w:r w:rsidR="005D2331">
        <w:t xml:space="preserve"> realiteit te maken hebben. H</w:t>
      </w:r>
      <w:r>
        <w:t xml:space="preserve">et </w:t>
      </w:r>
      <w:proofErr w:type="spellStart"/>
      <w:r>
        <w:t>Ctgb</w:t>
      </w:r>
      <w:proofErr w:type="spellEnd"/>
      <w:r>
        <w:t xml:space="preserve"> zelf beschikt </w:t>
      </w:r>
      <w:r w:rsidR="005D2331">
        <w:t xml:space="preserve">bovendien </w:t>
      </w:r>
      <w:r>
        <w:t xml:space="preserve">over weinig </w:t>
      </w:r>
      <w:r w:rsidR="00033171">
        <w:t>experts</w:t>
      </w:r>
      <w:r w:rsidR="007120A0">
        <w:t xml:space="preserve">; </w:t>
      </w:r>
      <w:r w:rsidR="00F623A0">
        <w:t xml:space="preserve">bij milieutoxicologie </w:t>
      </w:r>
      <w:r w:rsidR="005D2331">
        <w:t xml:space="preserve">ontbreken </w:t>
      </w:r>
      <w:r w:rsidR="001E4A48">
        <w:t xml:space="preserve">zelfs </w:t>
      </w:r>
      <w:r w:rsidR="00F623A0">
        <w:t>erkende toxicolo</w:t>
      </w:r>
      <w:r w:rsidR="005D2331">
        <w:t>gen</w:t>
      </w:r>
      <w:r w:rsidR="00F623A0">
        <w:rPr>
          <w:rStyle w:val="Voetnootmarkering"/>
        </w:rPr>
        <w:footnoteReference w:id="11"/>
      </w:r>
      <w:r w:rsidR="00F623A0">
        <w:t xml:space="preserve">. </w:t>
      </w:r>
      <w:r w:rsidR="00782DC4">
        <w:t>Dan</w:t>
      </w:r>
      <w:r w:rsidR="00F623A0">
        <w:t xml:space="preserve"> heeft het ministerie </w:t>
      </w:r>
      <w:r w:rsidR="00782DC4">
        <w:t xml:space="preserve">ook nog een </w:t>
      </w:r>
      <w:r w:rsidR="00F623A0">
        <w:t>flinke vinger in de pap</w:t>
      </w:r>
      <w:r w:rsidR="000B737C">
        <w:t xml:space="preserve"> d</w:t>
      </w:r>
      <w:r w:rsidR="007120A0">
        <w:t xml:space="preserve">oor </w:t>
      </w:r>
      <w:r w:rsidR="00782DC4">
        <w:t xml:space="preserve">voor het </w:t>
      </w:r>
      <w:proofErr w:type="spellStart"/>
      <w:r w:rsidR="00782DC4">
        <w:t>Ctgb</w:t>
      </w:r>
      <w:proofErr w:type="spellEnd"/>
      <w:r w:rsidR="00782DC4">
        <w:t xml:space="preserve"> </w:t>
      </w:r>
      <w:r w:rsidR="007120A0">
        <w:t xml:space="preserve">te besluiten of een </w:t>
      </w:r>
      <w:r>
        <w:t>richtsnoer al dan niet gebruik</w:t>
      </w:r>
      <w:r w:rsidR="007120A0">
        <w:t>t</w:t>
      </w:r>
      <w:r w:rsidR="00782DC4">
        <w:t xml:space="preserve"> mag worden</w:t>
      </w:r>
      <w:r>
        <w:t xml:space="preserve">. </w:t>
      </w:r>
      <w:r w:rsidR="00DF76B6">
        <w:t xml:space="preserve">De samenstelling </w:t>
      </w:r>
      <w:r w:rsidR="00F62CA5">
        <w:t xml:space="preserve">van het </w:t>
      </w:r>
      <w:proofErr w:type="spellStart"/>
      <w:r w:rsidR="00F62CA5">
        <w:t>Ctgb</w:t>
      </w:r>
      <w:proofErr w:type="spellEnd"/>
      <w:r w:rsidR="007120A0">
        <w:t>, directie zowel als college,</w:t>
      </w:r>
      <w:r w:rsidR="00F62CA5">
        <w:t xml:space="preserve"> </w:t>
      </w:r>
      <w:r w:rsidR="00DF76B6">
        <w:t xml:space="preserve">is </w:t>
      </w:r>
      <w:r w:rsidR="00F015AE">
        <w:t>niet neutraal</w:t>
      </w:r>
      <w:r w:rsidR="00DF76B6">
        <w:t xml:space="preserve">. </w:t>
      </w:r>
      <w:r w:rsidRPr="00DF76B6" w:rsidR="00DF76B6">
        <w:rPr>
          <w:b/>
          <w:bCs/>
        </w:rPr>
        <w:t>Voorstel:</w:t>
      </w:r>
      <w:r w:rsidR="00DF76B6">
        <w:t xml:space="preserve"> </w:t>
      </w:r>
      <w:r w:rsidR="006A62A7">
        <w:t>M</w:t>
      </w:r>
      <w:r w:rsidR="00DF76B6">
        <w:t xml:space="preserve">aak het </w:t>
      </w:r>
      <w:proofErr w:type="spellStart"/>
      <w:r w:rsidR="00DF76B6">
        <w:t>Ctgb</w:t>
      </w:r>
      <w:proofErr w:type="spellEnd"/>
      <w:r w:rsidR="00DF76B6">
        <w:t xml:space="preserve"> geheel los van het ministerie en </w:t>
      </w:r>
      <w:r w:rsidR="00B37DCE">
        <w:t xml:space="preserve">zorg voor  onafhankelijke </w:t>
      </w:r>
      <w:r w:rsidR="006A62A7">
        <w:t>experts</w:t>
      </w:r>
      <w:r w:rsidR="00B37DCE">
        <w:t xml:space="preserve"> in de organisatie</w:t>
      </w:r>
      <w:r w:rsidR="006A62A7">
        <w:t xml:space="preserve"> en college</w:t>
      </w:r>
      <w:r w:rsidR="00DF76B6">
        <w:t xml:space="preserve">. </w:t>
      </w:r>
    </w:p>
    <w:p w:rsidRPr="00480FC1" w:rsidR="00C14B27" w:rsidP="00480FC1" w:rsidRDefault="005E277E" w14:paraId="1FE91AEF" w14:textId="216788F9">
      <w:r>
        <w:t>Hans Muilerman, Pesticide Action Network Europe</w:t>
      </w:r>
      <w:r w:rsidR="000327D0">
        <w:t>.</w:t>
      </w:r>
    </w:p>
    <w:sectPr w:rsidRPr="00480FC1" w:rsidR="00C14B27" w:rsidSect="00F623A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B001B" w14:textId="77777777" w:rsidR="00642D6E" w:rsidRDefault="00642D6E" w:rsidP="003E0009">
      <w:pPr>
        <w:spacing w:after="0" w:line="240" w:lineRule="auto"/>
      </w:pPr>
      <w:r>
        <w:separator/>
      </w:r>
    </w:p>
  </w:endnote>
  <w:endnote w:type="continuationSeparator" w:id="0">
    <w:p w14:paraId="60472877" w14:textId="77777777" w:rsidR="00642D6E" w:rsidRDefault="00642D6E" w:rsidP="003E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42DF" w14:textId="77777777" w:rsidR="00642D6E" w:rsidRDefault="00642D6E" w:rsidP="003E0009">
      <w:pPr>
        <w:spacing w:after="0" w:line="240" w:lineRule="auto"/>
      </w:pPr>
      <w:r>
        <w:separator/>
      </w:r>
    </w:p>
  </w:footnote>
  <w:footnote w:type="continuationSeparator" w:id="0">
    <w:p w14:paraId="76D9D838" w14:textId="77777777" w:rsidR="00642D6E" w:rsidRDefault="00642D6E" w:rsidP="003E0009">
      <w:pPr>
        <w:spacing w:after="0" w:line="240" w:lineRule="auto"/>
      </w:pPr>
      <w:r>
        <w:continuationSeparator/>
      </w:r>
    </w:p>
  </w:footnote>
  <w:footnote w:id="1">
    <w:p w14:paraId="53A1695F" w14:textId="61F983A0" w:rsidR="001A0840" w:rsidRPr="00F623A0" w:rsidRDefault="001A0840">
      <w:pPr>
        <w:pStyle w:val="Voetnoottekst"/>
        <w:rPr>
          <w:sz w:val="18"/>
          <w:szCs w:val="18"/>
        </w:rPr>
      </w:pPr>
      <w:r w:rsidRPr="00F623A0">
        <w:rPr>
          <w:rStyle w:val="Voetnootmarkering"/>
          <w:sz w:val="18"/>
          <w:szCs w:val="18"/>
        </w:rPr>
        <w:footnoteRef/>
      </w:r>
      <w:r w:rsidRPr="00F623A0">
        <w:rPr>
          <w:sz w:val="18"/>
          <w:szCs w:val="18"/>
        </w:rPr>
        <w:t xml:space="preserve"> Francisco Sánchez-</w:t>
      </w:r>
      <w:proofErr w:type="spellStart"/>
      <w:r w:rsidRPr="00F623A0">
        <w:rPr>
          <w:sz w:val="18"/>
          <w:szCs w:val="18"/>
        </w:rPr>
        <w:t>Bayo</w:t>
      </w:r>
      <w:proofErr w:type="spellEnd"/>
      <w:r w:rsidRPr="00F623A0">
        <w:rPr>
          <w:sz w:val="18"/>
          <w:szCs w:val="18"/>
        </w:rPr>
        <w:t xml:space="preserve">, Kris A.G. </w:t>
      </w:r>
      <w:proofErr w:type="spellStart"/>
      <w:r w:rsidRPr="00F623A0">
        <w:rPr>
          <w:sz w:val="18"/>
          <w:szCs w:val="18"/>
        </w:rPr>
        <w:t>Wyckhuys</w:t>
      </w:r>
      <w:proofErr w:type="spellEnd"/>
      <w:r w:rsidRPr="00F623A0">
        <w:rPr>
          <w:sz w:val="18"/>
          <w:szCs w:val="18"/>
        </w:rPr>
        <w:t xml:space="preserve">, Worldwide </w:t>
      </w:r>
      <w:proofErr w:type="spellStart"/>
      <w:r w:rsidRPr="00F623A0">
        <w:rPr>
          <w:sz w:val="18"/>
          <w:szCs w:val="18"/>
        </w:rPr>
        <w:t>decline</w:t>
      </w:r>
      <w:proofErr w:type="spellEnd"/>
      <w:r w:rsidRPr="00F623A0">
        <w:rPr>
          <w:sz w:val="18"/>
          <w:szCs w:val="18"/>
        </w:rPr>
        <w:t xml:space="preserve"> of </w:t>
      </w:r>
      <w:proofErr w:type="spellStart"/>
      <w:r w:rsidRPr="00F623A0">
        <w:rPr>
          <w:sz w:val="18"/>
          <w:szCs w:val="18"/>
        </w:rPr>
        <w:t>the</w:t>
      </w:r>
      <w:proofErr w:type="spellEnd"/>
      <w:r w:rsidRPr="00F623A0">
        <w:rPr>
          <w:sz w:val="18"/>
          <w:szCs w:val="18"/>
        </w:rPr>
        <w:t xml:space="preserve"> </w:t>
      </w:r>
      <w:proofErr w:type="spellStart"/>
      <w:r w:rsidRPr="00F623A0">
        <w:rPr>
          <w:sz w:val="18"/>
          <w:szCs w:val="18"/>
        </w:rPr>
        <w:t>entomofauna</w:t>
      </w:r>
      <w:proofErr w:type="spellEnd"/>
      <w:r w:rsidRPr="00F623A0">
        <w:rPr>
          <w:sz w:val="18"/>
          <w:szCs w:val="18"/>
        </w:rPr>
        <w:t xml:space="preserve">: A review of </w:t>
      </w:r>
      <w:proofErr w:type="spellStart"/>
      <w:r w:rsidRPr="00F623A0">
        <w:rPr>
          <w:sz w:val="18"/>
          <w:szCs w:val="18"/>
        </w:rPr>
        <w:t>its</w:t>
      </w:r>
      <w:proofErr w:type="spellEnd"/>
      <w:r w:rsidRPr="00F623A0">
        <w:rPr>
          <w:sz w:val="18"/>
          <w:szCs w:val="18"/>
        </w:rPr>
        <w:t xml:space="preserve"> drivers, </w:t>
      </w:r>
      <w:proofErr w:type="spellStart"/>
      <w:r w:rsidRPr="00F623A0">
        <w:rPr>
          <w:sz w:val="18"/>
          <w:szCs w:val="18"/>
        </w:rPr>
        <w:t>Biological</w:t>
      </w:r>
      <w:proofErr w:type="spellEnd"/>
      <w:r w:rsidRPr="00F623A0">
        <w:rPr>
          <w:sz w:val="18"/>
          <w:szCs w:val="18"/>
        </w:rPr>
        <w:t xml:space="preserve"> </w:t>
      </w:r>
      <w:proofErr w:type="spellStart"/>
      <w:r w:rsidRPr="00F623A0">
        <w:rPr>
          <w:sz w:val="18"/>
          <w:szCs w:val="18"/>
        </w:rPr>
        <w:t>Conservation</w:t>
      </w:r>
      <w:proofErr w:type="spellEnd"/>
      <w:r w:rsidRPr="00F623A0">
        <w:rPr>
          <w:sz w:val="18"/>
          <w:szCs w:val="18"/>
        </w:rPr>
        <w:t xml:space="preserve"> 232 (2019) 8–27</w:t>
      </w:r>
    </w:p>
  </w:footnote>
  <w:footnote w:id="2">
    <w:p w14:paraId="22C405AC" w14:textId="06777DF3" w:rsidR="003E0009" w:rsidRPr="00F623A0" w:rsidRDefault="003E0009">
      <w:pPr>
        <w:pStyle w:val="Voetnoottekst"/>
        <w:rPr>
          <w:sz w:val="18"/>
          <w:szCs w:val="18"/>
        </w:rPr>
      </w:pPr>
      <w:r w:rsidRPr="00F623A0">
        <w:rPr>
          <w:rStyle w:val="Voetnootmarkering"/>
          <w:sz w:val="18"/>
          <w:szCs w:val="18"/>
        </w:rPr>
        <w:footnoteRef/>
      </w:r>
      <w:r w:rsidRPr="00F623A0">
        <w:rPr>
          <w:sz w:val="18"/>
          <w:szCs w:val="18"/>
        </w:rPr>
        <w:t xml:space="preserve"> </w:t>
      </w:r>
      <w:hyperlink r:id="rId1" w:history="1">
        <w:r w:rsidRPr="00F623A0">
          <w:rPr>
            <w:rStyle w:val="Hyperlink"/>
            <w:sz w:val="18"/>
            <w:szCs w:val="18"/>
          </w:rPr>
          <w:t>https://lebasic.com/en/pesticides-a-model-thats-costing-us-dearly/</w:t>
        </w:r>
      </w:hyperlink>
    </w:p>
  </w:footnote>
  <w:footnote w:id="3">
    <w:p w14:paraId="11783EF8" w14:textId="5F6C8FA0" w:rsidR="003128ED" w:rsidRPr="00F623A0" w:rsidRDefault="003128ED">
      <w:pPr>
        <w:pStyle w:val="Voetnoottekst"/>
        <w:rPr>
          <w:sz w:val="18"/>
          <w:szCs w:val="18"/>
        </w:rPr>
      </w:pPr>
      <w:r w:rsidRPr="00F623A0">
        <w:rPr>
          <w:rStyle w:val="Voetnootmarkering"/>
          <w:sz w:val="18"/>
          <w:szCs w:val="18"/>
        </w:rPr>
        <w:footnoteRef/>
      </w:r>
      <w:r w:rsidRPr="00F623A0">
        <w:rPr>
          <w:sz w:val="18"/>
          <w:szCs w:val="18"/>
        </w:rPr>
        <w:t xml:space="preserve"> GLP, </w:t>
      </w:r>
      <w:proofErr w:type="spellStart"/>
      <w:r w:rsidRPr="00F623A0">
        <w:rPr>
          <w:sz w:val="18"/>
          <w:szCs w:val="18"/>
        </w:rPr>
        <w:t>Good</w:t>
      </w:r>
      <w:proofErr w:type="spellEnd"/>
      <w:r w:rsidRPr="00F623A0">
        <w:rPr>
          <w:sz w:val="18"/>
          <w:szCs w:val="18"/>
        </w:rPr>
        <w:t xml:space="preserve"> </w:t>
      </w:r>
      <w:proofErr w:type="spellStart"/>
      <w:r w:rsidRPr="00F623A0">
        <w:rPr>
          <w:sz w:val="18"/>
          <w:szCs w:val="18"/>
        </w:rPr>
        <w:t>laboratory</w:t>
      </w:r>
      <w:proofErr w:type="spellEnd"/>
      <w:r w:rsidRPr="00F623A0">
        <w:rPr>
          <w:sz w:val="18"/>
          <w:szCs w:val="18"/>
        </w:rPr>
        <w:t xml:space="preserve"> </w:t>
      </w:r>
      <w:proofErr w:type="spellStart"/>
      <w:r w:rsidRPr="00F623A0">
        <w:rPr>
          <w:sz w:val="18"/>
          <w:szCs w:val="18"/>
        </w:rPr>
        <w:t>Practice</w:t>
      </w:r>
      <w:proofErr w:type="spellEnd"/>
      <w:r w:rsidRPr="00F623A0">
        <w:rPr>
          <w:sz w:val="18"/>
          <w:szCs w:val="18"/>
        </w:rPr>
        <w:t>, een systeem waar alles geregistreerd moet worden</w:t>
      </w:r>
      <w:r w:rsidR="00EE118D" w:rsidRPr="00F623A0">
        <w:rPr>
          <w:sz w:val="18"/>
          <w:szCs w:val="18"/>
        </w:rPr>
        <w:t xml:space="preserve"> bij testen met proefdieren</w:t>
      </w:r>
      <w:r w:rsidRPr="00F623A0">
        <w:rPr>
          <w:sz w:val="18"/>
          <w:szCs w:val="18"/>
        </w:rPr>
        <w:t xml:space="preserve">. </w:t>
      </w:r>
    </w:p>
  </w:footnote>
  <w:footnote w:id="4">
    <w:p w14:paraId="610CF014" w14:textId="1093022B" w:rsidR="00EE118D" w:rsidRPr="00F623A0" w:rsidRDefault="00EE118D" w:rsidP="00EE118D">
      <w:pPr>
        <w:pStyle w:val="Voetnoottekst"/>
        <w:rPr>
          <w:sz w:val="18"/>
          <w:szCs w:val="18"/>
        </w:rPr>
      </w:pPr>
      <w:r w:rsidRPr="00F623A0">
        <w:rPr>
          <w:rStyle w:val="Voetnootmarkering"/>
          <w:sz w:val="18"/>
          <w:szCs w:val="18"/>
        </w:rPr>
        <w:footnoteRef/>
      </w:r>
      <w:r w:rsidRPr="00F623A0">
        <w:rPr>
          <w:sz w:val="18"/>
          <w:szCs w:val="18"/>
        </w:rPr>
        <w:t xml:space="preserve"> Verordening 1107/2009, artikel 4.1</w:t>
      </w:r>
      <w:r w:rsidR="00A77BBE" w:rsidRPr="00F623A0">
        <w:rPr>
          <w:sz w:val="18"/>
          <w:szCs w:val="18"/>
        </w:rPr>
        <w:t xml:space="preserve"> – in het licht van de stand van de wetenschappelijke kennis</w:t>
      </w:r>
    </w:p>
  </w:footnote>
  <w:footnote w:id="5">
    <w:p w14:paraId="68E92945" w14:textId="17EE7EAC" w:rsidR="0050000C" w:rsidRPr="00F623A0" w:rsidRDefault="0050000C">
      <w:pPr>
        <w:pStyle w:val="Voetnoottekst"/>
        <w:rPr>
          <w:sz w:val="18"/>
          <w:szCs w:val="18"/>
        </w:rPr>
      </w:pPr>
      <w:r w:rsidRPr="00F623A0">
        <w:rPr>
          <w:rStyle w:val="Voetnootmarkering"/>
          <w:sz w:val="18"/>
          <w:szCs w:val="18"/>
        </w:rPr>
        <w:footnoteRef/>
      </w:r>
      <w:r w:rsidRPr="00F623A0">
        <w:rPr>
          <w:sz w:val="18"/>
          <w:szCs w:val="18"/>
        </w:rPr>
        <w:t xml:space="preserve"> </w:t>
      </w:r>
      <w:hyperlink r:id="rId2" w:history="1">
        <w:r w:rsidRPr="00F623A0">
          <w:rPr>
            <w:rStyle w:val="Hyperlink"/>
            <w:sz w:val="18"/>
            <w:szCs w:val="18"/>
          </w:rPr>
          <w:t>https://www.efsa.europa.eu/en/efsajournal/pub/2092</w:t>
        </w:r>
      </w:hyperlink>
    </w:p>
  </w:footnote>
  <w:footnote w:id="6">
    <w:p w14:paraId="1330F8C3" w14:textId="79C8F87F" w:rsidR="0050000C" w:rsidRPr="00F623A0" w:rsidRDefault="0050000C">
      <w:pPr>
        <w:pStyle w:val="Voetnoottekst"/>
        <w:rPr>
          <w:sz w:val="18"/>
          <w:szCs w:val="18"/>
        </w:rPr>
      </w:pPr>
      <w:r w:rsidRPr="00F623A0">
        <w:rPr>
          <w:rStyle w:val="Voetnootmarkering"/>
          <w:sz w:val="18"/>
          <w:szCs w:val="18"/>
        </w:rPr>
        <w:footnoteRef/>
      </w:r>
      <w:r w:rsidRPr="00F623A0">
        <w:rPr>
          <w:sz w:val="18"/>
          <w:szCs w:val="18"/>
        </w:rPr>
        <w:t xml:space="preserve"> </w:t>
      </w:r>
      <w:proofErr w:type="spellStart"/>
      <w:r w:rsidR="00B4682B" w:rsidRPr="00F623A0">
        <w:rPr>
          <w:sz w:val="18"/>
          <w:szCs w:val="18"/>
        </w:rPr>
        <w:t>Klimisch</w:t>
      </w:r>
      <w:proofErr w:type="spellEnd"/>
      <w:r w:rsidR="00B4682B" w:rsidRPr="00F623A0">
        <w:rPr>
          <w:sz w:val="18"/>
          <w:szCs w:val="18"/>
        </w:rPr>
        <w:t xml:space="preserve">, H.J.; </w:t>
      </w:r>
      <w:proofErr w:type="spellStart"/>
      <w:r w:rsidR="00B4682B" w:rsidRPr="00F623A0">
        <w:rPr>
          <w:sz w:val="18"/>
          <w:szCs w:val="18"/>
        </w:rPr>
        <w:t>Andreae</w:t>
      </w:r>
      <w:proofErr w:type="spellEnd"/>
      <w:r w:rsidR="00B4682B" w:rsidRPr="00F623A0">
        <w:rPr>
          <w:sz w:val="18"/>
          <w:szCs w:val="18"/>
        </w:rPr>
        <w:t xml:space="preserve">, M.; </w:t>
      </w:r>
      <w:proofErr w:type="spellStart"/>
      <w:r w:rsidR="00B4682B" w:rsidRPr="00F623A0">
        <w:rPr>
          <w:sz w:val="18"/>
          <w:szCs w:val="18"/>
        </w:rPr>
        <w:t>Tillmann</w:t>
      </w:r>
      <w:proofErr w:type="spellEnd"/>
      <w:r w:rsidR="00B4682B" w:rsidRPr="00F623A0">
        <w:rPr>
          <w:sz w:val="18"/>
          <w:szCs w:val="18"/>
        </w:rPr>
        <w:t xml:space="preserve">, U. (1997). "A </w:t>
      </w:r>
      <w:proofErr w:type="spellStart"/>
      <w:r w:rsidR="00B4682B" w:rsidRPr="00F623A0">
        <w:rPr>
          <w:sz w:val="18"/>
          <w:szCs w:val="18"/>
        </w:rPr>
        <w:t>Systematic</w:t>
      </w:r>
      <w:proofErr w:type="spellEnd"/>
      <w:r w:rsidR="00B4682B" w:rsidRPr="00F623A0">
        <w:rPr>
          <w:sz w:val="18"/>
          <w:szCs w:val="18"/>
        </w:rPr>
        <w:t xml:space="preserve"> Approach </w:t>
      </w:r>
      <w:proofErr w:type="spellStart"/>
      <w:r w:rsidR="00B4682B" w:rsidRPr="00F623A0">
        <w:rPr>
          <w:sz w:val="18"/>
          <w:szCs w:val="18"/>
        </w:rPr>
        <w:t>for</w:t>
      </w:r>
      <w:proofErr w:type="spellEnd"/>
      <w:r w:rsidR="00B4682B" w:rsidRPr="00F623A0">
        <w:rPr>
          <w:sz w:val="18"/>
          <w:szCs w:val="18"/>
        </w:rPr>
        <w:t xml:space="preserve"> </w:t>
      </w:r>
      <w:proofErr w:type="spellStart"/>
      <w:r w:rsidR="00B4682B" w:rsidRPr="00F623A0">
        <w:rPr>
          <w:sz w:val="18"/>
          <w:szCs w:val="18"/>
        </w:rPr>
        <w:t>Evaluating</w:t>
      </w:r>
      <w:proofErr w:type="spellEnd"/>
      <w:r w:rsidR="00B4682B" w:rsidRPr="00F623A0">
        <w:rPr>
          <w:sz w:val="18"/>
          <w:szCs w:val="18"/>
        </w:rPr>
        <w:t xml:space="preserve"> </w:t>
      </w:r>
      <w:proofErr w:type="spellStart"/>
      <w:r w:rsidR="00B4682B" w:rsidRPr="00F623A0">
        <w:rPr>
          <w:sz w:val="18"/>
          <w:szCs w:val="18"/>
        </w:rPr>
        <w:t>the</w:t>
      </w:r>
      <w:proofErr w:type="spellEnd"/>
      <w:r w:rsidR="00B4682B" w:rsidRPr="00F623A0">
        <w:rPr>
          <w:sz w:val="18"/>
          <w:szCs w:val="18"/>
        </w:rPr>
        <w:t xml:space="preserve"> </w:t>
      </w:r>
      <w:proofErr w:type="spellStart"/>
      <w:r w:rsidR="00B4682B" w:rsidRPr="00F623A0">
        <w:rPr>
          <w:sz w:val="18"/>
          <w:szCs w:val="18"/>
        </w:rPr>
        <w:t>Quality</w:t>
      </w:r>
      <w:proofErr w:type="spellEnd"/>
      <w:r w:rsidR="00B4682B" w:rsidRPr="00F623A0">
        <w:rPr>
          <w:sz w:val="18"/>
          <w:szCs w:val="18"/>
        </w:rPr>
        <w:t xml:space="preserve"> of </w:t>
      </w:r>
      <w:proofErr w:type="spellStart"/>
      <w:r w:rsidR="00B4682B" w:rsidRPr="00F623A0">
        <w:rPr>
          <w:sz w:val="18"/>
          <w:szCs w:val="18"/>
        </w:rPr>
        <w:t>Experimental</w:t>
      </w:r>
      <w:proofErr w:type="spellEnd"/>
      <w:r w:rsidR="00B4682B" w:rsidRPr="00F623A0">
        <w:rPr>
          <w:sz w:val="18"/>
          <w:szCs w:val="18"/>
        </w:rPr>
        <w:t xml:space="preserve"> </w:t>
      </w:r>
      <w:proofErr w:type="spellStart"/>
      <w:r w:rsidR="00B4682B" w:rsidRPr="00F623A0">
        <w:rPr>
          <w:sz w:val="18"/>
          <w:szCs w:val="18"/>
        </w:rPr>
        <w:t>Toxicological</w:t>
      </w:r>
      <w:proofErr w:type="spellEnd"/>
      <w:r w:rsidR="00B4682B" w:rsidRPr="00F623A0">
        <w:rPr>
          <w:sz w:val="18"/>
          <w:szCs w:val="18"/>
        </w:rPr>
        <w:t xml:space="preserve"> </w:t>
      </w:r>
      <w:proofErr w:type="spellStart"/>
      <w:r w:rsidR="00B4682B" w:rsidRPr="00F623A0">
        <w:rPr>
          <w:sz w:val="18"/>
          <w:szCs w:val="18"/>
        </w:rPr>
        <w:t>and</w:t>
      </w:r>
      <w:proofErr w:type="spellEnd"/>
      <w:r w:rsidR="00B4682B" w:rsidRPr="00F623A0">
        <w:rPr>
          <w:sz w:val="18"/>
          <w:szCs w:val="18"/>
        </w:rPr>
        <w:t xml:space="preserve"> </w:t>
      </w:r>
      <w:proofErr w:type="spellStart"/>
      <w:r w:rsidR="00B4682B" w:rsidRPr="00F623A0">
        <w:rPr>
          <w:sz w:val="18"/>
          <w:szCs w:val="18"/>
        </w:rPr>
        <w:t>Ecotoxicological</w:t>
      </w:r>
      <w:proofErr w:type="spellEnd"/>
      <w:r w:rsidR="00B4682B" w:rsidRPr="00F623A0">
        <w:rPr>
          <w:sz w:val="18"/>
          <w:szCs w:val="18"/>
        </w:rPr>
        <w:t xml:space="preserve"> Data". </w:t>
      </w:r>
      <w:hyperlink r:id="rId3" w:tooltip="Regulatory Toxicology and Pharmacology" w:history="1">
        <w:proofErr w:type="spellStart"/>
        <w:r w:rsidR="00B4682B" w:rsidRPr="00F623A0">
          <w:rPr>
            <w:rStyle w:val="Hyperlink"/>
            <w:color w:val="auto"/>
            <w:sz w:val="18"/>
            <w:szCs w:val="18"/>
          </w:rPr>
          <w:t>Regulatory</w:t>
        </w:r>
        <w:proofErr w:type="spellEnd"/>
        <w:r w:rsidR="00B4682B" w:rsidRPr="00F623A0">
          <w:rPr>
            <w:rStyle w:val="Hyperlink"/>
            <w:color w:val="auto"/>
            <w:sz w:val="18"/>
            <w:szCs w:val="18"/>
          </w:rPr>
          <w:t xml:space="preserve"> </w:t>
        </w:r>
        <w:proofErr w:type="spellStart"/>
        <w:r w:rsidR="00B4682B" w:rsidRPr="00F623A0">
          <w:rPr>
            <w:rStyle w:val="Hyperlink"/>
            <w:color w:val="auto"/>
            <w:sz w:val="18"/>
            <w:szCs w:val="18"/>
          </w:rPr>
          <w:t>Toxicology</w:t>
        </w:r>
        <w:proofErr w:type="spellEnd"/>
        <w:r w:rsidR="00B4682B" w:rsidRPr="00F623A0">
          <w:rPr>
            <w:rStyle w:val="Hyperlink"/>
            <w:color w:val="auto"/>
            <w:sz w:val="18"/>
            <w:szCs w:val="18"/>
          </w:rPr>
          <w:t xml:space="preserve"> </w:t>
        </w:r>
        <w:proofErr w:type="spellStart"/>
        <w:r w:rsidR="00B4682B" w:rsidRPr="00F623A0">
          <w:rPr>
            <w:rStyle w:val="Hyperlink"/>
            <w:color w:val="auto"/>
            <w:sz w:val="18"/>
            <w:szCs w:val="18"/>
          </w:rPr>
          <w:t>and</w:t>
        </w:r>
        <w:proofErr w:type="spellEnd"/>
        <w:r w:rsidR="00B4682B" w:rsidRPr="00F623A0">
          <w:rPr>
            <w:rStyle w:val="Hyperlink"/>
            <w:color w:val="auto"/>
            <w:sz w:val="18"/>
            <w:szCs w:val="18"/>
          </w:rPr>
          <w:t xml:space="preserve"> </w:t>
        </w:r>
        <w:proofErr w:type="spellStart"/>
        <w:r w:rsidR="00B4682B" w:rsidRPr="00F623A0">
          <w:rPr>
            <w:rStyle w:val="Hyperlink"/>
            <w:color w:val="auto"/>
            <w:sz w:val="18"/>
            <w:szCs w:val="18"/>
          </w:rPr>
          <w:t>Pharmacology</w:t>
        </w:r>
        <w:proofErr w:type="spellEnd"/>
      </w:hyperlink>
      <w:r w:rsidR="00B4682B" w:rsidRPr="00F623A0">
        <w:rPr>
          <w:sz w:val="18"/>
          <w:szCs w:val="18"/>
        </w:rPr>
        <w:t xml:space="preserve">. </w:t>
      </w:r>
      <w:r w:rsidR="00B4682B" w:rsidRPr="00F623A0">
        <w:rPr>
          <w:b/>
          <w:bCs/>
          <w:sz w:val="18"/>
          <w:szCs w:val="18"/>
        </w:rPr>
        <w:t>25</w:t>
      </w:r>
      <w:r w:rsidR="00B4682B" w:rsidRPr="00F623A0">
        <w:rPr>
          <w:sz w:val="18"/>
          <w:szCs w:val="18"/>
        </w:rPr>
        <w:t xml:space="preserve"> (1): 1–5</w:t>
      </w:r>
      <w:r w:rsidR="00B4682B" w:rsidRPr="00F623A0">
        <w:rPr>
          <w:i/>
          <w:iCs/>
          <w:sz w:val="18"/>
          <w:szCs w:val="18"/>
        </w:rPr>
        <w:t>.</w:t>
      </w:r>
    </w:p>
  </w:footnote>
  <w:footnote w:id="7">
    <w:p w14:paraId="464D8141" w14:textId="2EFBBC3C" w:rsidR="00C63870" w:rsidRDefault="00C63870">
      <w:pPr>
        <w:pStyle w:val="Voetnoottekst"/>
      </w:pPr>
      <w:r w:rsidRPr="00F623A0">
        <w:rPr>
          <w:rStyle w:val="Voetnootmarkering"/>
          <w:sz w:val="18"/>
          <w:szCs w:val="18"/>
        </w:rPr>
        <w:footnoteRef/>
      </w:r>
      <w:r w:rsidRPr="00F623A0">
        <w:rPr>
          <w:sz w:val="18"/>
          <w:szCs w:val="18"/>
        </w:rPr>
        <w:t xml:space="preserve"> </w:t>
      </w:r>
      <w:hyperlink r:id="rId4" w:history="1">
        <w:r w:rsidRPr="004421AC">
          <w:rPr>
            <w:rStyle w:val="Hyperlink"/>
            <w:sz w:val="18"/>
            <w:szCs w:val="18"/>
          </w:rPr>
          <w:t>https://www.generations-futures.fr/actualites/evaluation-glyphosate-biais/</w:t>
        </w:r>
      </w:hyperlink>
    </w:p>
  </w:footnote>
  <w:footnote w:id="8">
    <w:p w14:paraId="4B06A243" w14:textId="286F62F2" w:rsidR="002C6FDD" w:rsidRPr="00F623A0" w:rsidRDefault="002C6FDD">
      <w:pPr>
        <w:pStyle w:val="Voetnoottekst"/>
        <w:rPr>
          <w:sz w:val="18"/>
          <w:szCs w:val="18"/>
        </w:rPr>
      </w:pPr>
      <w:r w:rsidRPr="00F623A0">
        <w:rPr>
          <w:rStyle w:val="Voetnootmarkering"/>
          <w:sz w:val="18"/>
          <w:szCs w:val="18"/>
        </w:rPr>
        <w:footnoteRef/>
      </w:r>
      <w:r w:rsidRPr="00F623A0">
        <w:rPr>
          <w:sz w:val="18"/>
          <w:szCs w:val="18"/>
        </w:rPr>
        <w:t xml:space="preserve"> Zie PAN Europe rapport </w:t>
      </w:r>
      <w:hyperlink r:id="rId5" w:history="1">
        <w:proofErr w:type="spellStart"/>
        <w:r w:rsidRPr="00F623A0">
          <w:rPr>
            <w:rStyle w:val="Hyperlink"/>
            <w:sz w:val="18"/>
            <w:szCs w:val="18"/>
          </w:rPr>
          <w:t>Writing</w:t>
        </w:r>
        <w:proofErr w:type="spellEnd"/>
        <w:r w:rsidRPr="00F623A0">
          <w:rPr>
            <w:rStyle w:val="Hyperlink"/>
            <w:sz w:val="18"/>
            <w:szCs w:val="18"/>
          </w:rPr>
          <w:t xml:space="preserve"> IOR</w:t>
        </w:r>
      </w:hyperlink>
      <w:r w:rsidR="004823F7" w:rsidRPr="00F623A0">
        <w:rPr>
          <w:rStyle w:val="Hyperlink"/>
          <w:sz w:val="18"/>
          <w:szCs w:val="18"/>
        </w:rPr>
        <w:t xml:space="preserve"> </w:t>
      </w:r>
    </w:p>
  </w:footnote>
  <w:footnote w:id="9">
    <w:p w14:paraId="1E8D8C7A" w14:textId="77777777" w:rsidR="005D2331" w:rsidRPr="00F623A0" w:rsidRDefault="005D2331" w:rsidP="005D2331">
      <w:pPr>
        <w:pStyle w:val="Voetnoottekst"/>
        <w:rPr>
          <w:color w:val="0563C1" w:themeColor="hyperlink"/>
          <w:sz w:val="18"/>
          <w:szCs w:val="18"/>
          <w:u w:val="single"/>
        </w:rPr>
      </w:pPr>
      <w:r w:rsidRPr="00F623A0">
        <w:rPr>
          <w:rStyle w:val="Voetnootmarkering"/>
          <w:sz w:val="18"/>
          <w:szCs w:val="18"/>
        </w:rPr>
        <w:footnoteRef/>
      </w:r>
      <w:r w:rsidRPr="00F623A0">
        <w:rPr>
          <w:sz w:val="18"/>
          <w:szCs w:val="18"/>
        </w:rPr>
        <w:t xml:space="preserve"> </w:t>
      </w:r>
      <w:hyperlink r:id="rId6" w:history="1">
        <w:r w:rsidRPr="00F623A0">
          <w:rPr>
            <w:rStyle w:val="Hyperlink"/>
            <w:sz w:val="18"/>
            <w:szCs w:val="18"/>
          </w:rPr>
          <w:t>https://www.pan-netherlands.org/3024-2/</w:t>
        </w:r>
      </w:hyperlink>
      <w:r w:rsidRPr="00F623A0">
        <w:rPr>
          <w:rStyle w:val="Hyperlink"/>
          <w:sz w:val="18"/>
          <w:szCs w:val="18"/>
        </w:rPr>
        <w:t xml:space="preserve">                                                                            </w:t>
      </w:r>
    </w:p>
  </w:footnote>
  <w:footnote w:id="10">
    <w:p w14:paraId="720473BC" w14:textId="3C62B270" w:rsidR="00E91734" w:rsidRPr="00F623A0" w:rsidRDefault="00E91734">
      <w:pPr>
        <w:pStyle w:val="Voetnoottekst"/>
        <w:rPr>
          <w:sz w:val="18"/>
          <w:szCs w:val="18"/>
        </w:rPr>
      </w:pPr>
      <w:r w:rsidRPr="00F623A0">
        <w:rPr>
          <w:rStyle w:val="Voetnootmarkering"/>
          <w:sz w:val="18"/>
          <w:szCs w:val="18"/>
        </w:rPr>
        <w:footnoteRef/>
      </w:r>
      <w:r w:rsidRPr="00F623A0">
        <w:rPr>
          <w:sz w:val="18"/>
          <w:szCs w:val="18"/>
        </w:rPr>
        <w:t xml:space="preserve"> </w:t>
      </w:r>
      <w:hyperlink r:id="rId7" w:history="1">
        <w:r w:rsidR="006A62A7" w:rsidRPr="006A62A7">
          <w:rPr>
            <w:rStyle w:val="Hyperlink"/>
            <w:sz w:val="18"/>
            <w:szCs w:val="18"/>
          </w:rPr>
          <w:t>https://www.clo.nl/indicatoren/nl058301-mechanische-bestrijdingsmethoden-in-de-landbouw-per-gewas</w:t>
        </w:r>
      </w:hyperlink>
    </w:p>
  </w:footnote>
  <w:footnote w:id="11">
    <w:p w14:paraId="5F6ECA4A" w14:textId="645A9925" w:rsidR="00F623A0" w:rsidRDefault="00F623A0">
      <w:pPr>
        <w:pStyle w:val="Voetnoottekst"/>
      </w:pPr>
      <w:r w:rsidRPr="00F623A0">
        <w:rPr>
          <w:rStyle w:val="Voetnootmarkering"/>
          <w:sz w:val="18"/>
          <w:szCs w:val="18"/>
        </w:rPr>
        <w:footnoteRef/>
      </w:r>
      <w:r w:rsidRPr="00F623A0">
        <w:rPr>
          <w:sz w:val="18"/>
          <w:szCs w:val="18"/>
        </w:rPr>
        <w:t xml:space="preserve"> </w:t>
      </w:r>
      <w:hyperlink r:id="rId8" w:history="1">
        <w:r w:rsidRPr="00F623A0">
          <w:rPr>
            <w:rStyle w:val="Hyperlink"/>
            <w:sz w:val="18"/>
            <w:szCs w:val="18"/>
          </w:rPr>
          <w:t>https://www.ctgb.nl/over-ctgb/documenten/rapporten/2018/12/18/rapport-internationale-visitatiecommissie-2018</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64"/>
    <w:rsid w:val="00024F76"/>
    <w:rsid w:val="000327D0"/>
    <w:rsid w:val="00033171"/>
    <w:rsid w:val="00042EBA"/>
    <w:rsid w:val="00046620"/>
    <w:rsid w:val="000B737C"/>
    <w:rsid w:val="000C07E5"/>
    <w:rsid w:val="000C1B8B"/>
    <w:rsid w:val="00187EED"/>
    <w:rsid w:val="001A0840"/>
    <w:rsid w:val="001E1CA8"/>
    <w:rsid w:val="001E4A48"/>
    <w:rsid w:val="001E634D"/>
    <w:rsid w:val="002108B1"/>
    <w:rsid w:val="00231FD3"/>
    <w:rsid w:val="002430AC"/>
    <w:rsid w:val="00270057"/>
    <w:rsid w:val="00273E7B"/>
    <w:rsid w:val="00283E40"/>
    <w:rsid w:val="002C6FDD"/>
    <w:rsid w:val="002F06B2"/>
    <w:rsid w:val="003128ED"/>
    <w:rsid w:val="00321CDE"/>
    <w:rsid w:val="00330A2E"/>
    <w:rsid w:val="00355E69"/>
    <w:rsid w:val="003A0EC0"/>
    <w:rsid w:val="003A6B4F"/>
    <w:rsid w:val="003E0009"/>
    <w:rsid w:val="003E40A9"/>
    <w:rsid w:val="004421AC"/>
    <w:rsid w:val="00453FA8"/>
    <w:rsid w:val="00480FC1"/>
    <w:rsid w:val="004823F7"/>
    <w:rsid w:val="00494D13"/>
    <w:rsid w:val="004A0E32"/>
    <w:rsid w:val="004B5E65"/>
    <w:rsid w:val="004E124D"/>
    <w:rsid w:val="004E7308"/>
    <w:rsid w:val="0050000C"/>
    <w:rsid w:val="005B5E0A"/>
    <w:rsid w:val="005C19C3"/>
    <w:rsid w:val="005D2331"/>
    <w:rsid w:val="005E277E"/>
    <w:rsid w:val="005F6ABD"/>
    <w:rsid w:val="005F6D48"/>
    <w:rsid w:val="00601B73"/>
    <w:rsid w:val="00603F14"/>
    <w:rsid w:val="0062099B"/>
    <w:rsid w:val="00642D6E"/>
    <w:rsid w:val="00677570"/>
    <w:rsid w:val="006A62A7"/>
    <w:rsid w:val="006B7A0D"/>
    <w:rsid w:val="007120A0"/>
    <w:rsid w:val="00727A0F"/>
    <w:rsid w:val="007610AF"/>
    <w:rsid w:val="00762DD7"/>
    <w:rsid w:val="00782DC4"/>
    <w:rsid w:val="00890232"/>
    <w:rsid w:val="008C1F04"/>
    <w:rsid w:val="00972CA0"/>
    <w:rsid w:val="009F3B66"/>
    <w:rsid w:val="00A57F1B"/>
    <w:rsid w:val="00A73F17"/>
    <w:rsid w:val="00A77BBE"/>
    <w:rsid w:val="00AE3ED5"/>
    <w:rsid w:val="00AE4C4F"/>
    <w:rsid w:val="00AF18FA"/>
    <w:rsid w:val="00B05063"/>
    <w:rsid w:val="00B1229D"/>
    <w:rsid w:val="00B3685D"/>
    <w:rsid w:val="00B37DCE"/>
    <w:rsid w:val="00B4682B"/>
    <w:rsid w:val="00B51359"/>
    <w:rsid w:val="00B8669C"/>
    <w:rsid w:val="00BA51B8"/>
    <w:rsid w:val="00BC1706"/>
    <w:rsid w:val="00BC762C"/>
    <w:rsid w:val="00BC7B62"/>
    <w:rsid w:val="00BD1DBE"/>
    <w:rsid w:val="00C11EB8"/>
    <w:rsid w:val="00C14B27"/>
    <w:rsid w:val="00C63870"/>
    <w:rsid w:val="00C91AE2"/>
    <w:rsid w:val="00CD2293"/>
    <w:rsid w:val="00D135A3"/>
    <w:rsid w:val="00DA0AD4"/>
    <w:rsid w:val="00DA19EF"/>
    <w:rsid w:val="00DD536C"/>
    <w:rsid w:val="00DF2793"/>
    <w:rsid w:val="00DF76B6"/>
    <w:rsid w:val="00E16AFC"/>
    <w:rsid w:val="00E22A67"/>
    <w:rsid w:val="00E45D5D"/>
    <w:rsid w:val="00E64F24"/>
    <w:rsid w:val="00E86AD4"/>
    <w:rsid w:val="00E91734"/>
    <w:rsid w:val="00ED3601"/>
    <w:rsid w:val="00EE118D"/>
    <w:rsid w:val="00EE402E"/>
    <w:rsid w:val="00EF272E"/>
    <w:rsid w:val="00F00535"/>
    <w:rsid w:val="00F015AE"/>
    <w:rsid w:val="00F20764"/>
    <w:rsid w:val="00F605C5"/>
    <w:rsid w:val="00F623A0"/>
    <w:rsid w:val="00F62CA5"/>
    <w:rsid w:val="00F86AC8"/>
    <w:rsid w:val="00FF7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FC5B"/>
  <w15:chartTrackingRefBased/>
  <w15:docId w15:val="{5511CA54-B6D7-4246-BB8D-C28F49B5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3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86A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semiHidden/>
    <w:rsid w:val="00F86AC8"/>
    <w:rPr>
      <w:rFonts w:asciiTheme="majorHAnsi" w:eastAsiaTheme="majorEastAsia" w:hAnsiTheme="majorHAnsi" w:cstheme="majorBidi"/>
      <w:color w:val="1F4D78" w:themeColor="accent1" w:themeShade="7F"/>
      <w:sz w:val="24"/>
      <w:szCs w:val="24"/>
    </w:rPr>
  </w:style>
  <w:style w:type="character" w:styleId="Hyperlink">
    <w:name w:val="Hyperlink"/>
    <w:basedOn w:val="Standaardalinea-lettertype"/>
    <w:uiPriority w:val="99"/>
    <w:unhideWhenUsed/>
    <w:rsid w:val="00FF7335"/>
    <w:rPr>
      <w:color w:val="0563C1" w:themeColor="hyperlink"/>
      <w:u w:val="single"/>
    </w:rPr>
  </w:style>
  <w:style w:type="character" w:styleId="Onopgelostemelding">
    <w:name w:val="Unresolved Mention"/>
    <w:basedOn w:val="Standaardalinea-lettertype"/>
    <w:uiPriority w:val="99"/>
    <w:semiHidden/>
    <w:unhideWhenUsed/>
    <w:rsid w:val="00FF7335"/>
    <w:rPr>
      <w:color w:val="605E5C"/>
      <w:shd w:val="clear" w:color="auto" w:fill="E1DFDD"/>
    </w:rPr>
  </w:style>
  <w:style w:type="character" w:styleId="GevolgdeHyperlink">
    <w:name w:val="FollowedHyperlink"/>
    <w:basedOn w:val="Standaardalinea-lettertype"/>
    <w:uiPriority w:val="99"/>
    <w:semiHidden/>
    <w:unhideWhenUsed/>
    <w:rsid w:val="00FF7335"/>
    <w:rPr>
      <w:color w:val="954F72" w:themeColor="followedHyperlink"/>
      <w:u w:val="single"/>
    </w:rPr>
  </w:style>
  <w:style w:type="character" w:customStyle="1" w:styleId="Kop1Char">
    <w:name w:val="Kop 1 Char"/>
    <w:basedOn w:val="Standaardalinea-lettertype"/>
    <w:link w:val="Kop1"/>
    <w:uiPriority w:val="9"/>
    <w:rsid w:val="00273E7B"/>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E86AD4"/>
    <w:pPr>
      <w:ind w:left="720"/>
      <w:contextualSpacing/>
    </w:pPr>
  </w:style>
  <w:style w:type="paragraph" w:styleId="Voetnoottekst">
    <w:name w:val="footnote text"/>
    <w:basedOn w:val="Standaard"/>
    <w:link w:val="VoetnoottekstChar"/>
    <w:uiPriority w:val="99"/>
    <w:semiHidden/>
    <w:unhideWhenUsed/>
    <w:rsid w:val="003E000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0009"/>
    <w:rPr>
      <w:sz w:val="20"/>
      <w:szCs w:val="20"/>
    </w:rPr>
  </w:style>
  <w:style w:type="character" w:styleId="Voetnootmarkering">
    <w:name w:val="footnote reference"/>
    <w:basedOn w:val="Standaardalinea-lettertype"/>
    <w:uiPriority w:val="99"/>
    <w:semiHidden/>
    <w:unhideWhenUsed/>
    <w:rsid w:val="003E0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010">
      <w:bodyDiv w:val="1"/>
      <w:marLeft w:val="0"/>
      <w:marRight w:val="0"/>
      <w:marTop w:val="0"/>
      <w:marBottom w:val="0"/>
      <w:divBdr>
        <w:top w:val="none" w:sz="0" w:space="0" w:color="auto"/>
        <w:left w:val="none" w:sz="0" w:space="0" w:color="auto"/>
        <w:bottom w:val="none" w:sz="0" w:space="0" w:color="auto"/>
        <w:right w:val="none" w:sz="0" w:space="0" w:color="auto"/>
      </w:divBdr>
    </w:div>
    <w:div w:id="536239216">
      <w:bodyDiv w:val="1"/>
      <w:marLeft w:val="0"/>
      <w:marRight w:val="0"/>
      <w:marTop w:val="0"/>
      <w:marBottom w:val="0"/>
      <w:divBdr>
        <w:top w:val="none" w:sz="0" w:space="0" w:color="auto"/>
        <w:left w:val="none" w:sz="0" w:space="0" w:color="auto"/>
        <w:bottom w:val="none" w:sz="0" w:space="0" w:color="auto"/>
        <w:right w:val="none" w:sz="0" w:space="0" w:color="auto"/>
      </w:divBdr>
    </w:div>
    <w:div w:id="845368830">
      <w:bodyDiv w:val="1"/>
      <w:marLeft w:val="0"/>
      <w:marRight w:val="0"/>
      <w:marTop w:val="0"/>
      <w:marBottom w:val="0"/>
      <w:divBdr>
        <w:top w:val="none" w:sz="0" w:space="0" w:color="auto"/>
        <w:left w:val="none" w:sz="0" w:space="0" w:color="auto"/>
        <w:bottom w:val="none" w:sz="0" w:space="0" w:color="auto"/>
        <w:right w:val="none" w:sz="0" w:space="0" w:color="auto"/>
      </w:divBdr>
    </w:div>
    <w:div w:id="1171067482">
      <w:bodyDiv w:val="1"/>
      <w:marLeft w:val="0"/>
      <w:marRight w:val="0"/>
      <w:marTop w:val="0"/>
      <w:marBottom w:val="0"/>
      <w:divBdr>
        <w:top w:val="none" w:sz="0" w:space="0" w:color="auto"/>
        <w:left w:val="none" w:sz="0" w:space="0" w:color="auto"/>
        <w:bottom w:val="none" w:sz="0" w:space="0" w:color="auto"/>
        <w:right w:val="none" w:sz="0" w:space="0" w:color="auto"/>
      </w:divBdr>
    </w:div>
    <w:div w:id="21403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ctgb.nl/over-ctgb/documenten/rapporten/2018/12/18/rapport-internationale-visitatiecommissie-2018" TargetMode="External"/><Relationship Id="rId3" Type="http://schemas.openxmlformats.org/officeDocument/2006/relationships/hyperlink" Target="https://en.wikipedia.org/wiki/Regulatory_Toxicology_and_Pharmacology" TargetMode="External"/><Relationship Id="rId7" Type="http://schemas.openxmlformats.org/officeDocument/2006/relationships/hyperlink" Target="https://www.clo.nl/indicatoren/nl058301-mechanische-bestrijdingsmethoden-in-de-landbouw-per-gewas" TargetMode="External"/><Relationship Id="rId2" Type="http://schemas.openxmlformats.org/officeDocument/2006/relationships/hyperlink" Target="https://www.efsa.europa.eu/en/efsajournal/pub/2092" TargetMode="External"/><Relationship Id="rId1" Type="http://schemas.openxmlformats.org/officeDocument/2006/relationships/hyperlink" Target="https://lebasic.com/en/pesticides-a-model-thats-costing-us-dearly/" TargetMode="External"/><Relationship Id="rId6" Type="http://schemas.openxmlformats.org/officeDocument/2006/relationships/hyperlink" Target="https://www.pan-netherlands.org/3024-2/" TargetMode="External"/><Relationship Id="rId5" Type="http://schemas.openxmlformats.org/officeDocument/2006/relationships/hyperlink" Target="http://www.pan-europe.info/sites/pan-europe.info/files/public/resources/reports/industry-writings-its-own-rules-pdf.pdf" TargetMode="External"/><Relationship Id="rId4" Type="http://schemas.openxmlformats.org/officeDocument/2006/relationships/hyperlink" Target="https://www.generations-futures.fr/actualites/evaluation-glyphosate-biai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1047</ap:Words>
  <ap:Characters>5760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2022-01-03T19:55:00.0000000Z</dcterms:created>
  <dcterms:modified xsi:type="dcterms:W3CDTF">2022-01-03T19:55:00.0000000Z</dcterms:modified>
  <version/>
  <category/>
</coreProperties>
</file>