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CA" w:rsidP="007426AA" w:rsidRDefault="00350FA9" w14:paraId="376C8F3B" w14:textId="029B0EA7">
      <w:pPr>
        <w:rPr>
          <w:szCs w:val="18"/>
        </w:rPr>
      </w:pPr>
      <w:r>
        <w:rPr>
          <w:szCs w:val="18"/>
        </w:rPr>
        <w:t>Geachte Voorzitter,</w:t>
      </w:r>
    </w:p>
    <w:p w:rsidR="00350FA9" w:rsidP="007426AA" w:rsidRDefault="00350FA9" w14:paraId="118DC4D5" w14:textId="19B0E855">
      <w:pPr>
        <w:rPr>
          <w:szCs w:val="18"/>
        </w:rPr>
      </w:pPr>
    </w:p>
    <w:p w:rsidRPr="007426AA" w:rsidR="006A7931" w:rsidP="006A7931" w:rsidRDefault="006A7931" w14:paraId="25378FF7" w14:textId="77777777">
      <w:pPr>
        <w:rPr>
          <w:szCs w:val="18"/>
        </w:rPr>
      </w:pPr>
      <w:r>
        <w:rPr>
          <w:szCs w:val="18"/>
        </w:rPr>
        <w:t>Hierbij ontvangt uw Kamer de wijziging van de begrotingsstaat van LNV (XIV) voor het jaar 2022 (Eerste incidentele suppletoire begroting). Normaliter wordt nieuw beleid in uitvoering genomen nadat de Staten-Generaal de begrotingswet heeft geautoriseerd. Aangezien uitstel van uitvoering van de spoedeisende tegemoetkoming waterschade Limburg, in het belang van het Rijk, niet kan wachten tot formele autorisatie van beide Kamers der Staten-Generaal, zal het kabinet de uitvoering van de maatregel starten. Hiermee wordt gehandeld conform lid 2 van artikel 2.27 van de Comptabiliteitswet 2016.</w:t>
      </w:r>
    </w:p>
    <w:p w:rsidR="006A7931" w:rsidP="006A7931" w:rsidRDefault="006A7931" w14:paraId="5F9AC0D5" w14:textId="77777777">
      <w:pPr>
        <w:spacing w:line="140" w:lineRule="atLeast"/>
        <w:rPr>
          <w:rFonts w:ascii="Calibri" w:hAnsi="Calibri"/>
          <w:sz w:val="22"/>
          <w:szCs w:val="22"/>
        </w:rPr>
      </w:pPr>
      <w:r>
        <w:br/>
        <w:t>In de Kamerbrief van 1 november jl. (Kamerstuk 31865, nr. 198) is uw Kamer geïnformeerd over de nieuwe werkwijze met betrekking tot onderbouwing van beleidsvoorstellen vanaf november 2021. Daarin is aangegeven dat vanuit artikel CW3.1 voor beleidsvoorstellen met significante financiële gevolgen (€ 20 mln. of meer in enig jaar) een apart kader in Kamerbrieven moet worden opgenomen voor de toelichting op instrumenten, doelen, financiële gevolgen en de verwachte doeltreffendheid en doelmatigheid.</w:t>
      </w:r>
    </w:p>
    <w:p w:rsidR="006A7931" w:rsidP="006A7931" w:rsidRDefault="006A7931" w14:paraId="4EE49DDE" w14:textId="77777777">
      <w:pPr>
        <w:spacing w:line="140" w:lineRule="atLeast"/>
      </w:pPr>
    </w:p>
    <w:p w:rsidR="006A7931" w:rsidP="006A7931" w:rsidRDefault="006A7931" w14:paraId="33893C78" w14:textId="77777777">
      <w:pPr>
        <w:spacing w:line="140" w:lineRule="atLeast"/>
      </w:pPr>
      <w:r>
        <w:t xml:space="preserve">Deze incidentele suppletoire begroting bevat een beleidsvoorstel waarvan het budget met </w:t>
      </w:r>
      <w:bookmarkStart w:name="_GoBack" w:id="0"/>
      <w:r>
        <w:t>€ 20 mln</w:t>
      </w:r>
      <w:bookmarkEnd w:id="0"/>
      <w:r>
        <w:t>. of meer wordt verhoogd. Om invulling te geven aan deze nieuwe werkwijze volgt in deze brief voor beide maatregelen het verplichte kader vanuit CW3.1.</w:t>
      </w:r>
    </w:p>
    <w:p w:rsidR="006A7931" w:rsidP="006A7931" w:rsidRDefault="006A7931" w14:paraId="32E193DF" w14:textId="77777777"/>
    <w:p w:rsidR="006A7931" w:rsidP="006A7931" w:rsidRDefault="006A7931" w14:paraId="12F2A868" w14:textId="77777777">
      <w:pPr>
        <w:spacing w:line="240" w:lineRule="auto"/>
      </w:pPr>
    </w:p>
    <w:p w:rsidRPr="006F3C51" w:rsidR="006A7931" w:rsidP="006A7931" w:rsidRDefault="006A7931" w14:paraId="023361D2" w14:textId="77777777">
      <w:pPr>
        <w:rPr>
          <w:rFonts w:eastAsia="Calibri"/>
          <w:b/>
          <w:noProof/>
        </w:rPr>
      </w:pPr>
      <w:r w:rsidRPr="006F3C51">
        <w:rPr>
          <w:rFonts w:eastAsia="Calibri"/>
          <w:b/>
          <w:noProof/>
        </w:rPr>
        <w:t>Beleidskeuzes uitgelegd</w:t>
      </w:r>
      <w:r>
        <w:rPr>
          <w:rFonts w:eastAsia="Calibri"/>
          <w:b/>
          <w:noProof/>
        </w:rPr>
        <w:t xml:space="preserve"> </w:t>
      </w:r>
      <w:r w:rsidRPr="00732986">
        <w:rPr>
          <w:rFonts w:eastAsia="Calibri"/>
          <w:b/>
          <w:noProof/>
        </w:rPr>
        <w:t>regeling ongedekte vaste kosten</w:t>
      </w:r>
      <w:r>
        <w:rPr>
          <w:rFonts w:eastAsia="Calibri"/>
          <w:b/>
          <w:noProof/>
        </w:rPr>
        <w:t xml:space="preserve"> Q1 2022</w:t>
      </w:r>
    </w:p>
    <w:p w:rsidRPr="006F3C51" w:rsidR="006A7931" w:rsidP="006A7931" w:rsidRDefault="006A7931" w14:paraId="083C6612" w14:textId="77777777">
      <w:pPr>
        <w:rPr>
          <w:rFonts w:eastAsia="Calibri"/>
          <w:b/>
          <w:noProof/>
        </w:rPr>
      </w:pPr>
    </w:p>
    <w:p w:rsidRPr="006F3C51" w:rsidR="006A7931" w:rsidP="006A7931" w:rsidRDefault="006A7931" w14:paraId="10247D89" w14:textId="77777777">
      <w:pPr>
        <w:rPr>
          <w:rFonts w:eastAsia="Calibri"/>
          <w:b/>
          <w:noProof/>
        </w:rPr>
      </w:pPr>
    </w:p>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EF3" w:themeFill="accent5" w:themeFillTint="33"/>
        <w:tblLook w:val="01E0" w:firstRow="1" w:lastRow="1" w:firstColumn="1" w:lastColumn="1" w:noHBand="0" w:noVBand="0"/>
      </w:tblPr>
      <w:tblGrid>
        <w:gridCol w:w="2789"/>
        <w:gridCol w:w="4073"/>
      </w:tblGrid>
      <w:tr w:rsidRPr="0018675E" w:rsidR="006A7931" w:rsidTr="00447191" w14:paraId="4456F493" w14:textId="77777777">
        <w:trPr>
          <w:trHeight w:val="849"/>
        </w:trPr>
        <w:tc>
          <w:tcPr>
            <w:tcW w:w="6862" w:type="dxa"/>
            <w:gridSpan w:val="2"/>
            <w:tcBorders>
              <w:left w:val="nil"/>
            </w:tcBorders>
            <w:shd w:val="clear" w:color="auto" w:fill="F79646" w:themeFill="accent6"/>
            <w:vAlign w:val="center"/>
          </w:tcPr>
          <w:p w:rsidRPr="00A2180A" w:rsidR="006A7931" w:rsidP="00447191" w:rsidRDefault="006A7931" w14:paraId="62F0B5B1" w14:textId="77777777">
            <w:pPr>
              <w:pStyle w:val="TableParagraph"/>
              <w:rPr>
                <w:rFonts w:cstheme="minorHAnsi"/>
                <w:b/>
                <w:noProof/>
                <w:color w:val="FFFFFF"/>
                <w:sz w:val="16"/>
                <w:szCs w:val="16"/>
              </w:rPr>
            </w:pPr>
            <w:r w:rsidRPr="00A2180A">
              <w:rPr>
                <w:rFonts w:cstheme="minorHAnsi"/>
                <w:b/>
                <w:noProof/>
                <w:color w:val="FFFFFF"/>
                <w:sz w:val="16"/>
                <w:szCs w:val="16"/>
              </w:rPr>
              <w:t xml:space="preserve">  </w:t>
            </w:r>
            <w:bookmarkStart w:name="_Hlk86329068" w:id="1"/>
            <w:r w:rsidRPr="00A2180A">
              <w:rPr>
                <w:rFonts w:cstheme="minorHAnsi"/>
                <w:b/>
                <w:noProof/>
                <w:color w:val="FFFFFF"/>
                <w:sz w:val="16"/>
                <w:szCs w:val="16"/>
              </w:rPr>
              <w:t>Beleidskeuzes uitgelegd</w:t>
            </w:r>
          </w:p>
          <w:p w:rsidRPr="00A2180A" w:rsidR="006A7931" w:rsidP="00447191" w:rsidRDefault="006A7931" w14:paraId="47773C73" w14:textId="77777777">
            <w:pPr>
              <w:pStyle w:val="TableParagraph"/>
              <w:rPr>
                <w:rFonts w:cstheme="minorHAnsi"/>
                <w:noProof/>
                <w:color w:val="FFFFFF" w:themeColor="background1"/>
                <w:sz w:val="16"/>
                <w:szCs w:val="16"/>
              </w:rPr>
            </w:pPr>
            <w:r w:rsidRPr="00A2180A">
              <w:rPr>
                <w:rFonts w:cstheme="minorHAnsi"/>
                <w:b/>
                <w:noProof/>
                <w:color w:val="FFFFFF" w:themeColor="background1"/>
                <w:sz w:val="16"/>
                <w:szCs w:val="16"/>
              </w:rPr>
              <w:t xml:space="preserve">  </w:t>
            </w:r>
            <w:r w:rsidRPr="00A2180A">
              <w:rPr>
                <w:rFonts w:cstheme="minorHAnsi"/>
                <w:noProof/>
                <w:color w:val="FFFFFF" w:themeColor="background1"/>
                <w:sz w:val="16"/>
                <w:szCs w:val="16"/>
              </w:rPr>
              <w:t>Onderbouwing doeltreffendheid, doelmatigheid en evaluatie (CW 3.1)</w:t>
            </w:r>
          </w:p>
        </w:tc>
      </w:tr>
      <w:tr w:rsidRPr="0018675E" w:rsidR="006A7931" w:rsidTr="00447191" w14:paraId="73EEFB9B" w14:textId="77777777">
        <w:trPr>
          <w:trHeight w:val="729"/>
        </w:trPr>
        <w:tc>
          <w:tcPr>
            <w:tcW w:w="2789" w:type="dxa"/>
            <w:tcBorders>
              <w:left w:val="nil"/>
            </w:tcBorders>
            <w:shd w:val="clear" w:color="auto" w:fill="B8CCE4" w:themeFill="accent1" w:themeFillTint="66"/>
          </w:tcPr>
          <w:p w:rsidRPr="00A2180A" w:rsidR="006A7931" w:rsidP="00447191" w:rsidRDefault="006A7931" w14:paraId="56F17B5A" w14:textId="77777777">
            <w:pPr>
              <w:pStyle w:val="TableParagraph"/>
              <w:ind w:left="103"/>
              <w:rPr>
                <w:rFonts w:cstheme="minorHAnsi"/>
                <w:b/>
                <w:noProof/>
                <w:sz w:val="16"/>
                <w:szCs w:val="16"/>
              </w:rPr>
            </w:pPr>
          </w:p>
          <w:p w:rsidRPr="00B0231C" w:rsidR="006A7931" w:rsidP="00447191" w:rsidRDefault="006A7931" w14:paraId="0915FE45" w14:textId="77777777">
            <w:pPr>
              <w:pStyle w:val="TableParagraph"/>
              <w:numPr>
                <w:ilvl w:val="0"/>
                <w:numId w:val="15"/>
              </w:numPr>
              <w:rPr>
                <w:rFonts w:cstheme="minorHAnsi"/>
                <w:b/>
                <w:noProof/>
                <w:sz w:val="16"/>
                <w:szCs w:val="16"/>
              </w:rPr>
            </w:pPr>
            <w:r w:rsidRPr="002F1089">
              <w:rPr>
                <w:rFonts w:cstheme="minorHAnsi"/>
                <w:b/>
                <w:noProof/>
                <w:sz w:val="16"/>
                <w:szCs w:val="16"/>
              </w:rPr>
              <w:t xml:space="preserve">Doel(en) </w:t>
            </w:r>
          </w:p>
        </w:tc>
        <w:tc>
          <w:tcPr>
            <w:tcW w:w="4073" w:type="dxa"/>
            <w:tcBorders>
              <w:right w:val="nil"/>
            </w:tcBorders>
            <w:shd w:val="clear" w:color="auto" w:fill="DBE5F1" w:themeFill="accent1" w:themeFillTint="33"/>
            <w:vAlign w:val="center"/>
          </w:tcPr>
          <w:p w:rsidR="006A7931" w:rsidP="00447191" w:rsidRDefault="006A7931" w14:paraId="2BC856FD" w14:textId="77777777">
            <w:pPr>
              <w:pStyle w:val="Default"/>
              <w:rPr>
                <w:sz w:val="18"/>
                <w:szCs w:val="18"/>
              </w:rPr>
            </w:pPr>
            <w:r w:rsidRPr="00732986">
              <w:rPr>
                <w:sz w:val="18"/>
                <w:szCs w:val="18"/>
              </w:rPr>
              <w:t>De OVK heeft als doel om de maxima van het steunpakket voor de primaire</w:t>
            </w:r>
            <w:r>
              <w:rPr>
                <w:sz w:val="18"/>
                <w:szCs w:val="18"/>
              </w:rPr>
              <w:t xml:space="preserve"> </w:t>
            </w:r>
            <w:r w:rsidRPr="00732986">
              <w:rPr>
                <w:sz w:val="18"/>
                <w:szCs w:val="18"/>
              </w:rPr>
              <w:t>landbouwbedrijven gelijk te trekken met die van niet-landbouwbedrijven. Dit is</w:t>
            </w:r>
            <w:r>
              <w:rPr>
                <w:sz w:val="18"/>
                <w:szCs w:val="18"/>
              </w:rPr>
              <w:t xml:space="preserve"> </w:t>
            </w:r>
            <w:r w:rsidRPr="00732986">
              <w:rPr>
                <w:sz w:val="18"/>
                <w:szCs w:val="18"/>
              </w:rPr>
              <w:t>noodzakelijk omdat het Europese tijdelijke staatssteunkader 3.1 voor</w:t>
            </w:r>
            <w:r>
              <w:rPr>
                <w:sz w:val="18"/>
                <w:szCs w:val="18"/>
              </w:rPr>
              <w:t xml:space="preserve"> </w:t>
            </w:r>
            <w:r w:rsidRPr="00732986">
              <w:rPr>
                <w:sz w:val="18"/>
                <w:szCs w:val="18"/>
              </w:rPr>
              <w:t xml:space="preserve">landbouwbedrijven een lager maximum kent </w:t>
            </w:r>
            <w:r w:rsidRPr="00732986">
              <w:rPr>
                <w:sz w:val="18"/>
                <w:szCs w:val="18"/>
              </w:rPr>
              <w:lastRenderedPageBreak/>
              <w:t>dan voor niet</w:t>
            </w:r>
            <w:r>
              <w:rPr>
                <w:sz w:val="18"/>
                <w:szCs w:val="18"/>
              </w:rPr>
              <w:t xml:space="preserve"> </w:t>
            </w:r>
            <w:r w:rsidRPr="00732986">
              <w:rPr>
                <w:sz w:val="18"/>
                <w:szCs w:val="18"/>
              </w:rPr>
              <w:t>landbouwbedrijven. Dit acht het kabinet onwenselijk en daarom is</w:t>
            </w:r>
            <w:r>
              <w:rPr>
                <w:sz w:val="18"/>
                <w:szCs w:val="18"/>
              </w:rPr>
              <w:t xml:space="preserve"> </w:t>
            </w:r>
            <w:r w:rsidRPr="00732986">
              <w:rPr>
                <w:sz w:val="18"/>
                <w:szCs w:val="18"/>
              </w:rPr>
              <w:t>besloten om onder een andere paragraaf van het tijdelijke staatssteunkader</w:t>
            </w:r>
            <w:r>
              <w:rPr>
                <w:sz w:val="18"/>
                <w:szCs w:val="18"/>
              </w:rPr>
              <w:t xml:space="preserve"> </w:t>
            </w:r>
            <w:r w:rsidRPr="00732986">
              <w:rPr>
                <w:sz w:val="18"/>
                <w:szCs w:val="18"/>
              </w:rPr>
              <w:t>(3.12) een regeling op</w:t>
            </w:r>
            <w:r>
              <w:rPr>
                <w:sz w:val="18"/>
                <w:szCs w:val="18"/>
              </w:rPr>
              <w:t>en</w:t>
            </w:r>
            <w:r w:rsidRPr="00732986">
              <w:rPr>
                <w:sz w:val="18"/>
                <w:szCs w:val="18"/>
              </w:rPr>
              <w:t xml:space="preserve"> te stellen die het mogelijk maakt om ook middelgrote land</w:t>
            </w:r>
            <w:r>
              <w:rPr>
                <w:sz w:val="18"/>
                <w:szCs w:val="18"/>
              </w:rPr>
              <w:t xml:space="preserve">- </w:t>
            </w:r>
            <w:r w:rsidRPr="00732986">
              <w:rPr>
                <w:sz w:val="18"/>
                <w:szCs w:val="18"/>
              </w:rPr>
              <w:t>en tuinbouwbedrijven (SBI-codes 01.1 tot en met 01.5) substantieel te helpen.</w:t>
            </w:r>
          </w:p>
          <w:p w:rsidRPr="00A2180A" w:rsidR="006A7931" w:rsidP="00447191" w:rsidRDefault="006A7931" w14:paraId="3FBDEB0C" w14:textId="77777777">
            <w:pPr>
              <w:pStyle w:val="Default"/>
              <w:rPr>
                <w:rFonts w:cstheme="minorHAnsi"/>
                <w:noProof/>
                <w:sz w:val="16"/>
                <w:szCs w:val="16"/>
              </w:rPr>
            </w:pPr>
          </w:p>
        </w:tc>
      </w:tr>
      <w:tr w:rsidRPr="007469A4" w:rsidR="006A7931" w:rsidTr="00447191" w14:paraId="0896659B" w14:textId="77777777">
        <w:trPr>
          <w:trHeight w:val="556"/>
        </w:trPr>
        <w:tc>
          <w:tcPr>
            <w:tcW w:w="2789" w:type="dxa"/>
            <w:tcBorders>
              <w:left w:val="nil"/>
            </w:tcBorders>
            <w:shd w:val="clear" w:color="auto" w:fill="B8CCE4" w:themeFill="accent1" w:themeFillTint="66"/>
          </w:tcPr>
          <w:p w:rsidRPr="00A2180A" w:rsidR="006A7931" w:rsidP="00447191" w:rsidRDefault="006A7931" w14:paraId="323757C1" w14:textId="77777777">
            <w:pPr>
              <w:pStyle w:val="TableParagraph"/>
              <w:ind w:left="103" w:right="231"/>
              <w:rPr>
                <w:rFonts w:cstheme="minorHAnsi"/>
                <w:b/>
                <w:noProof/>
                <w:sz w:val="16"/>
                <w:szCs w:val="16"/>
              </w:rPr>
            </w:pPr>
          </w:p>
          <w:p w:rsidRPr="00B0231C" w:rsidR="006A7931" w:rsidP="00447191" w:rsidRDefault="006A7931" w14:paraId="102E5711" w14:textId="77777777">
            <w:pPr>
              <w:pStyle w:val="TableParagraph"/>
              <w:numPr>
                <w:ilvl w:val="0"/>
                <w:numId w:val="15"/>
              </w:numPr>
              <w:ind w:right="231"/>
              <w:rPr>
                <w:rFonts w:cstheme="minorHAnsi"/>
                <w:b/>
                <w:noProof/>
                <w:sz w:val="16"/>
                <w:szCs w:val="16"/>
              </w:rPr>
            </w:pPr>
            <w:r w:rsidRPr="002F1089">
              <w:rPr>
                <w:rFonts w:cstheme="minorHAnsi"/>
                <w:b/>
                <w:noProof/>
                <w:sz w:val="16"/>
                <w:szCs w:val="16"/>
              </w:rPr>
              <w:t>Beleidsinstrument(en)</w:t>
            </w:r>
          </w:p>
        </w:tc>
        <w:tc>
          <w:tcPr>
            <w:tcW w:w="4073" w:type="dxa"/>
            <w:tcBorders>
              <w:right w:val="nil"/>
            </w:tcBorders>
            <w:shd w:val="clear" w:color="auto" w:fill="DBE5F1" w:themeFill="accent1" w:themeFillTint="33"/>
            <w:vAlign w:val="center"/>
          </w:tcPr>
          <w:p w:rsidRPr="004A6EB2" w:rsidR="006A7931" w:rsidP="00447191" w:rsidRDefault="006A7931" w14:paraId="5CCED362" w14:textId="77777777">
            <w:pPr>
              <w:pStyle w:val="Default"/>
              <w:rPr>
                <w:sz w:val="18"/>
                <w:szCs w:val="18"/>
              </w:rPr>
            </w:pPr>
            <w:r w:rsidRPr="004A6EB2">
              <w:rPr>
                <w:sz w:val="18"/>
                <w:szCs w:val="18"/>
              </w:rPr>
              <w:t xml:space="preserve">Het gekozen instrument is dat van een subsidieregeling. </w:t>
            </w:r>
          </w:p>
          <w:p w:rsidRPr="00A2180A" w:rsidR="006A7931" w:rsidP="00447191" w:rsidRDefault="006A7931" w14:paraId="059036E3" w14:textId="77777777">
            <w:pPr>
              <w:pStyle w:val="TableParagraph"/>
              <w:spacing w:line="218" w:lineRule="exact"/>
              <w:ind w:left="101" w:right="543"/>
              <w:rPr>
                <w:rFonts w:cstheme="minorHAnsi"/>
                <w:noProof/>
                <w:sz w:val="16"/>
                <w:szCs w:val="16"/>
              </w:rPr>
            </w:pPr>
          </w:p>
        </w:tc>
      </w:tr>
      <w:tr w:rsidRPr="0018675E" w:rsidR="006A7931" w:rsidTr="00447191" w14:paraId="6DF4006F" w14:textId="77777777">
        <w:trPr>
          <w:trHeight w:val="645"/>
        </w:trPr>
        <w:tc>
          <w:tcPr>
            <w:tcW w:w="2789" w:type="dxa"/>
            <w:tcBorders>
              <w:left w:val="nil"/>
            </w:tcBorders>
            <w:shd w:val="clear" w:color="auto" w:fill="B8CCE4" w:themeFill="accent1" w:themeFillTint="66"/>
          </w:tcPr>
          <w:p w:rsidRPr="00A2180A" w:rsidR="006A7931" w:rsidP="00447191" w:rsidRDefault="006A7931" w14:paraId="0CC49532" w14:textId="77777777">
            <w:pPr>
              <w:pStyle w:val="TableParagraph"/>
              <w:ind w:left="463" w:right="231"/>
              <w:rPr>
                <w:rFonts w:cstheme="minorHAnsi"/>
                <w:b/>
                <w:noProof/>
                <w:sz w:val="16"/>
                <w:szCs w:val="16"/>
              </w:rPr>
            </w:pPr>
          </w:p>
          <w:p w:rsidRPr="00A2180A" w:rsidR="006A7931" w:rsidP="00447191" w:rsidRDefault="006A7931" w14:paraId="6C9C673E" w14:textId="77777777">
            <w:pPr>
              <w:pStyle w:val="TableParagraph"/>
              <w:numPr>
                <w:ilvl w:val="0"/>
                <w:numId w:val="15"/>
              </w:numPr>
              <w:ind w:right="231"/>
              <w:rPr>
                <w:rFonts w:cstheme="minorHAnsi"/>
                <w:b/>
                <w:noProof/>
                <w:sz w:val="16"/>
                <w:szCs w:val="16"/>
              </w:rPr>
            </w:pPr>
            <w:r w:rsidRPr="00A2180A">
              <w:rPr>
                <w:rFonts w:cstheme="minorHAnsi"/>
                <w:b/>
                <w:noProof/>
                <w:sz w:val="16"/>
                <w:szCs w:val="16"/>
              </w:rPr>
              <w:t>A. Financiële gevolgen voor het Rijk</w:t>
            </w:r>
          </w:p>
        </w:tc>
        <w:tc>
          <w:tcPr>
            <w:tcW w:w="4073" w:type="dxa"/>
            <w:tcBorders>
              <w:right w:val="nil"/>
            </w:tcBorders>
            <w:shd w:val="clear" w:color="auto" w:fill="DBE5F1" w:themeFill="accent1" w:themeFillTint="33"/>
            <w:vAlign w:val="center"/>
          </w:tcPr>
          <w:p w:rsidR="006A7931" w:rsidP="00447191" w:rsidRDefault="006A7931" w14:paraId="4731ABAF" w14:textId="77777777">
            <w:pPr>
              <w:pStyle w:val="Default"/>
              <w:rPr>
                <w:sz w:val="18"/>
                <w:szCs w:val="18"/>
              </w:rPr>
            </w:pPr>
            <w:r w:rsidRPr="00732986">
              <w:rPr>
                <w:sz w:val="18"/>
                <w:szCs w:val="18"/>
              </w:rPr>
              <w:t>Het kabinet heeft voor de voortzetting</w:t>
            </w:r>
            <w:r>
              <w:rPr>
                <w:sz w:val="18"/>
                <w:szCs w:val="18"/>
              </w:rPr>
              <w:t xml:space="preserve"> van de regeling OVK in Q1 2022 </w:t>
            </w:r>
            <w:r w:rsidRPr="00732986">
              <w:rPr>
                <w:sz w:val="18"/>
                <w:szCs w:val="18"/>
              </w:rPr>
              <w:t>20 miljoen euro gereserveerd.</w:t>
            </w:r>
          </w:p>
          <w:p w:rsidRPr="00A2180A" w:rsidR="006A7931" w:rsidP="00447191" w:rsidRDefault="006A7931" w14:paraId="579443A5" w14:textId="77777777">
            <w:pPr>
              <w:pStyle w:val="Default"/>
              <w:rPr>
                <w:rFonts w:cstheme="minorHAnsi"/>
                <w:noProof/>
                <w:sz w:val="16"/>
                <w:szCs w:val="16"/>
              </w:rPr>
            </w:pPr>
          </w:p>
        </w:tc>
      </w:tr>
      <w:tr w:rsidRPr="0018675E" w:rsidR="006A7931" w:rsidTr="00447191" w14:paraId="63450853" w14:textId="77777777">
        <w:trPr>
          <w:trHeight w:val="714"/>
        </w:trPr>
        <w:tc>
          <w:tcPr>
            <w:tcW w:w="2789" w:type="dxa"/>
            <w:tcBorders>
              <w:left w:val="nil"/>
            </w:tcBorders>
            <w:shd w:val="clear" w:color="auto" w:fill="B8CCE4" w:themeFill="accent1" w:themeFillTint="66"/>
          </w:tcPr>
          <w:p w:rsidRPr="00A2180A" w:rsidR="006A7931" w:rsidP="00447191" w:rsidRDefault="006A7931" w14:paraId="44C186F4" w14:textId="77777777">
            <w:pPr>
              <w:pStyle w:val="TableParagraph"/>
              <w:ind w:left="463" w:right="231"/>
              <w:rPr>
                <w:rFonts w:cstheme="minorHAnsi"/>
                <w:b/>
                <w:noProof/>
                <w:sz w:val="16"/>
                <w:szCs w:val="16"/>
              </w:rPr>
            </w:pPr>
          </w:p>
          <w:p w:rsidRPr="00A2180A" w:rsidR="006A7931" w:rsidP="00447191" w:rsidRDefault="006A7931" w14:paraId="4F631662" w14:textId="77777777">
            <w:pPr>
              <w:pStyle w:val="TableParagraph"/>
              <w:ind w:left="463" w:right="231"/>
              <w:rPr>
                <w:rFonts w:cstheme="minorHAnsi"/>
                <w:b/>
                <w:noProof/>
                <w:sz w:val="16"/>
                <w:szCs w:val="16"/>
              </w:rPr>
            </w:pPr>
            <w:r w:rsidRPr="00A2180A">
              <w:rPr>
                <w:rFonts w:cstheme="minorHAnsi"/>
                <w:b/>
                <w:noProof/>
                <w:sz w:val="16"/>
                <w:szCs w:val="16"/>
              </w:rPr>
              <w:t xml:space="preserve">B. Financiële gevolgen voor maatschappelijke sectoren </w:t>
            </w:r>
          </w:p>
        </w:tc>
        <w:tc>
          <w:tcPr>
            <w:tcW w:w="4073" w:type="dxa"/>
            <w:tcBorders>
              <w:right w:val="nil"/>
            </w:tcBorders>
            <w:shd w:val="clear" w:color="auto" w:fill="DBE5F1" w:themeFill="accent1" w:themeFillTint="33"/>
            <w:vAlign w:val="center"/>
          </w:tcPr>
          <w:p w:rsidR="006A7931" w:rsidP="00447191" w:rsidRDefault="006A7931" w14:paraId="275E7BFA" w14:textId="77777777">
            <w:pPr>
              <w:pStyle w:val="Default"/>
              <w:rPr>
                <w:sz w:val="18"/>
                <w:szCs w:val="18"/>
              </w:rPr>
            </w:pPr>
            <w:r>
              <w:rPr>
                <w:sz w:val="18"/>
                <w:szCs w:val="18"/>
              </w:rPr>
              <w:t xml:space="preserve">n.v.t. </w:t>
            </w:r>
          </w:p>
          <w:p w:rsidRPr="00A2180A" w:rsidR="006A7931" w:rsidP="00447191" w:rsidRDefault="006A7931" w14:paraId="6EC6FF82" w14:textId="77777777">
            <w:pPr>
              <w:pStyle w:val="TableParagraph"/>
              <w:ind w:left="101" w:right="308"/>
              <w:rPr>
                <w:rFonts w:cstheme="minorHAnsi"/>
                <w:noProof/>
                <w:sz w:val="16"/>
                <w:szCs w:val="16"/>
              </w:rPr>
            </w:pPr>
          </w:p>
        </w:tc>
      </w:tr>
      <w:tr w:rsidRPr="004037F7" w:rsidR="006A7931" w:rsidTr="00447191" w14:paraId="28EF5A1E" w14:textId="77777777">
        <w:trPr>
          <w:trHeight w:val="766"/>
        </w:trPr>
        <w:tc>
          <w:tcPr>
            <w:tcW w:w="2789" w:type="dxa"/>
            <w:tcBorders>
              <w:left w:val="nil"/>
            </w:tcBorders>
            <w:shd w:val="clear" w:color="auto" w:fill="B8CCE4" w:themeFill="accent1" w:themeFillTint="66"/>
          </w:tcPr>
          <w:p w:rsidRPr="00A2180A" w:rsidR="006A7931" w:rsidP="00447191" w:rsidRDefault="006A7931" w14:paraId="6A5D39C8" w14:textId="77777777">
            <w:pPr>
              <w:pStyle w:val="TableParagraph"/>
              <w:ind w:left="463" w:right="231"/>
              <w:rPr>
                <w:rFonts w:cstheme="minorHAnsi"/>
                <w:b/>
                <w:noProof/>
                <w:sz w:val="16"/>
                <w:szCs w:val="16"/>
              </w:rPr>
            </w:pPr>
          </w:p>
          <w:p w:rsidRPr="00B0231C" w:rsidR="006A7931" w:rsidP="00447191" w:rsidRDefault="006A7931" w14:paraId="157EA180" w14:textId="77777777">
            <w:pPr>
              <w:pStyle w:val="TableParagraph"/>
              <w:numPr>
                <w:ilvl w:val="0"/>
                <w:numId w:val="15"/>
              </w:numPr>
              <w:ind w:right="231"/>
              <w:rPr>
                <w:rFonts w:cstheme="minorHAnsi"/>
                <w:b/>
                <w:noProof/>
                <w:sz w:val="16"/>
                <w:szCs w:val="16"/>
              </w:rPr>
            </w:pPr>
            <w:r w:rsidRPr="002F1089">
              <w:rPr>
                <w:rFonts w:cstheme="minorHAnsi"/>
                <w:b/>
                <w:noProof/>
                <w:sz w:val="16"/>
                <w:szCs w:val="16"/>
              </w:rPr>
              <w:t>Nagestreefde doeltreffendheid</w:t>
            </w:r>
          </w:p>
        </w:tc>
        <w:tc>
          <w:tcPr>
            <w:tcW w:w="4073" w:type="dxa"/>
            <w:tcBorders>
              <w:right w:val="nil"/>
            </w:tcBorders>
            <w:shd w:val="clear" w:color="auto" w:fill="DBE5F1" w:themeFill="accent1" w:themeFillTint="33"/>
            <w:vAlign w:val="center"/>
          </w:tcPr>
          <w:p w:rsidRPr="00640567" w:rsidR="006A7931" w:rsidP="00447191" w:rsidRDefault="006A7931" w14:paraId="360657EF" w14:textId="77777777">
            <w:pPr>
              <w:pStyle w:val="Default"/>
              <w:rPr>
                <w:sz w:val="18"/>
                <w:szCs w:val="18"/>
              </w:rPr>
            </w:pPr>
            <w:r w:rsidRPr="00640567">
              <w:rPr>
                <w:sz w:val="18"/>
                <w:szCs w:val="18"/>
              </w:rPr>
              <w:t>Het is duidelijk dat een groot deel van de bedrijven waarop deze regeling betrekking heeft</w:t>
            </w:r>
            <w:r>
              <w:rPr>
                <w:sz w:val="18"/>
                <w:szCs w:val="18"/>
              </w:rPr>
              <w:t>,</w:t>
            </w:r>
            <w:r w:rsidRPr="00640567">
              <w:rPr>
                <w:sz w:val="18"/>
                <w:szCs w:val="18"/>
              </w:rPr>
              <w:t xml:space="preserve"> te kampen heeft met de economische gevolgen van de crisis. Bovendien komen alleen bedrijven in aanmerking die minimaal 30% omzetverlies lijden. Omdat bedrijven omzet nodig hebben om de vaste lasten te </w:t>
            </w:r>
            <w:r>
              <w:rPr>
                <w:sz w:val="18"/>
                <w:szCs w:val="18"/>
              </w:rPr>
              <w:t>betalen</w:t>
            </w:r>
            <w:r w:rsidRPr="00640567">
              <w:rPr>
                <w:sz w:val="18"/>
                <w:szCs w:val="18"/>
              </w:rPr>
              <w:t>, komen bedrijven door</w:t>
            </w:r>
            <w:r>
              <w:rPr>
                <w:sz w:val="18"/>
                <w:szCs w:val="18"/>
              </w:rPr>
              <w:t xml:space="preserve"> het wegvallen van omzet</w:t>
            </w:r>
            <w:r w:rsidRPr="00640567">
              <w:rPr>
                <w:sz w:val="18"/>
                <w:szCs w:val="18"/>
              </w:rPr>
              <w:t xml:space="preserve"> in de knel. De ontvangen subsidie stelt de bedrijven in staat een deel van die vaste lasten te financieren.</w:t>
            </w:r>
          </w:p>
          <w:p w:rsidRPr="00640567" w:rsidR="006A7931" w:rsidP="00447191" w:rsidRDefault="006A7931" w14:paraId="2C683AA6" w14:textId="77777777">
            <w:pPr>
              <w:pStyle w:val="Default"/>
              <w:rPr>
                <w:sz w:val="18"/>
                <w:szCs w:val="18"/>
              </w:rPr>
            </w:pPr>
            <w:r w:rsidRPr="00640567">
              <w:rPr>
                <w:sz w:val="18"/>
                <w:szCs w:val="18"/>
              </w:rPr>
              <w:t>Het is op voorhand heel moeilijk aan te geven in welke mate de regeling bijdraagt aan de overlevingskans van de bedrijven. Dit hangt met veel factoren samen, waaronder de financiële positie van de bedrijven en de mate waarin met ketenpartners de lasten verdeeld kunnen worden.</w:t>
            </w:r>
          </w:p>
          <w:p w:rsidRPr="004A6EB2" w:rsidR="006A7931" w:rsidP="00447191" w:rsidRDefault="006A7931" w14:paraId="359ECF71" w14:textId="77777777">
            <w:pPr>
              <w:pStyle w:val="Default"/>
              <w:rPr>
                <w:sz w:val="18"/>
                <w:szCs w:val="18"/>
              </w:rPr>
            </w:pPr>
            <w:r w:rsidRPr="00640567">
              <w:rPr>
                <w:sz w:val="18"/>
                <w:szCs w:val="18"/>
              </w:rPr>
              <w:t>De economische situatie is dermate uniek dat we de verwachte doeltreffendheid van de regeling niet kunnen afzetten tegen andere subsidie instrumenten.</w:t>
            </w:r>
          </w:p>
          <w:p w:rsidRPr="004A6EB2" w:rsidR="006A7931" w:rsidP="00447191" w:rsidRDefault="006A7931" w14:paraId="2888F36D" w14:textId="77777777">
            <w:pPr>
              <w:pStyle w:val="TableParagraph"/>
              <w:spacing w:before="4" w:line="218" w:lineRule="exact"/>
              <w:ind w:right="166"/>
              <w:rPr>
                <w:rFonts w:cstheme="minorHAnsi"/>
                <w:noProof/>
                <w:sz w:val="16"/>
                <w:szCs w:val="16"/>
              </w:rPr>
            </w:pPr>
          </w:p>
        </w:tc>
      </w:tr>
      <w:tr w:rsidRPr="0018675E" w:rsidR="006A7931" w:rsidTr="00447191" w14:paraId="69E45EE2" w14:textId="77777777">
        <w:trPr>
          <w:trHeight w:val="788"/>
        </w:trPr>
        <w:tc>
          <w:tcPr>
            <w:tcW w:w="2789" w:type="dxa"/>
            <w:tcBorders>
              <w:left w:val="nil"/>
            </w:tcBorders>
            <w:shd w:val="clear" w:color="auto" w:fill="B8CCE4" w:themeFill="accent1" w:themeFillTint="66"/>
          </w:tcPr>
          <w:p w:rsidRPr="004A6EB2" w:rsidR="006A7931" w:rsidP="00447191" w:rsidRDefault="006A7931" w14:paraId="0160E940" w14:textId="77777777">
            <w:pPr>
              <w:pStyle w:val="TableParagraph"/>
              <w:rPr>
                <w:rFonts w:cstheme="minorHAnsi"/>
                <w:i/>
                <w:noProof/>
                <w:sz w:val="16"/>
                <w:szCs w:val="16"/>
              </w:rPr>
            </w:pPr>
          </w:p>
          <w:p w:rsidRPr="00B0231C" w:rsidR="006A7931" w:rsidP="00447191" w:rsidRDefault="006A7931" w14:paraId="7DE0E023" w14:textId="77777777">
            <w:pPr>
              <w:pStyle w:val="TableParagraph"/>
              <w:numPr>
                <w:ilvl w:val="0"/>
                <w:numId w:val="15"/>
              </w:numPr>
              <w:ind w:right="231"/>
              <w:rPr>
                <w:rFonts w:cstheme="minorHAnsi"/>
                <w:b/>
                <w:noProof/>
                <w:sz w:val="16"/>
                <w:szCs w:val="16"/>
              </w:rPr>
            </w:pPr>
            <w:r w:rsidRPr="002F1089">
              <w:rPr>
                <w:rFonts w:cstheme="minorHAnsi"/>
                <w:b/>
                <w:noProof/>
                <w:sz w:val="16"/>
                <w:szCs w:val="16"/>
              </w:rPr>
              <w:t>Nagestreefde doelmatigheid</w:t>
            </w:r>
          </w:p>
        </w:tc>
        <w:tc>
          <w:tcPr>
            <w:tcW w:w="4073" w:type="dxa"/>
            <w:tcBorders>
              <w:right w:val="nil"/>
            </w:tcBorders>
            <w:shd w:val="clear" w:color="auto" w:fill="DBE5F1" w:themeFill="accent1" w:themeFillTint="33"/>
            <w:vAlign w:val="center"/>
          </w:tcPr>
          <w:p w:rsidR="006A7931" w:rsidP="00447191" w:rsidRDefault="006A7931" w14:paraId="37039F25" w14:textId="77777777">
            <w:pPr>
              <w:pStyle w:val="Default"/>
              <w:rPr>
                <w:sz w:val="18"/>
                <w:szCs w:val="18"/>
              </w:rPr>
            </w:pPr>
            <w:r>
              <w:rPr>
                <w:sz w:val="18"/>
                <w:szCs w:val="18"/>
              </w:rPr>
              <w:t xml:space="preserve">Alleen bedrijven die tenminste 30% omzetverlies hebben ten opzichte van de referentieperiode én het maximale bedrag TVL-subsidie toegekend hebben gekregen komen in aanmerking voor deze regeling. </w:t>
            </w:r>
          </w:p>
          <w:p w:rsidRPr="00185A12" w:rsidR="006A7931" w:rsidP="00447191" w:rsidRDefault="006A7931" w14:paraId="20FD1A32" w14:textId="77777777">
            <w:pPr>
              <w:pStyle w:val="Default"/>
              <w:rPr>
                <w:sz w:val="18"/>
                <w:szCs w:val="18"/>
              </w:rPr>
            </w:pPr>
            <w:r w:rsidRPr="00185A12">
              <w:rPr>
                <w:sz w:val="18"/>
                <w:szCs w:val="18"/>
              </w:rPr>
              <w:t xml:space="preserve">De </w:t>
            </w:r>
            <w:r>
              <w:rPr>
                <w:sz w:val="18"/>
                <w:szCs w:val="18"/>
              </w:rPr>
              <w:t xml:space="preserve">hoogte van de </w:t>
            </w:r>
            <w:r w:rsidRPr="00185A12">
              <w:rPr>
                <w:sz w:val="18"/>
                <w:szCs w:val="18"/>
              </w:rPr>
              <w:t xml:space="preserve">subsidie </w:t>
            </w:r>
            <w:r>
              <w:rPr>
                <w:sz w:val="18"/>
                <w:szCs w:val="18"/>
              </w:rPr>
              <w:t>wordt</w:t>
            </w:r>
            <w:r w:rsidRPr="00185A12">
              <w:rPr>
                <w:sz w:val="18"/>
                <w:szCs w:val="18"/>
              </w:rPr>
              <w:t xml:space="preserve"> gebaseerd op de</w:t>
            </w:r>
            <w:r>
              <w:rPr>
                <w:sz w:val="18"/>
                <w:szCs w:val="18"/>
              </w:rPr>
              <w:t xml:space="preserve"> daadwerkelijke </w:t>
            </w:r>
            <w:r w:rsidRPr="00185A12">
              <w:rPr>
                <w:sz w:val="18"/>
                <w:szCs w:val="18"/>
              </w:rPr>
              <w:t>ongedekte vaste kosten. Ongedekte vaste kosten zijn die vaste kosten waarvoor,</w:t>
            </w:r>
            <w:r>
              <w:rPr>
                <w:sz w:val="18"/>
                <w:szCs w:val="18"/>
              </w:rPr>
              <w:t xml:space="preserve"> </w:t>
            </w:r>
            <w:r w:rsidRPr="00185A12">
              <w:rPr>
                <w:sz w:val="18"/>
                <w:szCs w:val="18"/>
              </w:rPr>
              <w:t>geen winst is gemaakt, geen subsidie en</w:t>
            </w:r>
            <w:r>
              <w:rPr>
                <w:sz w:val="18"/>
                <w:szCs w:val="18"/>
              </w:rPr>
              <w:t>/of</w:t>
            </w:r>
            <w:r w:rsidRPr="00185A12">
              <w:rPr>
                <w:sz w:val="18"/>
                <w:szCs w:val="18"/>
              </w:rPr>
              <w:t xml:space="preserve"> geen </w:t>
            </w:r>
            <w:r w:rsidRPr="00185A12">
              <w:rPr>
                <w:sz w:val="18"/>
                <w:szCs w:val="18"/>
              </w:rPr>
              <w:lastRenderedPageBreak/>
              <w:t>verzekeringsgeld is gegeven.</w:t>
            </w:r>
          </w:p>
          <w:p w:rsidR="006A7931" w:rsidP="00447191" w:rsidRDefault="006A7931" w14:paraId="28E2BC25" w14:textId="77777777">
            <w:pPr>
              <w:pStyle w:val="Default"/>
              <w:rPr>
                <w:sz w:val="18"/>
                <w:szCs w:val="18"/>
              </w:rPr>
            </w:pPr>
            <w:r w:rsidRPr="00185A12">
              <w:rPr>
                <w:sz w:val="18"/>
                <w:szCs w:val="18"/>
              </w:rPr>
              <w:t>Daardoor zal er per bedrijf een controle nodig zijn van de feitelijke situatie. Van de ongedekte vaste kosten zal 70% vergoed worden, het maximum</w:t>
            </w:r>
            <w:r>
              <w:rPr>
                <w:sz w:val="18"/>
                <w:szCs w:val="18"/>
              </w:rPr>
              <w:t xml:space="preserve"> </w:t>
            </w:r>
            <w:r w:rsidRPr="00185A12">
              <w:rPr>
                <w:sz w:val="18"/>
                <w:szCs w:val="18"/>
              </w:rPr>
              <w:t>dat onder het staatsteunkader 3.12 is toegestaan.</w:t>
            </w:r>
          </w:p>
          <w:p w:rsidRPr="00320563" w:rsidR="006A7931" w:rsidP="00447191" w:rsidRDefault="006A7931" w14:paraId="1D5891F6" w14:textId="77777777">
            <w:pPr>
              <w:pStyle w:val="Default"/>
              <w:rPr>
                <w:sz w:val="18"/>
                <w:szCs w:val="18"/>
              </w:rPr>
            </w:pPr>
            <w:r w:rsidRPr="00320563">
              <w:rPr>
                <w:sz w:val="18"/>
                <w:szCs w:val="18"/>
              </w:rPr>
              <w:t xml:space="preserve">Voor de subsidie geldt </w:t>
            </w:r>
            <w:r>
              <w:rPr>
                <w:sz w:val="18"/>
                <w:szCs w:val="18"/>
              </w:rPr>
              <w:t xml:space="preserve">dat het maximale bedrag dat landbouwondernemingen kunnen ontvangen aansluit bij de maximale bedragen zoals die gelden binnen de TVL voor niet-landbouw sectoren.  </w:t>
            </w:r>
          </w:p>
        </w:tc>
      </w:tr>
      <w:tr w:rsidRPr="0018675E" w:rsidR="006A7931" w:rsidTr="00447191" w14:paraId="43F1F69A" w14:textId="77777777">
        <w:trPr>
          <w:trHeight w:val="788"/>
        </w:trPr>
        <w:tc>
          <w:tcPr>
            <w:tcW w:w="2789" w:type="dxa"/>
            <w:tcBorders>
              <w:left w:val="nil"/>
            </w:tcBorders>
            <w:shd w:val="clear" w:color="auto" w:fill="B8CCE4" w:themeFill="accent1" w:themeFillTint="66"/>
          </w:tcPr>
          <w:p w:rsidRPr="00A2180A" w:rsidR="006A7931" w:rsidP="00447191" w:rsidRDefault="006A7931" w14:paraId="7919001B" w14:textId="77777777">
            <w:pPr>
              <w:pStyle w:val="TableParagraph"/>
              <w:ind w:left="103" w:right="1066"/>
              <w:rPr>
                <w:rFonts w:cstheme="minorHAnsi"/>
                <w:b/>
                <w:noProof/>
                <w:color w:val="FFFFFF"/>
                <w:sz w:val="16"/>
                <w:szCs w:val="16"/>
              </w:rPr>
            </w:pPr>
          </w:p>
          <w:p w:rsidRPr="004037F7" w:rsidR="006A7931" w:rsidP="00447191" w:rsidRDefault="006A7931" w14:paraId="4F25FD40" w14:textId="77777777">
            <w:pPr>
              <w:pStyle w:val="TableParagraph"/>
              <w:numPr>
                <w:ilvl w:val="0"/>
                <w:numId w:val="15"/>
              </w:numPr>
              <w:ind w:right="231"/>
              <w:rPr>
                <w:rFonts w:cstheme="minorHAnsi"/>
                <w:noProof/>
                <w:sz w:val="16"/>
                <w:szCs w:val="16"/>
              </w:rPr>
            </w:pPr>
            <w:r w:rsidRPr="007469A4">
              <w:rPr>
                <w:rFonts w:cstheme="minorHAnsi"/>
                <w:b/>
                <w:noProof/>
                <w:sz w:val="16"/>
                <w:szCs w:val="16"/>
              </w:rPr>
              <w:t>Evaluatieparagraaf</w:t>
            </w:r>
          </w:p>
        </w:tc>
        <w:tc>
          <w:tcPr>
            <w:tcW w:w="4073" w:type="dxa"/>
            <w:tcBorders>
              <w:right w:val="nil"/>
            </w:tcBorders>
            <w:shd w:val="clear" w:color="auto" w:fill="DBE5F1" w:themeFill="accent1" w:themeFillTint="33"/>
            <w:vAlign w:val="center"/>
          </w:tcPr>
          <w:p w:rsidR="006A7931" w:rsidP="00447191" w:rsidRDefault="006A7931" w14:paraId="7F715A63" w14:textId="77777777">
            <w:pPr>
              <w:pStyle w:val="Default"/>
              <w:rPr>
                <w:sz w:val="18"/>
                <w:szCs w:val="18"/>
              </w:rPr>
            </w:pPr>
            <w:r>
              <w:rPr>
                <w:sz w:val="18"/>
                <w:szCs w:val="18"/>
              </w:rPr>
              <w:t>De evaluatie van deze regeling loopt mee in de bredere evaluatie van de corona steunmaatregelen. Er wordt nu geen specifieke evaluatie door LNV voorzien.</w:t>
            </w:r>
          </w:p>
          <w:p w:rsidR="006A7931" w:rsidP="00447191" w:rsidRDefault="006A7931" w14:paraId="3AA57583" w14:textId="77777777">
            <w:pPr>
              <w:pStyle w:val="Default"/>
              <w:rPr>
                <w:sz w:val="18"/>
                <w:szCs w:val="18"/>
              </w:rPr>
            </w:pPr>
          </w:p>
          <w:p w:rsidRPr="00101088" w:rsidR="006A7931" w:rsidP="00447191" w:rsidRDefault="006A7931" w14:paraId="7899EBA4" w14:textId="77777777">
            <w:pPr>
              <w:pStyle w:val="Default"/>
              <w:rPr>
                <w:sz w:val="18"/>
                <w:szCs w:val="18"/>
              </w:rPr>
            </w:pPr>
            <w:r>
              <w:rPr>
                <w:sz w:val="18"/>
                <w:szCs w:val="18"/>
              </w:rPr>
              <w:t xml:space="preserve">Leerervaringen uit de eerdere openstellingen zijn en worden meegenomen in het opstellen van de regeling voor Q1 2022. </w:t>
            </w:r>
          </w:p>
        </w:tc>
      </w:tr>
      <w:bookmarkEnd w:id="1"/>
    </w:tbl>
    <w:p w:rsidRPr="006F3C51" w:rsidR="006A7931" w:rsidP="006A7931" w:rsidRDefault="006A7931" w14:paraId="348E4DE2" w14:textId="77777777">
      <w:pPr>
        <w:rPr>
          <w:rFonts w:eastAsia="Calibri"/>
          <w:noProof/>
        </w:rPr>
      </w:pPr>
    </w:p>
    <w:p w:rsidRPr="004213FB" w:rsidR="006A7931" w:rsidP="006A7931" w:rsidRDefault="006A7931" w14:paraId="524EAC12" w14:textId="77777777">
      <w:pPr>
        <w:rPr>
          <w:szCs w:val="18"/>
        </w:rPr>
      </w:pPr>
    </w:p>
    <w:p w:rsidR="006A7931" w:rsidP="006A7931" w:rsidRDefault="006A7931" w14:paraId="2F2C07A1" w14:textId="77777777"/>
    <w:p w:rsidR="006A7931" w:rsidP="006A7931" w:rsidRDefault="006A7931" w14:paraId="472D8434" w14:textId="77777777">
      <w:pPr>
        <w:spacing w:line="240" w:lineRule="auto"/>
      </w:pPr>
    </w:p>
    <w:p w:rsidRPr="00EC58D9" w:rsidR="006A7931" w:rsidP="006A7931" w:rsidRDefault="006A7931" w14:paraId="38359B21" w14:textId="77777777"/>
    <w:p w:rsidRPr="00EC58D9" w:rsidR="006A7931" w:rsidP="006A7931" w:rsidRDefault="006A7931" w14:paraId="7B8D0B77" w14:textId="77777777"/>
    <w:p w:rsidRPr="00EC58D9" w:rsidR="006A7931" w:rsidP="006A7931" w:rsidRDefault="006A7931" w14:paraId="6CFDC332" w14:textId="77777777"/>
    <w:p w:rsidRPr="00EC58D9" w:rsidR="006A7931" w:rsidP="006A7931" w:rsidRDefault="006A7931" w14:paraId="5E3655D0" w14:textId="77777777"/>
    <w:p w:rsidRPr="00EC58D9" w:rsidR="006A7931" w:rsidP="006A7931" w:rsidRDefault="006A7931" w14:paraId="6587081E" w14:textId="77777777">
      <w:r w:rsidRPr="00EC58D9">
        <w:t>Carola Schouten</w:t>
      </w:r>
    </w:p>
    <w:p w:rsidRPr="00006C01" w:rsidR="006A7931" w:rsidP="006A7931" w:rsidRDefault="006A7931" w14:paraId="084F54E6" w14:textId="77777777">
      <w:r w:rsidRPr="00EC58D9">
        <w:t>Minister van Landbouw, Natuur en Voedselkwaliteit</w:t>
      </w:r>
    </w:p>
    <w:p w:rsidR="00377C58" w:rsidP="006A7931" w:rsidRDefault="00377C58" w14:paraId="7168179F" w14:textId="77777777"/>
    <w:sectPr w:rsidR="00377C58" w:rsidSect="000F0521">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FC042" w14:textId="77777777" w:rsidR="009642C2" w:rsidRDefault="00B462D0">
      <w:pPr>
        <w:spacing w:line="240" w:lineRule="auto"/>
      </w:pPr>
      <w:r>
        <w:separator/>
      </w:r>
    </w:p>
  </w:endnote>
  <w:endnote w:type="continuationSeparator" w:id="0">
    <w:p w14:paraId="0D62EBE6" w14:textId="77777777" w:rsidR="009642C2" w:rsidRDefault="00B46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grofont">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55B0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2481D" w14:paraId="725870D4" w14:textId="77777777" w:rsidTr="00CA6A25">
      <w:trPr>
        <w:trHeight w:hRule="exact" w:val="240"/>
      </w:trPr>
      <w:tc>
        <w:tcPr>
          <w:tcW w:w="7601" w:type="dxa"/>
          <w:shd w:val="clear" w:color="auto" w:fill="auto"/>
        </w:tcPr>
        <w:p w14:paraId="53C2A371" w14:textId="77777777" w:rsidR="00527BD4" w:rsidRDefault="00527BD4" w:rsidP="003F1F6B">
          <w:pPr>
            <w:pStyle w:val="Huisstijl-Rubricering"/>
          </w:pPr>
        </w:p>
      </w:tc>
      <w:tc>
        <w:tcPr>
          <w:tcW w:w="2156" w:type="dxa"/>
        </w:tcPr>
        <w:p w14:paraId="6D04F5D9" w14:textId="27BC57A8" w:rsidR="00527BD4" w:rsidRPr="00645414" w:rsidRDefault="00B462D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0521">
            <w:t>3</w:t>
          </w:r>
          <w:r w:rsidRPr="00645414">
            <w:fldChar w:fldCharType="end"/>
          </w:r>
          <w:r w:rsidRPr="00645414">
            <w:t xml:space="preserve"> </w:t>
          </w:r>
          <w:r>
            <w:t>van</w:t>
          </w:r>
          <w:r w:rsidRPr="00645414">
            <w:t xml:space="preserve"> </w:t>
          </w:r>
          <w:fldSimple w:instr=" SECTIONPAGES   \* MERGEFORMAT ">
            <w:r w:rsidR="000F0521">
              <w:t>3</w:t>
            </w:r>
          </w:fldSimple>
        </w:p>
      </w:tc>
    </w:tr>
  </w:tbl>
  <w:p w14:paraId="45ED5D8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2481D" w14:paraId="5B9A994C" w14:textId="77777777" w:rsidTr="00CA6A25">
      <w:trPr>
        <w:trHeight w:hRule="exact" w:val="240"/>
      </w:trPr>
      <w:tc>
        <w:tcPr>
          <w:tcW w:w="7601" w:type="dxa"/>
          <w:shd w:val="clear" w:color="auto" w:fill="auto"/>
        </w:tcPr>
        <w:p w14:paraId="52FD6956" w14:textId="77777777" w:rsidR="00527BD4" w:rsidRDefault="00527BD4" w:rsidP="008C356D">
          <w:pPr>
            <w:pStyle w:val="Huisstijl-Rubricering"/>
          </w:pPr>
        </w:p>
      </w:tc>
      <w:tc>
        <w:tcPr>
          <w:tcW w:w="2170" w:type="dxa"/>
        </w:tcPr>
        <w:p w14:paraId="5EBEDFBF" w14:textId="15981455" w:rsidR="00527BD4" w:rsidRPr="00ED539E" w:rsidRDefault="00B462D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0521">
            <w:t>1</w:t>
          </w:r>
          <w:r w:rsidRPr="00645414">
            <w:fldChar w:fldCharType="end"/>
          </w:r>
          <w:r w:rsidRPr="00ED539E">
            <w:rPr>
              <w:rStyle w:val="Huisstijl-GegevenCharChar"/>
            </w:rPr>
            <w:t xml:space="preserve"> </w:t>
          </w:r>
          <w:r>
            <w:t>van</w:t>
          </w:r>
          <w:r w:rsidRPr="00ED539E">
            <w:t xml:space="preserve"> </w:t>
          </w:r>
          <w:fldSimple w:instr=" SECTIONPAGES   \* MERGEFORMAT ">
            <w:r w:rsidR="000F0521">
              <w:t>3</w:t>
            </w:r>
          </w:fldSimple>
        </w:p>
      </w:tc>
    </w:tr>
  </w:tbl>
  <w:p w14:paraId="54F7DC90" w14:textId="77777777" w:rsidR="00527BD4" w:rsidRPr="00BC3B53" w:rsidRDefault="00527BD4" w:rsidP="008C356D">
    <w:pPr>
      <w:pStyle w:val="Voettekst"/>
      <w:spacing w:line="240" w:lineRule="auto"/>
      <w:rPr>
        <w:sz w:val="2"/>
        <w:szCs w:val="2"/>
      </w:rPr>
    </w:pPr>
  </w:p>
  <w:p w14:paraId="43D565F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F1CD5" w14:textId="77777777" w:rsidR="009642C2" w:rsidRDefault="00B462D0">
      <w:pPr>
        <w:spacing w:line="240" w:lineRule="auto"/>
      </w:pPr>
      <w:r>
        <w:separator/>
      </w:r>
    </w:p>
  </w:footnote>
  <w:footnote w:type="continuationSeparator" w:id="0">
    <w:p w14:paraId="0DF88E24" w14:textId="77777777" w:rsidR="009642C2" w:rsidRDefault="00B462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2481D" w14:paraId="105FFE54" w14:textId="77777777" w:rsidTr="00A50CF6">
      <w:tc>
        <w:tcPr>
          <w:tcW w:w="2156" w:type="dxa"/>
          <w:shd w:val="clear" w:color="auto" w:fill="auto"/>
        </w:tcPr>
        <w:p w14:paraId="5AA53E9D" w14:textId="77777777" w:rsidR="00527BD4" w:rsidRPr="005819CE" w:rsidRDefault="00B462D0" w:rsidP="00A50CF6">
          <w:pPr>
            <w:pStyle w:val="Huisstijl-Adres"/>
            <w:rPr>
              <w:b/>
            </w:rPr>
          </w:pPr>
          <w:r>
            <w:rPr>
              <w:b/>
            </w:rPr>
            <w:t>Directie Financieel Economische Zaken</w:t>
          </w:r>
          <w:r w:rsidRPr="005819CE">
            <w:rPr>
              <w:b/>
            </w:rPr>
            <w:br/>
          </w:r>
        </w:p>
      </w:tc>
    </w:tr>
    <w:tr w:rsidR="0022481D" w14:paraId="73CBAA86" w14:textId="77777777" w:rsidTr="00A50CF6">
      <w:trPr>
        <w:trHeight w:hRule="exact" w:val="200"/>
      </w:trPr>
      <w:tc>
        <w:tcPr>
          <w:tcW w:w="2156" w:type="dxa"/>
          <w:shd w:val="clear" w:color="auto" w:fill="auto"/>
        </w:tcPr>
        <w:p w14:paraId="4DACA891" w14:textId="77777777" w:rsidR="00527BD4" w:rsidRPr="005819CE" w:rsidRDefault="00527BD4" w:rsidP="00A50CF6"/>
      </w:tc>
    </w:tr>
    <w:tr w:rsidR="0022481D" w14:paraId="44FBDFF7" w14:textId="77777777" w:rsidTr="00502512">
      <w:trPr>
        <w:trHeight w:hRule="exact" w:val="774"/>
      </w:trPr>
      <w:tc>
        <w:tcPr>
          <w:tcW w:w="2156" w:type="dxa"/>
          <w:shd w:val="clear" w:color="auto" w:fill="auto"/>
        </w:tcPr>
        <w:p w14:paraId="6759CD70" w14:textId="77777777" w:rsidR="00527BD4" w:rsidRDefault="00B462D0" w:rsidP="003A5290">
          <w:pPr>
            <w:pStyle w:val="Huisstijl-Kopje"/>
          </w:pPr>
          <w:r>
            <w:t>Ons kenmerk</w:t>
          </w:r>
        </w:p>
        <w:p w14:paraId="7B2B3E24" w14:textId="77777777" w:rsidR="00527BD4" w:rsidRPr="005819CE" w:rsidRDefault="00B462D0"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21320937</w:t>
              </w:r>
              <w:r w:rsidR="00F90A14">
                <w:rPr>
                  <w:b w:val="0"/>
                </w:rPr>
                <w:fldChar w:fldCharType="end"/>
              </w:r>
            </w:sdtContent>
          </w:sdt>
        </w:p>
      </w:tc>
    </w:tr>
  </w:tbl>
  <w:p w14:paraId="0DCBEE5C" w14:textId="77777777" w:rsidR="00527BD4" w:rsidRDefault="00527BD4" w:rsidP="008C356D"/>
  <w:p w14:paraId="6383FAEA" w14:textId="77777777" w:rsidR="00527BD4" w:rsidRPr="00740712" w:rsidRDefault="00527BD4" w:rsidP="008C356D"/>
  <w:p w14:paraId="593DC563" w14:textId="77777777" w:rsidR="00527BD4" w:rsidRPr="00217880" w:rsidRDefault="00527BD4" w:rsidP="008C356D">
    <w:pPr>
      <w:spacing w:line="0" w:lineRule="atLeast"/>
      <w:rPr>
        <w:sz w:val="2"/>
        <w:szCs w:val="2"/>
      </w:rPr>
    </w:pPr>
  </w:p>
  <w:p w14:paraId="31CA53C3" w14:textId="77777777" w:rsidR="00527BD4" w:rsidRDefault="00527BD4" w:rsidP="004F44C2">
    <w:pPr>
      <w:pStyle w:val="Koptekst"/>
      <w:rPr>
        <w:rFonts w:cs="Verdana-Bold"/>
        <w:b/>
        <w:bCs/>
        <w:smallCaps/>
        <w:szCs w:val="18"/>
      </w:rPr>
    </w:pPr>
  </w:p>
  <w:p w14:paraId="39FC2FCA" w14:textId="77777777" w:rsidR="00527BD4" w:rsidRDefault="00527BD4" w:rsidP="004F44C2"/>
  <w:p w14:paraId="1AC22AF5" w14:textId="77777777" w:rsidR="00527BD4" w:rsidRPr="00740712" w:rsidRDefault="00527BD4" w:rsidP="004F44C2"/>
  <w:p w14:paraId="25F6B2E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22481D" w14:paraId="191D0118" w14:textId="77777777" w:rsidTr="00751A6A">
      <w:trPr>
        <w:trHeight w:val="2636"/>
      </w:trPr>
      <w:tc>
        <w:tcPr>
          <w:tcW w:w="737" w:type="dxa"/>
          <w:shd w:val="clear" w:color="auto" w:fill="auto"/>
        </w:tcPr>
        <w:p w14:paraId="7AB0184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09FAF82" w14:textId="77777777" w:rsidR="00527BD4" w:rsidRDefault="00B462D0" w:rsidP="00D0609E">
          <w:pPr>
            <w:rPr>
              <w:szCs w:val="18"/>
            </w:rPr>
          </w:pPr>
          <w:r>
            <w:rPr>
              <w:noProof/>
              <w:szCs w:val="18"/>
            </w:rPr>
            <w:drawing>
              <wp:inline distT="0" distB="0" distL="0" distR="0" wp14:anchorId="0304F67A" wp14:editId="707065B5">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24824"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08BFBAA8" w14:textId="77777777" w:rsidR="00527BD4" w:rsidRDefault="00527BD4" w:rsidP="00D0609E">
    <w:pPr>
      <w:framePr w:w="6340" w:h="2750" w:hRule="exact" w:hSpace="180" w:wrap="around" w:vAnchor="page" w:hAnchor="text" w:x="3873" w:y="-140"/>
    </w:pPr>
  </w:p>
  <w:p w14:paraId="3E6876B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2481D" w14:paraId="2FDCBCDD" w14:textId="77777777" w:rsidTr="00A50CF6">
      <w:tc>
        <w:tcPr>
          <w:tcW w:w="2160" w:type="dxa"/>
          <w:shd w:val="clear" w:color="auto" w:fill="auto"/>
        </w:tcPr>
        <w:p w14:paraId="489EAFA8" w14:textId="77777777" w:rsidR="00527BD4" w:rsidRPr="005819CE" w:rsidRDefault="00B462D0" w:rsidP="00A50CF6">
          <w:pPr>
            <w:pStyle w:val="Huisstijl-Adres"/>
            <w:rPr>
              <w:b/>
            </w:rPr>
          </w:pPr>
          <w:r>
            <w:rPr>
              <w:b/>
            </w:rPr>
            <w:t>Directie Financieel Economische Zaken</w:t>
          </w:r>
          <w:r w:rsidRPr="005819CE">
            <w:rPr>
              <w:b/>
            </w:rPr>
            <w:br/>
          </w:r>
        </w:p>
        <w:p w14:paraId="0AC598D3" w14:textId="77777777" w:rsidR="00527BD4" w:rsidRPr="00BE5ED9" w:rsidRDefault="00B462D0" w:rsidP="00A50CF6">
          <w:pPr>
            <w:pStyle w:val="Huisstijl-Adres"/>
          </w:pPr>
          <w:r>
            <w:rPr>
              <w:b/>
            </w:rPr>
            <w:t>Bezoekadres</w:t>
          </w:r>
          <w:r>
            <w:rPr>
              <w:b/>
            </w:rPr>
            <w:br/>
          </w:r>
          <w:r>
            <w:t>Bezuidenhoutseweg 73</w:t>
          </w:r>
          <w:r w:rsidRPr="005819CE">
            <w:br/>
          </w:r>
          <w:r>
            <w:t>2594 AC Den Haag</w:t>
          </w:r>
        </w:p>
        <w:p w14:paraId="5984937E" w14:textId="77777777" w:rsidR="00EF495B" w:rsidRDefault="00B462D0" w:rsidP="0098788A">
          <w:pPr>
            <w:pStyle w:val="Huisstijl-Adres"/>
          </w:pPr>
          <w:r>
            <w:rPr>
              <w:b/>
            </w:rPr>
            <w:t>Postadres</w:t>
          </w:r>
          <w:r>
            <w:rPr>
              <w:b/>
            </w:rPr>
            <w:br/>
          </w:r>
          <w:r>
            <w:t>Postbus 20401</w:t>
          </w:r>
          <w:r w:rsidRPr="005819CE">
            <w:br/>
            <w:t>2500 E</w:t>
          </w:r>
          <w:r>
            <w:t>K</w:t>
          </w:r>
          <w:r w:rsidRPr="005819CE">
            <w:t xml:space="preserve"> Den Haag</w:t>
          </w:r>
        </w:p>
        <w:p w14:paraId="4E1B357E" w14:textId="77777777" w:rsidR="00556BEE" w:rsidRPr="005B3814" w:rsidRDefault="00B462D0" w:rsidP="0098788A">
          <w:pPr>
            <w:pStyle w:val="Huisstijl-Adres"/>
          </w:pPr>
          <w:r>
            <w:rPr>
              <w:b/>
            </w:rPr>
            <w:t>Overheidsidentificatienr</w:t>
          </w:r>
          <w:r>
            <w:rPr>
              <w:b/>
            </w:rPr>
            <w:br/>
          </w:r>
          <w:r w:rsidR="00BA129E">
            <w:rPr>
              <w:rFonts w:cs="Agrofont"/>
              <w:iCs/>
            </w:rPr>
            <w:t>00000001858272854000</w:t>
          </w:r>
        </w:p>
        <w:p w14:paraId="324583C4" w14:textId="6A5B6C8A" w:rsidR="00527BD4" w:rsidRPr="00350FA9" w:rsidRDefault="00B462D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www.rijksoverheid.nl/lnv</w:t>
          </w:r>
        </w:p>
      </w:tc>
    </w:tr>
    <w:tr w:rsidR="0022481D" w14:paraId="18972081" w14:textId="77777777" w:rsidTr="00A50CF6">
      <w:trPr>
        <w:trHeight w:hRule="exact" w:val="200"/>
      </w:trPr>
      <w:tc>
        <w:tcPr>
          <w:tcW w:w="2160" w:type="dxa"/>
          <w:shd w:val="clear" w:color="auto" w:fill="auto"/>
        </w:tcPr>
        <w:p w14:paraId="424628C7" w14:textId="77777777" w:rsidR="00527BD4" w:rsidRPr="005819CE" w:rsidRDefault="00527BD4" w:rsidP="00A50CF6"/>
      </w:tc>
    </w:tr>
    <w:tr w:rsidR="0022481D" w14:paraId="42501FEA" w14:textId="77777777" w:rsidTr="00A50CF6">
      <w:tc>
        <w:tcPr>
          <w:tcW w:w="2160" w:type="dxa"/>
          <w:shd w:val="clear" w:color="auto" w:fill="auto"/>
        </w:tcPr>
        <w:p w14:paraId="78C6AFE7" w14:textId="77777777" w:rsidR="000C0163" w:rsidRPr="005819CE" w:rsidRDefault="00B462D0" w:rsidP="000C0163">
          <w:pPr>
            <w:pStyle w:val="Huisstijl-Kopje"/>
          </w:pPr>
          <w:r>
            <w:t>Ons kenmerk</w:t>
          </w:r>
          <w:r w:rsidRPr="005819CE">
            <w:t xml:space="preserve"> </w:t>
          </w:r>
        </w:p>
        <w:p w14:paraId="066601BA" w14:textId="15B739EC" w:rsidR="00527BD4" w:rsidRPr="005819CE" w:rsidRDefault="00B462D0" w:rsidP="00A50CF6">
          <w:pPr>
            <w:pStyle w:val="Huisstijl-Gegeven"/>
          </w:pPr>
          <w:r>
            <w:t>FEZ /</w:t>
          </w:r>
          <w:r w:rsidR="00CC7BA8">
            <w:t xml:space="preserve"> </w:t>
          </w:r>
          <w:sdt>
            <w:sdtPr>
              <w:alias w:val="documentId"/>
              <w:id w:val="-542980268"/>
              <w:placeholder>
                <w:docPart w:val="DefaultPlaceholder_-1854013440"/>
              </w:placeholder>
            </w:sdtPr>
            <w:sdtEndPr/>
            <w:sdtContent>
              <w:r w:rsidR="00CC7BA8">
                <w:fldChar w:fldCharType="begin"/>
              </w:r>
              <w:r>
                <w:instrText xml:space="preserve"> DOCPROPERTY  "documentId"  \* MERGEFORMAT </w:instrText>
              </w:r>
              <w:r w:rsidR="00CC7BA8">
                <w:fldChar w:fldCharType="separate"/>
              </w:r>
              <w:r w:rsidR="00CC7BA8">
                <w:t>21320937</w:t>
              </w:r>
              <w:r w:rsidR="00CC7BA8">
                <w:fldChar w:fldCharType="end"/>
              </w:r>
            </w:sdtContent>
          </w:sdt>
        </w:p>
        <w:p w14:paraId="125D00C2" w14:textId="77777777" w:rsidR="00527BD4" w:rsidRPr="005819CE" w:rsidRDefault="00B462D0" w:rsidP="00A50CF6">
          <w:pPr>
            <w:pStyle w:val="Huisstijl-Kopje"/>
          </w:pPr>
          <w:r>
            <w:t>Bijlage(n)</w:t>
          </w:r>
        </w:p>
        <w:p w14:paraId="14F2D132" w14:textId="30583C6F" w:rsidR="00527BD4" w:rsidRPr="005819CE" w:rsidRDefault="00350FA9" w:rsidP="00A50CF6">
          <w:pPr>
            <w:pStyle w:val="Huisstijl-Gegeven"/>
          </w:pPr>
          <w:r>
            <w:t>2</w:t>
          </w:r>
        </w:p>
      </w:tc>
    </w:tr>
  </w:tbl>
  <w:p w14:paraId="16E5290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2481D" w14:paraId="62EB4840" w14:textId="77777777" w:rsidTr="009E2051">
      <w:trPr>
        <w:trHeight w:val="400"/>
      </w:trPr>
      <w:tc>
        <w:tcPr>
          <w:tcW w:w="7520" w:type="dxa"/>
          <w:gridSpan w:val="2"/>
          <w:shd w:val="clear" w:color="auto" w:fill="auto"/>
        </w:tcPr>
        <w:p w14:paraId="7064B7C7" w14:textId="77777777" w:rsidR="00527BD4" w:rsidRPr="00BC3B53" w:rsidRDefault="00B462D0" w:rsidP="00A50CF6">
          <w:pPr>
            <w:pStyle w:val="Huisstijl-Retouradres"/>
          </w:pPr>
          <w:r>
            <w:t>&gt; Retouradres Postbus 20401 2500 EK Den Haag</w:t>
          </w:r>
        </w:p>
      </w:tc>
    </w:tr>
    <w:tr w:rsidR="0022481D" w14:paraId="5E4E141D" w14:textId="77777777" w:rsidTr="009E2051">
      <w:tc>
        <w:tcPr>
          <w:tcW w:w="7520" w:type="dxa"/>
          <w:gridSpan w:val="2"/>
          <w:shd w:val="clear" w:color="auto" w:fill="auto"/>
        </w:tcPr>
        <w:p w14:paraId="773F9BEF" w14:textId="77777777" w:rsidR="00527BD4" w:rsidRPr="00983E8F" w:rsidRDefault="00527BD4" w:rsidP="00A50CF6">
          <w:pPr>
            <w:pStyle w:val="Huisstijl-Rubricering"/>
          </w:pPr>
        </w:p>
      </w:tc>
    </w:tr>
    <w:tr w:rsidR="0022481D" w14:paraId="1B7F417C" w14:textId="77777777" w:rsidTr="009E2051">
      <w:trPr>
        <w:trHeight w:hRule="exact" w:val="2440"/>
      </w:trPr>
      <w:tc>
        <w:tcPr>
          <w:tcW w:w="7520" w:type="dxa"/>
          <w:gridSpan w:val="2"/>
          <w:shd w:val="clear" w:color="auto" w:fill="auto"/>
        </w:tcPr>
        <w:p w14:paraId="746672C6" w14:textId="77777777" w:rsidR="00527BD4" w:rsidRDefault="00B462D0" w:rsidP="00A50CF6">
          <w:pPr>
            <w:pStyle w:val="Huisstijl-NAW"/>
          </w:pPr>
          <w:r>
            <w:t>De Voorzitter van de Tweede Kamer der Staten-Generaal</w:t>
          </w:r>
        </w:p>
        <w:p w14:paraId="194E18C2" w14:textId="77777777" w:rsidR="0022481D" w:rsidRDefault="00B462D0">
          <w:pPr>
            <w:pStyle w:val="Huisstijl-NAW"/>
          </w:pPr>
          <w:r>
            <w:t>Prinses Irinestraat 6</w:t>
          </w:r>
        </w:p>
        <w:p w14:paraId="641883A5" w14:textId="77777777" w:rsidR="0022481D" w:rsidRDefault="00B462D0">
          <w:pPr>
            <w:pStyle w:val="Huisstijl-NAW"/>
          </w:pPr>
          <w:r>
            <w:t>2595BD DEN HAAG</w:t>
          </w:r>
        </w:p>
      </w:tc>
    </w:tr>
    <w:tr w:rsidR="0022481D" w14:paraId="27D220C7" w14:textId="77777777" w:rsidTr="009E2051">
      <w:trPr>
        <w:trHeight w:hRule="exact" w:val="400"/>
      </w:trPr>
      <w:tc>
        <w:tcPr>
          <w:tcW w:w="7520" w:type="dxa"/>
          <w:gridSpan w:val="2"/>
          <w:shd w:val="clear" w:color="auto" w:fill="auto"/>
        </w:tcPr>
        <w:p w14:paraId="7C00052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2481D" w14:paraId="427AA0D0" w14:textId="77777777" w:rsidTr="009E2051">
      <w:trPr>
        <w:trHeight w:val="240"/>
      </w:trPr>
      <w:tc>
        <w:tcPr>
          <w:tcW w:w="900" w:type="dxa"/>
          <w:shd w:val="clear" w:color="auto" w:fill="auto"/>
        </w:tcPr>
        <w:p w14:paraId="43403EF2" w14:textId="77777777" w:rsidR="00527BD4" w:rsidRPr="007709EF" w:rsidRDefault="00B462D0" w:rsidP="00A50CF6">
          <w:pPr>
            <w:rPr>
              <w:szCs w:val="18"/>
            </w:rPr>
          </w:pPr>
          <w:r>
            <w:rPr>
              <w:szCs w:val="18"/>
            </w:rPr>
            <w:t>Datum</w:t>
          </w:r>
        </w:p>
      </w:tc>
      <w:tc>
        <w:tcPr>
          <w:tcW w:w="6620" w:type="dxa"/>
          <w:shd w:val="clear" w:color="auto" w:fill="auto"/>
        </w:tcPr>
        <w:p w14:paraId="12BB9CCA" w14:textId="77777777" w:rsidR="00527BD4" w:rsidRPr="007709EF" w:rsidRDefault="00527BD4" w:rsidP="00A50CF6"/>
      </w:tc>
    </w:tr>
    <w:tr w:rsidR="0022481D" w14:paraId="72996905" w14:textId="77777777" w:rsidTr="009E2051">
      <w:trPr>
        <w:trHeight w:val="240"/>
      </w:trPr>
      <w:tc>
        <w:tcPr>
          <w:tcW w:w="900" w:type="dxa"/>
          <w:shd w:val="clear" w:color="auto" w:fill="auto"/>
        </w:tcPr>
        <w:p w14:paraId="75782493" w14:textId="77777777" w:rsidR="00527BD4" w:rsidRPr="007709EF" w:rsidRDefault="00B462D0" w:rsidP="00A50CF6">
          <w:pPr>
            <w:rPr>
              <w:szCs w:val="18"/>
            </w:rPr>
          </w:pPr>
          <w:r>
            <w:rPr>
              <w:szCs w:val="18"/>
            </w:rPr>
            <w:t>Betreft</w:t>
          </w:r>
        </w:p>
      </w:tc>
      <w:tc>
        <w:tcPr>
          <w:tcW w:w="6620" w:type="dxa"/>
          <w:shd w:val="clear" w:color="auto" w:fill="auto"/>
        </w:tcPr>
        <w:p w14:paraId="1D201384" w14:textId="77777777" w:rsidR="00527BD4" w:rsidRPr="007709EF" w:rsidRDefault="00B462D0" w:rsidP="00A50CF6">
          <w:r>
            <w:t>Aanbiedingsbrief eerste incidentele suppletoire begroting LNV</w:t>
          </w:r>
        </w:p>
      </w:tc>
    </w:tr>
  </w:tbl>
  <w:p w14:paraId="025EDC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C98A944">
      <w:start w:val="1"/>
      <w:numFmt w:val="bullet"/>
      <w:pStyle w:val="Lijstopsomteken"/>
      <w:lvlText w:val="•"/>
      <w:lvlJc w:val="left"/>
      <w:pPr>
        <w:tabs>
          <w:tab w:val="num" w:pos="227"/>
        </w:tabs>
        <w:ind w:left="227" w:hanging="227"/>
      </w:pPr>
      <w:rPr>
        <w:rFonts w:ascii="Verdana" w:hAnsi="Verdana" w:hint="default"/>
        <w:sz w:val="18"/>
        <w:szCs w:val="18"/>
      </w:rPr>
    </w:lvl>
    <w:lvl w:ilvl="1" w:tplc="428ED43C" w:tentative="1">
      <w:start w:val="1"/>
      <w:numFmt w:val="bullet"/>
      <w:lvlText w:val="o"/>
      <w:lvlJc w:val="left"/>
      <w:pPr>
        <w:tabs>
          <w:tab w:val="num" w:pos="1440"/>
        </w:tabs>
        <w:ind w:left="1440" w:hanging="360"/>
      </w:pPr>
      <w:rPr>
        <w:rFonts w:ascii="Courier New" w:hAnsi="Courier New" w:cs="Courier New" w:hint="default"/>
      </w:rPr>
    </w:lvl>
    <w:lvl w:ilvl="2" w:tplc="7D1AD45E" w:tentative="1">
      <w:start w:val="1"/>
      <w:numFmt w:val="bullet"/>
      <w:lvlText w:val=""/>
      <w:lvlJc w:val="left"/>
      <w:pPr>
        <w:tabs>
          <w:tab w:val="num" w:pos="2160"/>
        </w:tabs>
        <w:ind w:left="2160" w:hanging="360"/>
      </w:pPr>
      <w:rPr>
        <w:rFonts w:ascii="Wingdings" w:hAnsi="Wingdings" w:hint="default"/>
      </w:rPr>
    </w:lvl>
    <w:lvl w:ilvl="3" w:tplc="AC5CC238" w:tentative="1">
      <w:start w:val="1"/>
      <w:numFmt w:val="bullet"/>
      <w:lvlText w:val=""/>
      <w:lvlJc w:val="left"/>
      <w:pPr>
        <w:tabs>
          <w:tab w:val="num" w:pos="2880"/>
        </w:tabs>
        <w:ind w:left="2880" w:hanging="360"/>
      </w:pPr>
      <w:rPr>
        <w:rFonts w:ascii="Symbol" w:hAnsi="Symbol" w:hint="default"/>
      </w:rPr>
    </w:lvl>
    <w:lvl w:ilvl="4" w:tplc="8A683EA2" w:tentative="1">
      <w:start w:val="1"/>
      <w:numFmt w:val="bullet"/>
      <w:lvlText w:val="o"/>
      <w:lvlJc w:val="left"/>
      <w:pPr>
        <w:tabs>
          <w:tab w:val="num" w:pos="3600"/>
        </w:tabs>
        <w:ind w:left="3600" w:hanging="360"/>
      </w:pPr>
      <w:rPr>
        <w:rFonts w:ascii="Courier New" w:hAnsi="Courier New" w:cs="Courier New" w:hint="default"/>
      </w:rPr>
    </w:lvl>
    <w:lvl w:ilvl="5" w:tplc="3BF4747E" w:tentative="1">
      <w:start w:val="1"/>
      <w:numFmt w:val="bullet"/>
      <w:lvlText w:val=""/>
      <w:lvlJc w:val="left"/>
      <w:pPr>
        <w:tabs>
          <w:tab w:val="num" w:pos="4320"/>
        </w:tabs>
        <w:ind w:left="4320" w:hanging="360"/>
      </w:pPr>
      <w:rPr>
        <w:rFonts w:ascii="Wingdings" w:hAnsi="Wingdings" w:hint="default"/>
      </w:rPr>
    </w:lvl>
    <w:lvl w:ilvl="6" w:tplc="7C44C6CC" w:tentative="1">
      <w:start w:val="1"/>
      <w:numFmt w:val="bullet"/>
      <w:lvlText w:val=""/>
      <w:lvlJc w:val="left"/>
      <w:pPr>
        <w:tabs>
          <w:tab w:val="num" w:pos="5040"/>
        </w:tabs>
        <w:ind w:left="5040" w:hanging="360"/>
      </w:pPr>
      <w:rPr>
        <w:rFonts w:ascii="Symbol" w:hAnsi="Symbol" w:hint="default"/>
      </w:rPr>
    </w:lvl>
    <w:lvl w:ilvl="7" w:tplc="1B78500A" w:tentative="1">
      <w:start w:val="1"/>
      <w:numFmt w:val="bullet"/>
      <w:lvlText w:val="o"/>
      <w:lvlJc w:val="left"/>
      <w:pPr>
        <w:tabs>
          <w:tab w:val="num" w:pos="5760"/>
        </w:tabs>
        <w:ind w:left="5760" w:hanging="360"/>
      </w:pPr>
      <w:rPr>
        <w:rFonts w:ascii="Courier New" w:hAnsi="Courier New" w:cs="Courier New" w:hint="default"/>
      </w:rPr>
    </w:lvl>
    <w:lvl w:ilvl="8" w:tplc="21FE8C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F06D1E8">
      <w:start w:val="1"/>
      <w:numFmt w:val="bullet"/>
      <w:pStyle w:val="Lijstopsomteken2"/>
      <w:lvlText w:val="–"/>
      <w:lvlJc w:val="left"/>
      <w:pPr>
        <w:tabs>
          <w:tab w:val="num" w:pos="227"/>
        </w:tabs>
        <w:ind w:left="227" w:firstLine="0"/>
      </w:pPr>
      <w:rPr>
        <w:rFonts w:ascii="Verdana" w:hAnsi="Verdana" w:hint="default"/>
      </w:rPr>
    </w:lvl>
    <w:lvl w:ilvl="1" w:tplc="5E82140A" w:tentative="1">
      <w:start w:val="1"/>
      <w:numFmt w:val="bullet"/>
      <w:lvlText w:val="o"/>
      <w:lvlJc w:val="left"/>
      <w:pPr>
        <w:tabs>
          <w:tab w:val="num" w:pos="1440"/>
        </w:tabs>
        <w:ind w:left="1440" w:hanging="360"/>
      </w:pPr>
      <w:rPr>
        <w:rFonts w:ascii="Courier New" w:hAnsi="Courier New" w:cs="Courier New" w:hint="default"/>
      </w:rPr>
    </w:lvl>
    <w:lvl w:ilvl="2" w:tplc="18141178" w:tentative="1">
      <w:start w:val="1"/>
      <w:numFmt w:val="bullet"/>
      <w:lvlText w:val=""/>
      <w:lvlJc w:val="left"/>
      <w:pPr>
        <w:tabs>
          <w:tab w:val="num" w:pos="2160"/>
        </w:tabs>
        <w:ind w:left="2160" w:hanging="360"/>
      </w:pPr>
      <w:rPr>
        <w:rFonts w:ascii="Wingdings" w:hAnsi="Wingdings" w:hint="default"/>
      </w:rPr>
    </w:lvl>
    <w:lvl w:ilvl="3" w:tplc="A47E0958" w:tentative="1">
      <w:start w:val="1"/>
      <w:numFmt w:val="bullet"/>
      <w:lvlText w:val=""/>
      <w:lvlJc w:val="left"/>
      <w:pPr>
        <w:tabs>
          <w:tab w:val="num" w:pos="2880"/>
        </w:tabs>
        <w:ind w:left="2880" w:hanging="360"/>
      </w:pPr>
      <w:rPr>
        <w:rFonts w:ascii="Symbol" w:hAnsi="Symbol" w:hint="default"/>
      </w:rPr>
    </w:lvl>
    <w:lvl w:ilvl="4" w:tplc="B23415F6" w:tentative="1">
      <w:start w:val="1"/>
      <w:numFmt w:val="bullet"/>
      <w:lvlText w:val="o"/>
      <w:lvlJc w:val="left"/>
      <w:pPr>
        <w:tabs>
          <w:tab w:val="num" w:pos="3600"/>
        </w:tabs>
        <w:ind w:left="3600" w:hanging="360"/>
      </w:pPr>
      <w:rPr>
        <w:rFonts w:ascii="Courier New" w:hAnsi="Courier New" w:cs="Courier New" w:hint="default"/>
      </w:rPr>
    </w:lvl>
    <w:lvl w:ilvl="5" w:tplc="EDD486C6" w:tentative="1">
      <w:start w:val="1"/>
      <w:numFmt w:val="bullet"/>
      <w:lvlText w:val=""/>
      <w:lvlJc w:val="left"/>
      <w:pPr>
        <w:tabs>
          <w:tab w:val="num" w:pos="4320"/>
        </w:tabs>
        <w:ind w:left="4320" w:hanging="360"/>
      </w:pPr>
      <w:rPr>
        <w:rFonts w:ascii="Wingdings" w:hAnsi="Wingdings" w:hint="default"/>
      </w:rPr>
    </w:lvl>
    <w:lvl w:ilvl="6" w:tplc="D5247702" w:tentative="1">
      <w:start w:val="1"/>
      <w:numFmt w:val="bullet"/>
      <w:lvlText w:val=""/>
      <w:lvlJc w:val="left"/>
      <w:pPr>
        <w:tabs>
          <w:tab w:val="num" w:pos="5040"/>
        </w:tabs>
        <w:ind w:left="5040" w:hanging="360"/>
      </w:pPr>
      <w:rPr>
        <w:rFonts w:ascii="Symbol" w:hAnsi="Symbol" w:hint="default"/>
      </w:rPr>
    </w:lvl>
    <w:lvl w:ilvl="7" w:tplc="2CB2FD18" w:tentative="1">
      <w:start w:val="1"/>
      <w:numFmt w:val="bullet"/>
      <w:lvlText w:val="o"/>
      <w:lvlJc w:val="left"/>
      <w:pPr>
        <w:tabs>
          <w:tab w:val="num" w:pos="5760"/>
        </w:tabs>
        <w:ind w:left="5760" w:hanging="360"/>
      </w:pPr>
      <w:rPr>
        <w:rFonts w:ascii="Courier New" w:hAnsi="Courier New" w:cs="Courier New" w:hint="default"/>
      </w:rPr>
    </w:lvl>
    <w:lvl w:ilvl="8" w:tplc="444815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365E7"/>
    <w:multiLevelType w:val="hybridMultilevel"/>
    <w:tmpl w:val="730C3674"/>
    <w:lvl w:ilvl="0" w:tplc="57D4BBC8">
      <w:start w:val="1"/>
      <w:numFmt w:val="decimal"/>
      <w:lvlText w:val="%1."/>
      <w:lvlJc w:val="left"/>
      <w:pPr>
        <w:ind w:left="463" w:hanging="360"/>
      </w:pPr>
      <w:rPr>
        <w:rFonts w:hint="default"/>
        <w:color w:val="FFFFFF"/>
      </w:rPr>
    </w:lvl>
    <w:lvl w:ilvl="1" w:tplc="04130019" w:tentative="1">
      <w:start w:val="1"/>
      <w:numFmt w:val="lowerLetter"/>
      <w:lvlText w:val="%2."/>
      <w:lvlJc w:val="left"/>
      <w:pPr>
        <w:ind w:left="1183" w:hanging="360"/>
      </w:pPr>
    </w:lvl>
    <w:lvl w:ilvl="2" w:tplc="0413001B" w:tentative="1">
      <w:start w:val="1"/>
      <w:numFmt w:val="lowerRoman"/>
      <w:lvlText w:val="%3."/>
      <w:lvlJc w:val="right"/>
      <w:pPr>
        <w:ind w:left="1903" w:hanging="180"/>
      </w:pPr>
    </w:lvl>
    <w:lvl w:ilvl="3" w:tplc="0413000F" w:tentative="1">
      <w:start w:val="1"/>
      <w:numFmt w:val="decimal"/>
      <w:lvlText w:val="%4."/>
      <w:lvlJc w:val="left"/>
      <w:pPr>
        <w:ind w:left="2623" w:hanging="360"/>
      </w:pPr>
    </w:lvl>
    <w:lvl w:ilvl="4" w:tplc="04130019" w:tentative="1">
      <w:start w:val="1"/>
      <w:numFmt w:val="lowerLetter"/>
      <w:lvlText w:val="%5."/>
      <w:lvlJc w:val="left"/>
      <w:pPr>
        <w:ind w:left="3343" w:hanging="360"/>
      </w:pPr>
    </w:lvl>
    <w:lvl w:ilvl="5" w:tplc="0413001B" w:tentative="1">
      <w:start w:val="1"/>
      <w:numFmt w:val="lowerRoman"/>
      <w:lvlText w:val="%6."/>
      <w:lvlJc w:val="right"/>
      <w:pPr>
        <w:ind w:left="4063" w:hanging="180"/>
      </w:pPr>
    </w:lvl>
    <w:lvl w:ilvl="6" w:tplc="0413000F" w:tentative="1">
      <w:start w:val="1"/>
      <w:numFmt w:val="decimal"/>
      <w:lvlText w:val="%7."/>
      <w:lvlJc w:val="left"/>
      <w:pPr>
        <w:ind w:left="4783" w:hanging="360"/>
      </w:pPr>
    </w:lvl>
    <w:lvl w:ilvl="7" w:tplc="04130019" w:tentative="1">
      <w:start w:val="1"/>
      <w:numFmt w:val="lowerLetter"/>
      <w:lvlText w:val="%8."/>
      <w:lvlJc w:val="left"/>
      <w:pPr>
        <w:ind w:left="5503" w:hanging="360"/>
      </w:pPr>
    </w:lvl>
    <w:lvl w:ilvl="8" w:tplc="0413001B" w:tentative="1">
      <w:start w:val="1"/>
      <w:numFmt w:val="lowerRoman"/>
      <w:lvlText w:val="%9."/>
      <w:lvlJc w:val="right"/>
      <w:pPr>
        <w:ind w:left="6223"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21"/>
    <w:rsid w:val="00003B57"/>
    <w:rsid w:val="000049FB"/>
    <w:rsid w:val="00006C01"/>
    <w:rsid w:val="00013862"/>
    <w:rsid w:val="00016012"/>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0521"/>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81D"/>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0FA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0D1D"/>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A7931"/>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642C2"/>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62D0"/>
    <w:rsid w:val="00B531DD"/>
    <w:rsid w:val="00B55014"/>
    <w:rsid w:val="00B62232"/>
    <w:rsid w:val="00B70BF3"/>
    <w:rsid w:val="00B71DC2"/>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685AB"/>
  <w15:docId w15:val="{F27A7586-5369-4268-94AE-C5529F7F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ascii="Verdana" w:eastAsia="Times New Roman" w:hAnsi="Verdana" w:cs="Times New Roman"/>
      <w:sz w:val="18"/>
      <w:szCs w:val="24"/>
      <w:lang w:val="nl-NL" w:eastAsia="nl-NL"/>
    </w:rPr>
  </w:style>
  <w:style w:type="character" w:customStyle="1" w:styleId="Heading1Char">
    <w:name w:val="Heading 1 Char"/>
    <w:basedOn w:val="DefaultParagraphFont0"/>
    <w:link w:val="Heading10"/>
    <w:rsid w:val="00841CD9"/>
    <w:rPr>
      <w:rFonts w:ascii="Verdana" w:eastAsia="Times New Roman" w:hAnsi="Verdana" w:cs="Arial"/>
      <w:b/>
      <w:bCs/>
      <w:kern w:val="32"/>
      <w:sz w:val="32"/>
      <w:szCs w:val="32"/>
      <w:lang w:val="nl-NL" w:eastAsia="nl-NL"/>
    </w:rPr>
  </w:style>
  <w:style w:type="character" w:customStyle="1" w:styleId="Heading2Char">
    <w:name w:val="Heading 2 Char"/>
    <w:basedOn w:val="DefaultParagraphFont0"/>
    <w:link w:val="Heading20"/>
    <w:rsid w:val="00841CD9"/>
    <w:rPr>
      <w:rFonts w:ascii="Verdana" w:eastAsia="Times New Roman" w:hAnsi="Verdana" w:cs="Arial"/>
      <w:b/>
      <w:bCs/>
      <w:i/>
      <w:iCs/>
      <w:sz w:val="28"/>
      <w:szCs w:val="28"/>
      <w:lang w:val="nl-NL" w:eastAsia="nl-NL"/>
    </w:rPr>
  </w:style>
  <w:style w:type="character" w:customStyle="1" w:styleId="Heading3Char">
    <w:name w:val="Heading 3 Char"/>
    <w:basedOn w:val="DefaultParagraphFont0"/>
    <w:link w:val="Heading30"/>
    <w:rsid w:val="00841CD9"/>
    <w:rPr>
      <w:rFonts w:ascii="Verdana" w:eastAsia="Times New Roman" w:hAnsi="Verdana"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FooterChar">
    <w:name w:val="Footer Char"/>
    <w:basedOn w:val="DefaultParagraphFont0"/>
    <w:link w:val="Footer0"/>
    <w:rsid w:val="00DE555F"/>
    <w:rPr>
      <w:rFonts w:ascii="Verdana" w:eastAsia="Times New Roman" w:hAnsi="Verdana" w:cs="Times New Roman"/>
      <w:sz w:val="18"/>
      <w:szCs w:val="24"/>
      <w:lang w:val="nl-NL" w:eastAsia="nl-NL"/>
    </w:rPr>
  </w:style>
  <w:style w:type="table" w:customStyle="1" w:styleId="TableNormal">
    <w:name w:val="Table Normal"/>
    <w:uiPriority w:val="2"/>
    <w:semiHidden/>
    <w:unhideWhenUsed/>
    <w:qFormat/>
    <w:rsid w:val="006A793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6A7931"/>
    <w:pPr>
      <w:widowControl w:val="0"/>
      <w:autoSpaceDE w:val="0"/>
      <w:autoSpaceDN w:val="0"/>
      <w:spacing w:line="240" w:lineRule="auto"/>
    </w:pPr>
    <w:rPr>
      <w:rFonts w:eastAsia="Verdana" w:cs="Verdana"/>
      <w:sz w:val="22"/>
      <w:szCs w:val="22"/>
      <w:lang w:eastAsia="en-US"/>
    </w:rPr>
  </w:style>
  <w:style w:type="paragraph" w:customStyle="1" w:styleId="Default">
    <w:name w:val="Default"/>
    <w:rsid w:val="006A7931"/>
    <w:pPr>
      <w:autoSpaceDE w:val="0"/>
      <w:autoSpaceDN w:val="0"/>
      <w:adjustRightInd w:val="0"/>
    </w:pPr>
    <w:rPr>
      <w:rFonts w:ascii="Verdana" w:eastAsiaTheme="minorHAnsi"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184BC8">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grofont">
    <w:charset w:val="00"/>
    <w:family w:val="swiss"/>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CD"/>
    <w:rsid w:val="00085ACD"/>
    <w:rsid w:val="00184BC8"/>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694</ap:Words>
  <ap:Characters>3823</ap:Characters>
  <ap:DocSecurity>4</ap:DocSecurity>
  <ap:Lines>31</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2021-12-23T10:51:00.0000000Z</dcterms:created>
  <dcterms:modified xsi:type="dcterms:W3CDTF">2021-12-23T10:51:00.0000000Z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buity</vt:lpwstr>
  </property>
  <property fmtid="{D5CDD505-2E9C-101B-9397-08002B2CF9AE}" pid="3" name="A_ADRES">
    <vt:lpwstr>De Voorzitter van de Tweede Kamer der Staten-Generaal
Prinses Irinestraat 6
2595BD DEN HAAG</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Aanbiedingsbrief eerste incidentele suppletoire begroting LNV</vt:lpwstr>
  </property>
  <property fmtid="{D5CDD505-2E9C-101B-9397-08002B2CF9AE}" pid="8" name="documentId">
    <vt:lpwstr>21320937</vt:lpwstr>
  </property>
  <property fmtid="{D5CDD505-2E9C-101B-9397-08002B2CF9AE}" pid="9" name="TYPE_ID">
    <vt:lpwstr>Brief</vt:lpwstr>
  </property>
  <property fmtid="{D5CDD505-2E9C-101B-9397-08002B2CF9AE}" pid="10" name="ContentTypeId">
    <vt:lpwstr>0x0101004B4DB8D74381A64E93D24ADB0CE52243</vt:lpwstr>
  </property>
</Properties>
</file>