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56BA2" w:rsidR="00A828E3" w:rsidRDefault="00E02D08" w14:paraId="1D58C16C" w14:textId="74F7AE7B">
      <w:pPr>
        <w:pStyle w:val="PlatteTekst"/>
        <w:rPr>
          <w:szCs w:val="18"/>
        </w:rPr>
        <w:sectPr w:rsidRPr="00256BA2" w:rsidR="00A828E3" w:rsidSect="00BF62AD">
          <w:headerReference w:type="default" r:id="rId12"/>
          <w:footerReference w:type="default" r:id="rId13"/>
          <w:type w:val="continuous"/>
          <w:pgSz w:w="11907" w:h="16840" w:code="9"/>
          <w:pgMar w:top="-2410" w:right="1361" w:bottom="1418" w:left="2211" w:header="2370" w:footer="992" w:gutter="0"/>
          <w:cols w:space="708"/>
          <w:docGrid w:type="lines" w:linePitch="284"/>
        </w:sectPr>
      </w:pPr>
      <w:r w:rsidRPr="00256BA2">
        <w:rPr>
          <w:noProof/>
          <w:szCs w:val="18"/>
          <w:lang w:eastAsia="nl-NL"/>
        </w:rPr>
        <mc:AlternateContent>
          <mc:Choice Requires="wps">
            <w:drawing>
              <wp:anchor distT="0" distB="269875" distL="114300" distR="114300" simplePos="0" relativeHeight="25165926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BA6ACC" w14:paraId="258EB843" w14:textId="7B5ED748">
                            <w:pPr>
                              <w:pStyle w:val="Huisstijl-Agendatitel"/>
                              <w:ind w:left="0" w:firstLine="0"/>
                              <w:jc w:val="right"/>
                            </w:pPr>
                            <w:r>
                              <w:t>9</w:t>
                            </w:r>
                            <w:r w:rsidR="00E15890">
                              <w:t xml:space="preserve"> december</w:t>
                            </w:r>
                            <w:r w:rsidR="00E02D08">
                              <w:t xml:space="preserve"> 2021</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5926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BA6ACC" w14:paraId="258EB843" w14:textId="7B5ED748">
                      <w:pPr>
                        <w:pStyle w:val="Huisstijl-Agendatitel"/>
                        <w:ind w:left="0" w:firstLine="0"/>
                        <w:jc w:val="right"/>
                      </w:pPr>
                      <w:r>
                        <w:t>9</w:t>
                      </w:r>
                      <w:r w:rsidR="00E15890">
                        <w:t xml:space="preserve"> december</w:t>
                      </w:r>
                      <w:r w:rsidR="00E02D08">
                        <w:t xml:space="preserve"> 2021</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Pr="00256BA2" w:rsidR="00F407B0">
        <w:rPr>
          <w:noProof/>
          <w:szCs w:val="18"/>
          <w:lang w:eastAsia="nl-NL"/>
        </w:rPr>
        <mc:AlternateContent>
          <mc:Choice Requires="wps">
            <w:drawing>
              <wp:anchor distT="0" distB="0" distL="114300" distR="114300" simplePos="0" relativeHeight="251657216"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14:paraId="4C01BB0B" w14:textId="77777777"/>
                  </w:txbxContent>
                </v:textbox>
                <w10:wrap anchory="page"/>
              </v:shape>
            </w:pict>
          </mc:Fallback>
        </mc:AlternateContent>
      </w:r>
    </w:p>
    <w:p w:rsidRPr="00256BA2" w:rsidR="00E02D08" w:rsidP="00C727FA" w:rsidRDefault="00E02D08" w14:paraId="05CDB571" w14:textId="47CE6B3B">
      <w:pPr>
        <w:rPr>
          <w:b/>
          <w:szCs w:val="18"/>
        </w:rPr>
      </w:pPr>
      <w:r w:rsidRPr="00256BA2">
        <w:rPr>
          <w:b/>
          <w:szCs w:val="18"/>
        </w:rPr>
        <w:t xml:space="preserve">Lijst van nieuwe EU-voorstellen </w:t>
      </w:r>
    </w:p>
    <w:p w:rsidRPr="00256BA2" w:rsidR="00E02D08" w:rsidP="00C727FA" w:rsidRDefault="00E02D08" w14:paraId="54F4943E" w14:textId="77777777">
      <w:pPr>
        <w:rPr>
          <w:b/>
          <w:szCs w:val="18"/>
        </w:rPr>
      </w:pPr>
    </w:p>
    <w:p w:rsidRPr="00256BA2" w:rsidR="00DE51BD" w:rsidP="00DE51BD" w:rsidRDefault="00DE51BD" w14:paraId="45D31253" w14:textId="451373C7">
      <w:pPr>
        <w:pStyle w:val="Normaalweb"/>
        <w:rPr>
          <w:rFonts w:ascii="Verdana" w:hAnsi="Verdana"/>
          <w:sz w:val="18"/>
          <w:szCs w:val="18"/>
        </w:rPr>
      </w:pPr>
      <w:r w:rsidRPr="00256BA2">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w:t>
      </w:r>
      <w:r w:rsidRPr="00256BA2" w:rsidR="00E5137B">
        <w:rPr>
          <w:rFonts w:ascii="Verdana" w:hAnsi="Verdana"/>
          <w:sz w:val="18"/>
          <w:szCs w:val="18"/>
        </w:rPr>
        <w:t>en aan de Tweede Kamer gestuurd</w:t>
      </w:r>
      <w:r w:rsidRPr="00256BA2" w:rsidR="00E5137B">
        <w:rPr>
          <w:rStyle w:val="Voetnootmarkering"/>
          <w:rFonts w:ascii="Verdana" w:hAnsi="Verdana"/>
          <w:sz w:val="18"/>
          <w:szCs w:val="18"/>
        </w:rPr>
        <w:footnoteReference w:id="1"/>
      </w:r>
      <w:r w:rsidRPr="00256BA2">
        <w:rPr>
          <w:rFonts w:ascii="Verdana" w:hAnsi="Verdana"/>
          <w:sz w:val="18"/>
          <w:szCs w:val="18"/>
        </w:rPr>
        <w:t xml:space="preserve">: </w:t>
      </w:r>
    </w:p>
    <w:p w:rsidRPr="00256BA2" w:rsidR="00820149" w:rsidP="00C727FA" w:rsidRDefault="00820149" w14:paraId="594D8C14" w14:textId="7519FF2E">
      <w:pPr>
        <w:rPr>
          <w:szCs w:val="18"/>
        </w:rPr>
      </w:pPr>
    </w:p>
    <w:p w:rsidRPr="00256BA2" w:rsidR="00820149" w:rsidP="00820149" w:rsidRDefault="00D27FE7" w14:paraId="015F6DB1" w14:textId="088DF86F">
      <w:pPr>
        <w:pStyle w:val="Lijstalinea"/>
        <w:numPr>
          <w:ilvl w:val="0"/>
          <w:numId w:val="2"/>
        </w:numPr>
        <w:rPr>
          <w:b/>
          <w:szCs w:val="18"/>
        </w:rPr>
      </w:pPr>
      <w:r w:rsidRPr="00256BA2">
        <w:rPr>
          <w:b/>
          <w:szCs w:val="18"/>
        </w:rPr>
        <w:t>Nieuw voorgestelde EU-w</w:t>
      </w:r>
      <w:r w:rsidRPr="00256BA2" w:rsidR="00820149">
        <w:rPr>
          <w:b/>
          <w:szCs w:val="18"/>
        </w:rPr>
        <w:t>etgeving</w:t>
      </w:r>
      <w:r w:rsidRPr="00256BA2" w:rsidR="00E02D08">
        <w:rPr>
          <w:rStyle w:val="Voetnootmarkering"/>
          <w:b/>
          <w:szCs w:val="18"/>
        </w:rPr>
        <w:br/>
      </w:r>
      <w:r w:rsidRPr="00256BA2" w:rsidR="00E02D08">
        <w:rPr>
          <w:szCs w:val="18"/>
        </w:rPr>
        <w:t>(Verordeningen, richtlijnen en wetgevende besluiten)</w:t>
      </w:r>
    </w:p>
    <w:p w:rsidRPr="00256BA2" w:rsidR="00970CA0" w:rsidP="00C727FA" w:rsidRDefault="00970CA0" w14:paraId="20E9A79D"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256BA2" w:rsidR="002A4BD8" w:rsidTr="00DF5A2E" w14:paraId="786F79CD"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56BA2" w:rsidR="002A4BD8" w:rsidP="003A21AA" w:rsidRDefault="002A4BD8" w14:paraId="2AE8D68B" w14:textId="77777777">
            <w:pPr>
              <w:pStyle w:val="Lijstalinea"/>
              <w:numPr>
                <w:ilvl w:val="0"/>
                <w:numId w:val="10"/>
              </w:numPr>
              <w:spacing w:after="240"/>
              <w:ind w:left="312"/>
              <w:rPr>
                <w:color w:val="595959" w:themeColor="text1" w:themeTint="A6"/>
                <w:szCs w:val="18"/>
              </w:rPr>
            </w:pPr>
          </w:p>
        </w:tc>
        <w:tc>
          <w:tcPr>
            <w:tcW w:w="1035" w:type="dxa"/>
          </w:tcPr>
          <w:p w:rsidRPr="00256BA2" w:rsidR="002A4BD8" w:rsidP="003A21AA" w:rsidRDefault="002A4BD8" w14:paraId="417B6F7B" w14:textId="77777777">
            <w:pPr>
              <w:spacing w:after="240"/>
              <w:rPr>
                <w:color w:val="595959" w:themeColor="text1" w:themeTint="A6"/>
                <w:szCs w:val="18"/>
              </w:rPr>
            </w:pPr>
            <w:r w:rsidRPr="00256BA2">
              <w:rPr>
                <w:color w:val="595959" w:themeColor="text1" w:themeTint="A6"/>
                <w:szCs w:val="18"/>
              </w:rPr>
              <w:t>Titel</w:t>
            </w:r>
          </w:p>
        </w:tc>
        <w:tc>
          <w:tcPr>
            <w:tcW w:w="6529" w:type="dxa"/>
          </w:tcPr>
          <w:tbl>
            <w:tblPr>
              <w:tblW w:w="0" w:type="auto"/>
              <w:tblLayout w:type="fixed"/>
              <w:tblCellMar>
                <w:left w:w="0" w:type="dxa"/>
                <w:right w:w="0" w:type="dxa"/>
              </w:tblCellMar>
              <w:tblLook w:val="04A0" w:firstRow="1" w:lastRow="0" w:firstColumn="1" w:lastColumn="0" w:noHBand="0" w:noVBand="1"/>
            </w:tblPr>
            <w:tblGrid>
              <w:gridCol w:w="6378"/>
            </w:tblGrid>
            <w:tr w:rsidRPr="00256BA2" w:rsidR="00B6249C" w:rsidTr="00B6249C" w14:paraId="456EE51D" w14:textId="77777777">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256BA2" w:rsidR="00B6249C" w:rsidP="00B6249C" w:rsidRDefault="00B6249C" w14:paraId="0621455E" w14:textId="77777777">
                  <w:pPr>
                    <w:shd w:val="clear" w:color="auto" w:fill="FFFFFF"/>
                    <w:spacing w:after="75"/>
                    <w:rPr>
                      <w:rFonts w:cs="Calibri"/>
                      <w:szCs w:val="18"/>
                      <w:lang w:eastAsia="nl-NL"/>
                    </w:rPr>
                  </w:pPr>
                  <w:proofErr w:type="spellStart"/>
                  <w:r w:rsidRPr="00256BA2">
                    <w:rPr>
                      <w:rFonts w:cs="Calibri"/>
                      <w:szCs w:val="18"/>
                    </w:rPr>
                    <w:t>Proposal</w:t>
                  </w:r>
                  <w:proofErr w:type="spellEnd"/>
                  <w:r w:rsidRPr="00256BA2">
                    <w:rPr>
                      <w:rFonts w:cs="Calibri"/>
                      <w:szCs w:val="18"/>
                    </w:rPr>
                    <w:t xml:space="preserve"> </w:t>
                  </w:r>
                  <w:proofErr w:type="spellStart"/>
                  <w:r w:rsidRPr="00256BA2">
                    <w:rPr>
                      <w:rFonts w:cs="Calibri"/>
                      <w:szCs w:val="18"/>
                    </w:rPr>
                    <w:t>for</w:t>
                  </w:r>
                  <w:proofErr w:type="spellEnd"/>
                  <w:r w:rsidRPr="00256BA2">
                    <w:rPr>
                      <w:rFonts w:cs="Calibri"/>
                      <w:szCs w:val="18"/>
                    </w:rPr>
                    <w:t xml:space="preserve"> a DIRECTIVE OF THE EUROPEAN PARLIAMENT AND OF THE COUNCIL </w:t>
                  </w:r>
                  <w:proofErr w:type="spellStart"/>
                  <w:r w:rsidRPr="00256BA2">
                    <w:rPr>
                      <w:rFonts w:cs="Calibri"/>
                      <w:szCs w:val="18"/>
                    </w:rPr>
                    <w:t>amending</w:t>
                  </w:r>
                  <w:proofErr w:type="spellEnd"/>
                  <w:r w:rsidRPr="00256BA2">
                    <w:rPr>
                      <w:rFonts w:cs="Calibri"/>
                      <w:szCs w:val="18"/>
                    </w:rPr>
                    <w:t xml:space="preserve"> Directive 2014/65/EU on </w:t>
                  </w:r>
                  <w:proofErr w:type="spellStart"/>
                  <w:r w:rsidRPr="00256BA2">
                    <w:rPr>
                      <w:rFonts w:cs="Calibri"/>
                      <w:szCs w:val="18"/>
                    </w:rPr>
                    <w:t>markets</w:t>
                  </w:r>
                  <w:proofErr w:type="spellEnd"/>
                  <w:r w:rsidRPr="00256BA2">
                    <w:rPr>
                      <w:rFonts w:cs="Calibri"/>
                      <w:szCs w:val="18"/>
                    </w:rPr>
                    <w:t xml:space="preserve"> in financial </w:t>
                  </w:r>
                  <w:proofErr w:type="spellStart"/>
                  <w:r w:rsidRPr="00256BA2">
                    <w:rPr>
                      <w:rFonts w:cs="Calibri"/>
                      <w:szCs w:val="18"/>
                    </w:rPr>
                    <w:t>instruments</w:t>
                  </w:r>
                  <w:proofErr w:type="spellEnd"/>
                  <w:r w:rsidRPr="00256BA2">
                    <w:rPr>
                      <w:rFonts w:cs="Calibri"/>
                      <w:szCs w:val="18"/>
                    </w:rPr>
                    <w:t xml:space="preserve"> </w:t>
                  </w:r>
                  <w:hyperlink w:history="1" r:id="rId14">
                    <w:r w:rsidRPr="00256BA2">
                      <w:rPr>
                        <w:rStyle w:val="Hyperlink"/>
                        <w:rFonts w:cs="Calibri"/>
                        <w:szCs w:val="18"/>
                      </w:rPr>
                      <w:t>COM (2021) 726</w:t>
                    </w:r>
                  </w:hyperlink>
                </w:p>
              </w:tc>
            </w:tr>
          </w:tbl>
          <w:p w:rsidRPr="00256BA2" w:rsidR="002A4BD8" w:rsidP="008918A0" w:rsidRDefault="002A4BD8" w14:paraId="3770AB7C" w14:textId="4BA01263">
            <w:pPr>
              <w:spacing w:after="240"/>
              <w:rPr>
                <w:b/>
                <w:color w:val="595959" w:themeColor="text1" w:themeTint="A6"/>
                <w:szCs w:val="18"/>
              </w:rPr>
            </w:pPr>
          </w:p>
        </w:tc>
      </w:tr>
      <w:tr w:rsidRPr="00256BA2" w:rsidR="0028291D" w:rsidTr="00DF5A2E" w14:paraId="3788D6EA"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28291D" w:rsidP="0028291D" w:rsidRDefault="0028291D" w14:paraId="67A0B1CB" w14:textId="77777777">
            <w:pPr>
              <w:spacing w:after="240"/>
              <w:rPr>
                <w:szCs w:val="18"/>
              </w:rPr>
            </w:pPr>
          </w:p>
        </w:tc>
        <w:tc>
          <w:tcPr>
            <w:tcW w:w="1035" w:type="dxa"/>
          </w:tcPr>
          <w:p w:rsidRPr="00256BA2" w:rsidR="0028291D" w:rsidP="0028291D" w:rsidRDefault="0028291D" w14:paraId="1AD1B08F" w14:textId="77777777">
            <w:pPr>
              <w:spacing w:after="240"/>
              <w:rPr>
                <w:szCs w:val="18"/>
              </w:rPr>
            </w:pPr>
            <w:r w:rsidRPr="00256BA2">
              <w:rPr>
                <w:szCs w:val="18"/>
              </w:rPr>
              <w:t>Voorstel</w:t>
            </w:r>
          </w:p>
        </w:tc>
        <w:tc>
          <w:tcPr>
            <w:tcW w:w="6529" w:type="dxa"/>
          </w:tcPr>
          <w:p w:rsidRPr="00256BA2" w:rsidR="0028291D" w:rsidP="0028291D" w:rsidRDefault="00A52FE8" w14:paraId="796F226E" w14:textId="7AB84060">
            <w:pPr>
              <w:spacing w:after="240"/>
              <w:rPr>
                <w:szCs w:val="18"/>
              </w:rPr>
            </w:pPr>
            <w:r w:rsidRPr="00256BA2">
              <w:rPr>
                <w:szCs w:val="18"/>
              </w:rPr>
              <w:t>Zie behandelvoorstel in de stafnotitie</w:t>
            </w:r>
          </w:p>
        </w:tc>
      </w:tr>
      <w:tr w:rsidRPr="00256BA2" w:rsidR="0028291D" w:rsidTr="00DF5A2E" w14:paraId="150AC6E2"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28291D" w:rsidP="0028291D" w:rsidRDefault="0028291D" w14:paraId="17A999B7" w14:textId="77777777">
            <w:pPr>
              <w:spacing w:after="240"/>
              <w:rPr>
                <w:color w:val="595959" w:themeColor="text1" w:themeTint="A6"/>
                <w:szCs w:val="18"/>
              </w:rPr>
            </w:pPr>
          </w:p>
        </w:tc>
        <w:tc>
          <w:tcPr>
            <w:tcW w:w="1035" w:type="dxa"/>
          </w:tcPr>
          <w:p w:rsidRPr="00256BA2" w:rsidR="0028291D" w:rsidP="0028291D" w:rsidRDefault="0028291D" w14:paraId="607AB8A0" w14:textId="77777777">
            <w:pPr>
              <w:spacing w:after="240"/>
              <w:rPr>
                <w:color w:val="595959" w:themeColor="text1" w:themeTint="A6"/>
                <w:szCs w:val="18"/>
              </w:rPr>
            </w:pPr>
            <w:r w:rsidRPr="00256BA2">
              <w:rPr>
                <w:color w:val="595959" w:themeColor="text1" w:themeTint="A6"/>
                <w:szCs w:val="18"/>
              </w:rPr>
              <w:t>Noot</w:t>
            </w:r>
          </w:p>
        </w:tc>
        <w:tc>
          <w:tcPr>
            <w:tcW w:w="6529" w:type="dxa"/>
          </w:tcPr>
          <w:p w:rsidRPr="00256BA2" w:rsidR="0028291D" w:rsidP="0028291D" w:rsidRDefault="00A52FE8" w14:paraId="5F09C656" w14:textId="479EF8CD">
            <w:pPr>
              <w:spacing w:after="240"/>
              <w:rPr>
                <w:color w:val="595959" w:themeColor="text1" w:themeTint="A6"/>
                <w:szCs w:val="18"/>
              </w:rPr>
            </w:pPr>
            <w:r w:rsidRPr="00256BA2">
              <w:rPr>
                <w:color w:val="595959" w:themeColor="text1" w:themeTint="A6"/>
                <w:szCs w:val="18"/>
              </w:rPr>
              <w:t>Dit betreft het voorstel tot herziening van de richtlijn markten in financiële instrumenten (</w:t>
            </w:r>
            <w:proofErr w:type="spellStart"/>
            <w:r w:rsidRPr="00256BA2">
              <w:rPr>
                <w:color w:val="595959" w:themeColor="text1" w:themeTint="A6"/>
                <w:szCs w:val="18"/>
              </w:rPr>
              <w:t>MiFID</w:t>
            </w:r>
            <w:proofErr w:type="spellEnd"/>
            <w:r w:rsidRPr="00256BA2">
              <w:rPr>
                <w:color w:val="595959" w:themeColor="text1" w:themeTint="A6"/>
                <w:szCs w:val="18"/>
              </w:rPr>
              <w:t xml:space="preserve">). Dit voorstel is onderdeel van het KMU-pakket van de Europese Commissie. </w:t>
            </w:r>
          </w:p>
        </w:tc>
      </w:tr>
    </w:tbl>
    <w:p w:rsidRPr="00256BA2" w:rsidR="002A4BD8" w:rsidP="002A4BD8" w:rsidRDefault="002A4BD8" w14:paraId="597C8652" w14:textId="187134FC">
      <w:pPr>
        <w:rPr>
          <w:szCs w:val="18"/>
        </w:rPr>
      </w:pPr>
    </w:p>
    <w:tbl>
      <w:tblPr>
        <w:tblStyle w:val="Tabelraster1"/>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256BA2" w:rsidR="00564554" w:rsidTr="002D4EE1" w14:paraId="5619DEA7"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56BA2" w:rsidR="00564554" w:rsidP="002D4EE1" w:rsidRDefault="00564554" w14:paraId="2D172F7A" w14:textId="77777777">
            <w:pPr>
              <w:numPr>
                <w:ilvl w:val="0"/>
                <w:numId w:val="10"/>
              </w:numPr>
              <w:spacing w:after="240"/>
              <w:ind w:left="312"/>
              <w:contextualSpacing/>
              <w:rPr>
                <w:color w:val="595959" w:themeColor="text1" w:themeTint="A6"/>
                <w:szCs w:val="18"/>
              </w:rPr>
            </w:pPr>
          </w:p>
        </w:tc>
        <w:tc>
          <w:tcPr>
            <w:tcW w:w="1035" w:type="dxa"/>
          </w:tcPr>
          <w:p w:rsidRPr="00256BA2" w:rsidR="00564554" w:rsidP="002D4EE1" w:rsidRDefault="00564554" w14:paraId="6D8529D8" w14:textId="77777777">
            <w:pPr>
              <w:spacing w:after="240"/>
              <w:rPr>
                <w:color w:val="595959" w:themeColor="text1" w:themeTint="A6"/>
                <w:szCs w:val="18"/>
              </w:rPr>
            </w:pPr>
            <w:r w:rsidRPr="00256BA2">
              <w:rPr>
                <w:color w:val="595959" w:themeColor="text1" w:themeTint="A6"/>
                <w:szCs w:val="18"/>
              </w:rPr>
              <w:t>Titel</w:t>
            </w:r>
          </w:p>
        </w:tc>
        <w:tc>
          <w:tcPr>
            <w:tcW w:w="6529" w:type="dxa"/>
          </w:tcPr>
          <w:p w:rsidRPr="00256BA2" w:rsidR="00564554" w:rsidP="002D4EE1" w:rsidRDefault="00564554" w14:paraId="16B919A7" w14:textId="0FE3DA2E">
            <w:pPr>
              <w:spacing w:after="240"/>
              <w:rPr>
                <w:rFonts w:cs="Calibri"/>
                <w:szCs w:val="18"/>
                <w:lang w:val="en-US" w:eastAsia="nl-NL"/>
              </w:rPr>
            </w:pPr>
            <w:r w:rsidRPr="00256BA2">
              <w:rPr>
                <w:rFonts w:cs="Calibri"/>
                <w:szCs w:val="18"/>
                <w:lang w:val="en-US"/>
              </w:rPr>
              <w:t xml:space="preserve">Proposal for a REGULATION OF THE EUROPEAN PARLIAMENT AND OF THE COUNCIL amending Regulation (EU) No 600/2014 as regards enhancing market data transparency, removing obstacles to the emergence of a consolidated tape, </w:t>
            </w:r>
            <w:proofErr w:type="spellStart"/>
            <w:r w:rsidRPr="00256BA2">
              <w:rPr>
                <w:rFonts w:cs="Calibri"/>
                <w:szCs w:val="18"/>
                <w:lang w:val="en-US"/>
              </w:rPr>
              <w:t>optimising</w:t>
            </w:r>
            <w:proofErr w:type="spellEnd"/>
            <w:r w:rsidRPr="00256BA2">
              <w:rPr>
                <w:rFonts w:cs="Calibri"/>
                <w:szCs w:val="18"/>
                <w:lang w:val="en-US"/>
              </w:rPr>
              <w:t xml:space="preserve"> the trading obligations and prohibiting receiving payments for forwarding client orders </w:t>
            </w:r>
            <w:hyperlink w:history="1" r:id="rId15">
              <w:r w:rsidRPr="00256BA2">
                <w:rPr>
                  <w:rStyle w:val="Hyperlink"/>
                  <w:rFonts w:cs="Calibri"/>
                  <w:szCs w:val="18"/>
                  <w:lang w:val="en-US"/>
                </w:rPr>
                <w:t>COM (2021) 727</w:t>
              </w:r>
            </w:hyperlink>
          </w:p>
        </w:tc>
      </w:tr>
      <w:tr w:rsidRPr="00256BA2" w:rsidR="00564554" w:rsidTr="002D4EE1" w14:paraId="18EC745D"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564554" w:rsidP="002D4EE1" w:rsidRDefault="00564554" w14:paraId="397F9558" w14:textId="77777777">
            <w:pPr>
              <w:spacing w:after="240"/>
              <w:rPr>
                <w:szCs w:val="18"/>
              </w:rPr>
            </w:pPr>
          </w:p>
        </w:tc>
        <w:tc>
          <w:tcPr>
            <w:tcW w:w="1035" w:type="dxa"/>
          </w:tcPr>
          <w:p w:rsidRPr="00256BA2" w:rsidR="00564554" w:rsidP="002D4EE1" w:rsidRDefault="00564554" w14:paraId="6E91214A" w14:textId="77777777">
            <w:pPr>
              <w:spacing w:after="240"/>
              <w:rPr>
                <w:szCs w:val="18"/>
              </w:rPr>
            </w:pPr>
            <w:r w:rsidRPr="00256BA2">
              <w:rPr>
                <w:szCs w:val="18"/>
              </w:rPr>
              <w:t>Voorstel</w:t>
            </w:r>
          </w:p>
        </w:tc>
        <w:tc>
          <w:tcPr>
            <w:tcW w:w="6529" w:type="dxa"/>
          </w:tcPr>
          <w:p w:rsidRPr="00256BA2" w:rsidR="00564554" w:rsidP="002D4EE1" w:rsidRDefault="00564554" w14:paraId="50B7094B" w14:textId="22C625BD">
            <w:pPr>
              <w:spacing w:after="240"/>
              <w:rPr>
                <w:szCs w:val="18"/>
              </w:rPr>
            </w:pPr>
            <w:r w:rsidRPr="00256BA2">
              <w:rPr>
                <w:szCs w:val="18"/>
              </w:rPr>
              <w:t>Zie behandelvoorstel in de stafnotitie</w:t>
            </w:r>
          </w:p>
        </w:tc>
      </w:tr>
      <w:tr w:rsidRPr="00256BA2" w:rsidR="00564554" w:rsidTr="002D4EE1" w14:paraId="13A8EA37"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564554" w:rsidP="002D4EE1" w:rsidRDefault="00564554" w14:paraId="4238DFC3" w14:textId="77777777">
            <w:pPr>
              <w:spacing w:after="240"/>
              <w:rPr>
                <w:color w:val="595959" w:themeColor="text1" w:themeTint="A6"/>
                <w:szCs w:val="18"/>
              </w:rPr>
            </w:pPr>
          </w:p>
        </w:tc>
        <w:tc>
          <w:tcPr>
            <w:tcW w:w="1035" w:type="dxa"/>
          </w:tcPr>
          <w:p w:rsidRPr="00256BA2" w:rsidR="00564554" w:rsidP="002D4EE1" w:rsidRDefault="00564554" w14:paraId="1AED1CBA" w14:textId="77777777">
            <w:pPr>
              <w:spacing w:after="240"/>
              <w:rPr>
                <w:color w:val="595959" w:themeColor="text1" w:themeTint="A6"/>
                <w:szCs w:val="18"/>
              </w:rPr>
            </w:pPr>
            <w:r w:rsidRPr="00256BA2">
              <w:rPr>
                <w:color w:val="595959" w:themeColor="text1" w:themeTint="A6"/>
                <w:szCs w:val="18"/>
              </w:rPr>
              <w:t>Noot</w:t>
            </w:r>
          </w:p>
        </w:tc>
        <w:tc>
          <w:tcPr>
            <w:tcW w:w="6529" w:type="dxa"/>
          </w:tcPr>
          <w:p w:rsidRPr="00256BA2" w:rsidR="00564554" w:rsidP="00564554" w:rsidRDefault="00564554" w14:paraId="1573B9BB" w14:textId="7427EBB9">
            <w:pPr>
              <w:spacing w:after="240"/>
              <w:rPr>
                <w:color w:val="595959" w:themeColor="text1" w:themeTint="A6"/>
                <w:szCs w:val="18"/>
              </w:rPr>
            </w:pPr>
            <w:r w:rsidRPr="00256BA2">
              <w:rPr>
                <w:color w:val="595959" w:themeColor="text1" w:themeTint="A6"/>
                <w:szCs w:val="18"/>
              </w:rPr>
              <w:t>Dit betreft het voorstel tot herziening van de verordening markten in financiële instrumenten (</w:t>
            </w:r>
            <w:proofErr w:type="spellStart"/>
            <w:r w:rsidRPr="00256BA2">
              <w:rPr>
                <w:color w:val="595959" w:themeColor="text1" w:themeTint="A6"/>
                <w:szCs w:val="18"/>
              </w:rPr>
              <w:t>MiFIR</w:t>
            </w:r>
            <w:proofErr w:type="spellEnd"/>
            <w:r w:rsidRPr="00256BA2">
              <w:rPr>
                <w:color w:val="595959" w:themeColor="text1" w:themeTint="A6"/>
                <w:szCs w:val="18"/>
              </w:rPr>
              <w:t>). Dit voorstel is onderdeel van het KMU-pakket van de Europese Commissie.</w:t>
            </w:r>
          </w:p>
        </w:tc>
      </w:tr>
    </w:tbl>
    <w:p w:rsidRPr="00256BA2" w:rsidR="00564554" w:rsidP="002A4BD8" w:rsidRDefault="00564554" w14:paraId="4A0A5674" w14:textId="77777777">
      <w:pPr>
        <w:rPr>
          <w:szCs w:val="18"/>
        </w:rPr>
      </w:pPr>
    </w:p>
    <w:p w:rsidRPr="00256BA2" w:rsidR="00564554" w:rsidP="002A4BD8" w:rsidRDefault="00564554" w14:paraId="4C444F18"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256BA2" w:rsidR="002A4BD8" w:rsidTr="00DF5A2E" w14:paraId="1B68A20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56BA2" w:rsidR="002A4BD8" w:rsidP="003A21AA" w:rsidRDefault="002A4BD8" w14:paraId="1E499B8B" w14:textId="77777777">
            <w:pPr>
              <w:pStyle w:val="Lijstalinea"/>
              <w:numPr>
                <w:ilvl w:val="0"/>
                <w:numId w:val="10"/>
              </w:numPr>
              <w:spacing w:after="240"/>
              <w:ind w:left="312"/>
              <w:rPr>
                <w:color w:val="595959" w:themeColor="text1" w:themeTint="A6"/>
                <w:szCs w:val="18"/>
              </w:rPr>
            </w:pPr>
          </w:p>
        </w:tc>
        <w:tc>
          <w:tcPr>
            <w:tcW w:w="1035" w:type="dxa"/>
          </w:tcPr>
          <w:p w:rsidRPr="00256BA2" w:rsidR="002A4BD8" w:rsidP="003A21AA" w:rsidRDefault="002A4BD8" w14:paraId="08E0E01E" w14:textId="77777777">
            <w:pPr>
              <w:spacing w:after="240"/>
              <w:rPr>
                <w:color w:val="595959" w:themeColor="text1" w:themeTint="A6"/>
                <w:szCs w:val="18"/>
              </w:rPr>
            </w:pPr>
            <w:r w:rsidRPr="00256BA2">
              <w:rPr>
                <w:color w:val="595959" w:themeColor="text1" w:themeTint="A6"/>
                <w:szCs w:val="18"/>
              </w:rPr>
              <w:t>Titel</w:t>
            </w:r>
          </w:p>
        </w:tc>
        <w:tc>
          <w:tcPr>
            <w:tcW w:w="6529" w:type="dxa"/>
          </w:tcPr>
          <w:p w:rsidRPr="00256BA2" w:rsidR="002A4BD8" w:rsidP="003A21AA" w:rsidRDefault="00B6249C" w14:paraId="3602905A" w14:textId="70756738">
            <w:pPr>
              <w:spacing w:after="240"/>
              <w:rPr>
                <w:szCs w:val="18"/>
                <w:lang w:val="en-US" w:eastAsia="nl-NL"/>
              </w:rPr>
            </w:pPr>
            <w:r w:rsidRPr="00256BA2">
              <w:rPr>
                <w:szCs w:val="18"/>
                <w:lang w:val="en-US"/>
              </w:rPr>
              <w:t xml:space="preserve">Proposal for a DIRECTIVE OF THE EUROPEAN PARLIAMENT AND OF THE COUNCIL amending Directives 2011/61/EU and 2009/65/EC as regards delegation arrangements, liquidity risk management, supervisory reporting, provision of depositary and custody services and loan origination by alternative investment funds </w:t>
            </w:r>
            <w:hyperlink w:history="1" r:id="rId16">
              <w:r w:rsidRPr="00256BA2">
                <w:rPr>
                  <w:rStyle w:val="Hyperlink"/>
                  <w:szCs w:val="18"/>
                  <w:lang w:val="en-US"/>
                </w:rPr>
                <w:t>COM (2021) 721</w:t>
              </w:r>
            </w:hyperlink>
          </w:p>
        </w:tc>
      </w:tr>
      <w:tr w:rsidRPr="00256BA2" w:rsidR="002A4BD8" w:rsidTr="00DF5A2E" w14:paraId="7BB2E967"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2A4BD8" w:rsidP="003A21AA" w:rsidRDefault="002A4BD8" w14:paraId="181D2F34" w14:textId="77777777">
            <w:pPr>
              <w:spacing w:after="240"/>
              <w:rPr>
                <w:szCs w:val="18"/>
              </w:rPr>
            </w:pPr>
          </w:p>
        </w:tc>
        <w:tc>
          <w:tcPr>
            <w:tcW w:w="1035" w:type="dxa"/>
          </w:tcPr>
          <w:p w:rsidRPr="00256BA2" w:rsidR="002A4BD8" w:rsidP="003A21AA" w:rsidRDefault="002A4BD8" w14:paraId="32A8A200" w14:textId="77777777">
            <w:pPr>
              <w:spacing w:after="240"/>
              <w:rPr>
                <w:szCs w:val="18"/>
              </w:rPr>
            </w:pPr>
            <w:r w:rsidRPr="00256BA2">
              <w:rPr>
                <w:szCs w:val="18"/>
              </w:rPr>
              <w:t>Voorstel</w:t>
            </w:r>
          </w:p>
        </w:tc>
        <w:tc>
          <w:tcPr>
            <w:tcW w:w="6529" w:type="dxa"/>
          </w:tcPr>
          <w:p w:rsidRPr="00256BA2" w:rsidR="002A4BD8" w:rsidP="003A21AA" w:rsidRDefault="0028291D" w14:paraId="0A5BB81D" w14:textId="2E491DBA">
            <w:pPr>
              <w:spacing w:after="240"/>
              <w:rPr>
                <w:szCs w:val="18"/>
              </w:rPr>
            </w:pPr>
            <w:r w:rsidRPr="00256BA2">
              <w:rPr>
                <w:szCs w:val="18"/>
              </w:rPr>
              <w:t>Via de gebruikelijke route behandelen, waarbij het voorstel en het nog te ontvangen BNC-fiche worden geagendeerd voor een schriftelijk overleg.</w:t>
            </w:r>
          </w:p>
        </w:tc>
      </w:tr>
      <w:tr w:rsidRPr="00256BA2" w:rsidR="002A4BD8" w:rsidTr="00DF5A2E" w14:paraId="1AC71080"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2A4BD8" w:rsidP="003A21AA" w:rsidRDefault="002A4BD8" w14:paraId="19B10F74" w14:textId="77777777">
            <w:pPr>
              <w:spacing w:after="240"/>
              <w:rPr>
                <w:color w:val="595959" w:themeColor="text1" w:themeTint="A6"/>
                <w:szCs w:val="18"/>
              </w:rPr>
            </w:pPr>
          </w:p>
        </w:tc>
        <w:tc>
          <w:tcPr>
            <w:tcW w:w="1035" w:type="dxa"/>
          </w:tcPr>
          <w:p w:rsidRPr="00256BA2" w:rsidR="002A4BD8" w:rsidP="003A21AA" w:rsidRDefault="002A4BD8" w14:paraId="38AA9282" w14:textId="77777777">
            <w:pPr>
              <w:spacing w:after="240"/>
              <w:rPr>
                <w:color w:val="595959" w:themeColor="text1" w:themeTint="A6"/>
                <w:szCs w:val="18"/>
              </w:rPr>
            </w:pPr>
            <w:r w:rsidRPr="00256BA2">
              <w:rPr>
                <w:color w:val="595959" w:themeColor="text1" w:themeTint="A6"/>
                <w:szCs w:val="18"/>
              </w:rPr>
              <w:t>Noot</w:t>
            </w:r>
          </w:p>
        </w:tc>
        <w:tc>
          <w:tcPr>
            <w:tcW w:w="6529" w:type="dxa"/>
          </w:tcPr>
          <w:p w:rsidRPr="00256BA2" w:rsidR="002A4BD8" w:rsidP="003A21AA" w:rsidRDefault="00A52FE8" w14:paraId="02C35601" w14:textId="2F4A88C0">
            <w:pPr>
              <w:spacing w:after="240"/>
              <w:rPr>
                <w:color w:val="595959" w:themeColor="text1" w:themeTint="A6"/>
                <w:szCs w:val="18"/>
              </w:rPr>
            </w:pPr>
            <w:r w:rsidRPr="00256BA2">
              <w:rPr>
                <w:color w:val="595959" w:themeColor="text1" w:themeTint="A6"/>
                <w:szCs w:val="18"/>
              </w:rPr>
              <w:t>Dit betreft een voorstel tot aanpassing van de richtlijn inzake beheerders van alternatieve beleggingsinstellingen. In het voorstel scherpt de Europese Commissie de regels voor outsourcing aan voor fondsmanagers. Ook stelt de Commissie voor om ‘direct-</w:t>
            </w:r>
            <w:proofErr w:type="spellStart"/>
            <w:r w:rsidRPr="00256BA2">
              <w:rPr>
                <w:color w:val="595959" w:themeColor="text1" w:themeTint="A6"/>
                <w:szCs w:val="18"/>
              </w:rPr>
              <w:t>lending</w:t>
            </w:r>
            <w:proofErr w:type="spellEnd"/>
            <w:r w:rsidRPr="00256BA2">
              <w:rPr>
                <w:color w:val="595959" w:themeColor="text1" w:themeTint="A6"/>
                <w:szCs w:val="18"/>
              </w:rPr>
              <w:t xml:space="preserve"> funds’ – fondsen die direct lenen aan bedrijven en daarmee concurreren met banken – strenger te reguleren door hen risicoretentie-eisen op te leggen.</w:t>
            </w:r>
          </w:p>
        </w:tc>
      </w:tr>
    </w:tbl>
    <w:p w:rsidRPr="00256BA2" w:rsidR="002A4BD8" w:rsidP="002A4BD8" w:rsidRDefault="002A4BD8" w14:paraId="1B3B3225" w14:textId="2F56F82B">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256BA2" w:rsidR="002A4BD8" w:rsidTr="00DF5A2E" w14:paraId="3F80E343"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56BA2" w:rsidR="002A4BD8" w:rsidP="003A21AA" w:rsidRDefault="002A4BD8" w14:paraId="625199EA" w14:textId="77777777">
            <w:pPr>
              <w:pStyle w:val="Lijstalinea"/>
              <w:numPr>
                <w:ilvl w:val="0"/>
                <w:numId w:val="10"/>
              </w:numPr>
              <w:spacing w:after="240"/>
              <w:ind w:left="312"/>
              <w:rPr>
                <w:color w:val="595959" w:themeColor="text1" w:themeTint="A6"/>
                <w:szCs w:val="18"/>
              </w:rPr>
            </w:pPr>
          </w:p>
        </w:tc>
        <w:tc>
          <w:tcPr>
            <w:tcW w:w="1035" w:type="dxa"/>
          </w:tcPr>
          <w:p w:rsidRPr="00256BA2" w:rsidR="002A4BD8" w:rsidP="003A21AA" w:rsidRDefault="002A4BD8" w14:paraId="6F8A9473" w14:textId="77777777">
            <w:pPr>
              <w:spacing w:after="240"/>
              <w:rPr>
                <w:color w:val="595959" w:themeColor="text1" w:themeTint="A6"/>
                <w:szCs w:val="18"/>
              </w:rPr>
            </w:pPr>
            <w:r w:rsidRPr="00256BA2">
              <w:rPr>
                <w:color w:val="595959" w:themeColor="text1" w:themeTint="A6"/>
                <w:szCs w:val="18"/>
              </w:rPr>
              <w:t>Titel</w:t>
            </w:r>
          </w:p>
        </w:tc>
        <w:tc>
          <w:tcPr>
            <w:tcW w:w="6529" w:type="dxa"/>
          </w:tcPr>
          <w:p w:rsidRPr="00256BA2" w:rsidR="002A4BD8" w:rsidP="003A21AA" w:rsidRDefault="00B6249C" w14:paraId="326DF5F1" w14:textId="3C265FA2">
            <w:pPr>
              <w:spacing w:after="240"/>
              <w:rPr>
                <w:b/>
                <w:color w:val="595959" w:themeColor="text1" w:themeTint="A6"/>
                <w:szCs w:val="18"/>
              </w:rPr>
            </w:pPr>
            <w:r w:rsidRPr="00256BA2">
              <w:rPr>
                <w:szCs w:val="18"/>
                <w:lang w:val="en-US"/>
              </w:rPr>
              <w:t xml:space="preserve">Proposal for a DIRECTIVE OF THE EUROPEAN PARLIAMENT AND OF THE COUNCIL amending certain Directives as regards the establishment and functioning of the European single access point </w:t>
            </w:r>
            <w:hyperlink w:history="1" r:id="rId17">
              <w:r w:rsidRPr="00256BA2">
                <w:rPr>
                  <w:rStyle w:val="Hyperlink"/>
                  <w:szCs w:val="18"/>
                  <w:lang w:val="en-US"/>
                </w:rPr>
                <w:t>COM (2021) 724</w:t>
              </w:r>
            </w:hyperlink>
          </w:p>
        </w:tc>
      </w:tr>
      <w:tr w:rsidRPr="00256BA2" w:rsidR="002A4BD8" w:rsidTr="00DF5A2E" w14:paraId="2DE21648"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2A4BD8" w:rsidP="003A21AA" w:rsidRDefault="002A4BD8" w14:paraId="4E9B4A78" w14:textId="77777777">
            <w:pPr>
              <w:spacing w:after="240"/>
              <w:rPr>
                <w:szCs w:val="18"/>
              </w:rPr>
            </w:pPr>
          </w:p>
        </w:tc>
        <w:tc>
          <w:tcPr>
            <w:tcW w:w="1035" w:type="dxa"/>
          </w:tcPr>
          <w:p w:rsidRPr="00256BA2" w:rsidR="002A4BD8" w:rsidP="003A21AA" w:rsidRDefault="002A4BD8" w14:paraId="3684C239" w14:textId="77777777">
            <w:pPr>
              <w:spacing w:after="240"/>
              <w:rPr>
                <w:szCs w:val="18"/>
              </w:rPr>
            </w:pPr>
            <w:r w:rsidRPr="00256BA2">
              <w:rPr>
                <w:szCs w:val="18"/>
              </w:rPr>
              <w:t>Voorstel</w:t>
            </w:r>
          </w:p>
        </w:tc>
        <w:tc>
          <w:tcPr>
            <w:tcW w:w="6529" w:type="dxa"/>
          </w:tcPr>
          <w:p w:rsidRPr="00256BA2" w:rsidR="002A4BD8" w:rsidP="003A21AA" w:rsidRDefault="0028291D" w14:paraId="1E1BDC60" w14:textId="538B0786">
            <w:pPr>
              <w:spacing w:after="240"/>
              <w:rPr>
                <w:szCs w:val="18"/>
              </w:rPr>
            </w:pPr>
            <w:r w:rsidRPr="00256BA2">
              <w:rPr>
                <w:szCs w:val="18"/>
              </w:rPr>
              <w:t>Via de gebruikelijke route behandelen, waarbij het voorstel en het nog te ontvangen BNC-fiche worden geagendeerd voor een schriftelijk overleg.</w:t>
            </w:r>
          </w:p>
        </w:tc>
      </w:tr>
      <w:tr w:rsidRPr="00256BA2" w:rsidR="002A4BD8" w:rsidTr="00DF5A2E" w14:paraId="502A3854"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2A4BD8" w:rsidP="003A21AA" w:rsidRDefault="002A4BD8" w14:paraId="557DA5F7" w14:textId="77777777">
            <w:pPr>
              <w:spacing w:after="240"/>
              <w:rPr>
                <w:color w:val="595959" w:themeColor="text1" w:themeTint="A6"/>
                <w:szCs w:val="18"/>
              </w:rPr>
            </w:pPr>
          </w:p>
        </w:tc>
        <w:tc>
          <w:tcPr>
            <w:tcW w:w="1035" w:type="dxa"/>
          </w:tcPr>
          <w:p w:rsidRPr="00256BA2" w:rsidR="002A4BD8" w:rsidP="003A21AA" w:rsidRDefault="002A4BD8" w14:paraId="5054DE74" w14:textId="77777777">
            <w:pPr>
              <w:spacing w:after="240"/>
              <w:rPr>
                <w:color w:val="595959" w:themeColor="text1" w:themeTint="A6"/>
                <w:szCs w:val="18"/>
              </w:rPr>
            </w:pPr>
            <w:r w:rsidRPr="00256BA2">
              <w:rPr>
                <w:color w:val="595959" w:themeColor="text1" w:themeTint="A6"/>
                <w:szCs w:val="18"/>
              </w:rPr>
              <w:t>Noot</w:t>
            </w:r>
          </w:p>
        </w:tc>
        <w:tc>
          <w:tcPr>
            <w:tcW w:w="6529" w:type="dxa"/>
          </w:tcPr>
          <w:p w:rsidRPr="00256BA2" w:rsidR="002A4BD8" w:rsidP="00330FAF" w:rsidRDefault="00564554" w14:paraId="62E6ED4B" w14:textId="00BAB6DB">
            <w:pPr>
              <w:spacing w:after="240"/>
              <w:rPr>
                <w:color w:val="595959" w:themeColor="text1" w:themeTint="A6"/>
                <w:szCs w:val="18"/>
              </w:rPr>
            </w:pPr>
            <w:r w:rsidRPr="00256BA2">
              <w:rPr>
                <w:color w:val="595959" w:themeColor="text1" w:themeTint="A6"/>
                <w:szCs w:val="18"/>
              </w:rPr>
              <w:t xml:space="preserve">Dit betreft een voorstel voor een richtlijn </w:t>
            </w:r>
            <w:r w:rsidR="00330FAF">
              <w:rPr>
                <w:color w:val="595959" w:themeColor="text1" w:themeTint="A6"/>
                <w:szCs w:val="18"/>
              </w:rPr>
              <w:t>tot</w:t>
            </w:r>
            <w:r w:rsidRPr="00256BA2">
              <w:rPr>
                <w:color w:val="595959" w:themeColor="text1" w:themeTint="A6"/>
                <w:szCs w:val="18"/>
              </w:rPr>
              <w:t xml:space="preserve"> oprichting van een  European Single Access Point (ESAP) voor bedrijfsinformatie. Doel is om gecentraliseerd toegang te bieden tot informatie over financiële diensten, kapitaalmarkten en duurzaamheid. Om de </w:t>
            </w:r>
            <w:r w:rsidR="00330FAF">
              <w:rPr>
                <w:color w:val="595959" w:themeColor="text1" w:themeTint="A6"/>
                <w:szCs w:val="18"/>
              </w:rPr>
              <w:t>rapportage</w:t>
            </w:r>
            <w:r w:rsidRPr="00256BA2">
              <w:rPr>
                <w:color w:val="595959" w:themeColor="text1" w:themeTint="A6"/>
                <w:szCs w:val="18"/>
              </w:rPr>
              <w:t xml:space="preserve">last voor bedrijven en nationale autoriteiten tot een minimum te beperken, bouwt ESAP zoveel mogelijk voort op bestaande rapportages. Kleinere bedrijven (MKB) kunnen vrijwillig hun eigen informatie verstrekken. In het voorstel wordt de Europese Autoriteit voor effecten en markten (ESMA) verantwoordelijk voor de nieuwe Europese </w:t>
            </w:r>
            <w:proofErr w:type="spellStart"/>
            <w:r w:rsidRPr="00256BA2">
              <w:rPr>
                <w:color w:val="595959" w:themeColor="text1" w:themeTint="A6"/>
                <w:szCs w:val="18"/>
              </w:rPr>
              <w:t>datahub</w:t>
            </w:r>
            <w:proofErr w:type="spellEnd"/>
            <w:r w:rsidRPr="00256BA2">
              <w:rPr>
                <w:color w:val="595959" w:themeColor="text1" w:themeTint="A6"/>
                <w:szCs w:val="18"/>
              </w:rPr>
              <w:t>.</w:t>
            </w:r>
          </w:p>
        </w:tc>
      </w:tr>
    </w:tbl>
    <w:p w:rsidRPr="00256BA2" w:rsidR="002A4BD8" w:rsidP="002A4BD8" w:rsidRDefault="002A4BD8" w14:paraId="7EBFBF6F" w14:textId="3734EC3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256BA2" w:rsidR="00564554" w:rsidTr="002D4EE1" w14:paraId="2D1723A5"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56BA2" w:rsidR="00564554" w:rsidP="002D4EE1" w:rsidRDefault="00564554" w14:paraId="497479FE" w14:textId="77777777">
            <w:pPr>
              <w:pStyle w:val="Lijstalinea"/>
              <w:numPr>
                <w:ilvl w:val="0"/>
                <w:numId w:val="10"/>
              </w:numPr>
              <w:spacing w:after="240"/>
              <w:ind w:left="312"/>
              <w:rPr>
                <w:color w:val="595959" w:themeColor="text1" w:themeTint="A6"/>
                <w:szCs w:val="18"/>
              </w:rPr>
            </w:pPr>
          </w:p>
        </w:tc>
        <w:tc>
          <w:tcPr>
            <w:tcW w:w="1035" w:type="dxa"/>
          </w:tcPr>
          <w:p w:rsidRPr="00256BA2" w:rsidR="00564554" w:rsidP="002D4EE1" w:rsidRDefault="00564554" w14:paraId="1478DF1E" w14:textId="77777777">
            <w:pPr>
              <w:spacing w:after="240"/>
              <w:rPr>
                <w:color w:val="595959" w:themeColor="text1" w:themeTint="A6"/>
                <w:szCs w:val="18"/>
              </w:rPr>
            </w:pPr>
            <w:r w:rsidRPr="00256BA2">
              <w:rPr>
                <w:color w:val="595959" w:themeColor="text1" w:themeTint="A6"/>
                <w:szCs w:val="18"/>
              </w:rPr>
              <w:t>Titel</w:t>
            </w:r>
          </w:p>
        </w:tc>
        <w:tc>
          <w:tcPr>
            <w:tcW w:w="6529" w:type="dxa"/>
          </w:tcPr>
          <w:p w:rsidRPr="00256BA2" w:rsidR="00564554" w:rsidP="002D4EE1" w:rsidRDefault="00564554" w14:paraId="7C142D34" w14:textId="77777777">
            <w:pPr>
              <w:spacing w:after="240"/>
              <w:rPr>
                <w:b/>
                <w:color w:val="595959" w:themeColor="text1" w:themeTint="A6"/>
                <w:szCs w:val="18"/>
              </w:rPr>
            </w:pPr>
            <w:r w:rsidRPr="00256BA2">
              <w:rPr>
                <w:szCs w:val="18"/>
                <w:lang w:val="en-US"/>
              </w:rPr>
              <w:t xml:space="preserve">Proposal for a REGULATION OF THE EUROPEAN PARLIAMENT AND OF THE COUNCIL establishing a European single access point providing </w:t>
            </w:r>
            <w:proofErr w:type="spellStart"/>
            <w:r w:rsidRPr="00256BA2">
              <w:rPr>
                <w:szCs w:val="18"/>
                <w:lang w:val="en-US"/>
              </w:rPr>
              <w:t>centralised</w:t>
            </w:r>
            <w:proofErr w:type="spellEnd"/>
            <w:r w:rsidRPr="00256BA2">
              <w:rPr>
                <w:szCs w:val="18"/>
                <w:lang w:val="en-US"/>
              </w:rPr>
              <w:t xml:space="preserve"> access to publicly available information of relevance to financial services, capital markets and sustainability </w:t>
            </w:r>
            <w:hyperlink w:history="1" r:id="rId18">
              <w:r w:rsidRPr="00256BA2">
                <w:rPr>
                  <w:rStyle w:val="Hyperlink"/>
                  <w:szCs w:val="18"/>
                  <w:lang w:val="en-US"/>
                </w:rPr>
                <w:t>COM (2021) 723</w:t>
              </w:r>
            </w:hyperlink>
          </w:p>
        </w:tc>
      </w:tr>
      <w:tr w:rsidRPr="00256BA2" w:rsidR="00564554" w:rsidTr="002D4EE1" w14:paraId="6A45B247"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564554" w:rsidP="002D4EE1" w:rsidRDefault="00564554" w14:paraId="6BBF3F3D" w14:textId="77777777">
            <w:pPr>
              <w:spacing w:after="240"/>
              <w:rPr>
                <w:szCs w:val="18"/>
              </w:rPr>
            </w:pPr>
          </w:p>
        </w:tc>
        <w:tc>
          <w:tcPr>
            <w:tcW w:w="1035" w:type="dxa"/>
          </w:tcPr>
          <w:p w:rsidRPr="00256BA2" w:rsidR="00564554" w:rsidP="002D4EE1" w:rsidRDefault="00564554" w14:paraId="22EA003F" w14:textId="77777777">
            <w:pPr>
              <w:spacing w:after="240"/>
              <w:rPr>
                <w:szCs w:val="18"/>
              </w:rPr>
            </w:pPr>
            <w:r w:rsidRPr="00256BA2">
              <w:rPr>
                <w:szCs w:val="18"/>
              </w:rPr>
              <w:t>Voorstel</w:t>
            </w:r>
          </w:p>
        </w:tc>
        <w:tc>
          <w:tcPr>
            <w:tcW w:w="6529" w:type="dxa"/>
          </w:tcPr>
          <w:p w:rsidRPr="00256BA2" w:rsidR="00564554" w:rsidP="002D4EE1" w:rsidRDefault="00564554" w14:paraId="061838BF" w14:textId="77777777">
            <w:pPr>
              <w:spacing w:after="240"/>
              <w:rPr>
                <w:szCs w:val="18"/>
              </w:rPr>
            </w:pPr>
            <w:r w:rsidRPr="00256BA2">
              <w:rPr>
                <w:szCs w:val="18"/>
              </w:rPr>
              <w:t>Via de gebruikelijke route behandelen, waarbij het voorstel en het nog te ontvangen BNC-fiche worden geagendeerd voor een schriftelijk overleg.</w:t>
            </w:r>
          </w:p>
        </w:tc>
      </w:tr>
      <w:tr w:rsidRPr="00256BA2" w:rsidR="00564554" w:rsidTr="002D4EE1" w14:paraId="7D4701A7"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564554" w:rsidP="002D4EE1" w:rsidRDefault="00564554" w14:paraId="0ED54528" w14:textId="77777777">
            <w:pPr>
              <w:spacing w:after="240"/>
              <w:rPr>
                <w:color w:val="595959" w:themeColor="text1" w:themeTint="A6"/>
                <w:szCs w:val="18"/>
              </w:rPr>
            </w:pPr>
          </w:p>
        </w:tc>
        <w:tc>
          <w:tcPr>
            <w:tcW w:w="1035" w:type="dxa"/>
          </w:tcPr>
          <w:p w:rsidRPr="00256BA2" w:rsidR="00564554" w:rsidP="002D4EE1" w:rsidRDefault="00564554" w14:paraId="26CAD092" w14:textId="77777777">
            <w:pPr>
              <w:spacing w:after="240"/>
              <w:rPr>
                <w:color w:val="595959" w:themeColor="text1" w:themeTint="A6"/>
                <w:szCs w:val="18"/>
              </w:rPr>
            </w:pPr>
            <w:r w:rsidRPr="00256BA2">
              <w:rPr>
                <w:color w:val="595959" w:themeColor="text1" w:themeTint="A6"/>
                <w:szCs w:val="18"/>
              </w:rPr>
              <w:t>Noot</w:t>
            </w:r>
          </w:p>
        </w:tc>
        <w:tc>
          <w:tcPr>
            <w:tcW w:w="6529" w:type="dxa"/>
          </w:tcPr>
          <w:p w:rsidRPr="00256BA2" w:rsidR="00564554" w:rsidP="002D4EE1" w:rsidRDefault="00564554" w14:paraId="4DB03DFD" w14:textId="77777777">
            <w:pPr>
              <w:spacing w:after="240"/>
              <w:rPr>
                <w:color w:val="595959" w:themeColor="text1" w:themeTint="A6"/>
                <w:szCs w:val="18"/>
              </w:rPr>
            </w:pPr>
            <w:r w:rsidRPr="00256BA2">
              <w:rPr>
                <w:color w:val="595959" w:themeColor="text1" w:themeTint="A6"/>
                <w:szCs w:val="18"/>
              </w:rPr>
              <w:t xml:space="preserve">Dit betreft een voorstel voor een verordening voor de oprichting van een  European Single Access Point (ESAP) voor bedrijfsinformatie. Zie de noot hierboven. </w:t>
            </w:r>
          </w:p>
        </w:tc>
      </w:tr>
    </w:tbl>
    <w:p w:rsidRPr="00256BA2" w:rsidR="00564554" w:rsidP="002A4BD8" w:rsidRDefault="00564554" w14:paraId="04570281" w14:textId="1507A337">
      <w:pPr>
        <w:rPr>
          <w:szCs w:val="18"/>
        </w:rPr>
      </w:pPr>
    </w:p>
    <w:tbl>
      <w:tblPr>
        <w:tblStyle w:val="Tabelraster11"/>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256BA2" w:rsidR="00C2185F" w:rsidTr="00C437F8" w14:paraId="1342284D"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56BA2" w:rsidR="00C2185F" w:rsidP="00C437F8" w:rsidRDefault="00C2185F" w14:paraId="2D2694DA" w14:textId="4D00EC2B">
            <w:pPr>
              <w:numPr>
                <w:ilvl w:val="0"/>
                <w:numId w:val="10"/>
              </w:numPr>
              <w:spacing w:after="240"/>
              <w:ind w:left="312"/>
              <w:contextualSpacing/>
              <w:rPr>
                <w:color w:val="595959" w:themeColor="text1" w:themeTint="A6"/>
                <w:szCs w:val="18"/>
              </w:rPr>
            </w:pPr>
          </w:p>
        </w:tc>
        <w:tc>
          <w:tcPr>
            <w:tcW w:w="1035" w:type="dxa"/>
          </w:tcPr>
          <w:p w:rsidRPr="00256BA2" w:rsidR="00C2185F" w:rsidP="00C437F8" w:rsidRDefault="00C2185F" w14:paraId="3C292944" w14:textId="77777777">
            <w:pPr>
              <w:spacing w:after="240"/>
              <w:rPr>
                <w:color w:val="595959" w:themeColor="text1" w:themeTint="A6"/>
                <w:szCs w:val="18"/>
              </w:rPr>
            </w:pPr>
            <w:r w:rsidRPr="00256BA2">
              <w:rPr>
                <w:color w:val="595959" w:themeColor="text1" w:themeTint="A6"/>
                <w:szCs w:val="18"/>
              </w:rPr>
              <w:t>Titel</w:t>
            </w:r>
          </w:p>
        </w:tc>
        <w:tc>
          <w:tcPr>
            <w:tcW w:w="6529" w:type="dxa"/>
          </w:tcPr>
          <w:p w:rsidRPr="00256BA2" w:rsidR="00C2185F" w:rsidP="00C437F8" w:rsidRDefault="00C2185F" w14:paraId="1220E6C7" w14:textId="77777777">
            <w:pPr>
              <w:spacing w:after="240"/>
              <w:rPr>
                <w:b/>
                <w:color w:val="595959" w:themeColor="text1" w:themeTint="A6"/>
                <w:szCs w:val="18"/>
              </w:rPr>
            </w:pPr>
            <w:r w:rsidRPr="00256BA2">
              <w:rPr>
                <w:szCs w:val="18"/>
                <w:lang w:val="en-US"/>
              </w:rPr>
              <w:t xml:space="preserve">Proposal for a REGULATION OF THE EUROPEAN PARLIAMENT AND OF THE COUNCIL amending certain Regulations as regards the establishment and functioning of the European single access point </w:t>
            </w:r>
            <w:hyperlink w:history="1" r:id="rId19">
              <w:r w:rsidRPr="00256BA2">
                <w:rPr>
                  <w:rStyle w:val="Hyperlink"/>
                  <w:szCs w:val="18"/>
                  <w:lang w:val="en-US"/>
                </w:rPr>
                <w:t>COM (2021) 725</w:t>
              </w:r>
            </w:hyperlink>
          </w:p>
        </w:tc>
      </w:tr>
      <w:tr w:rsidRPr="00256BA2" w:rsidR="00C2185F" w:rsidTr="00C437F8" w14:paraId="5A841881"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C2185F" w:rsidP="00C437F8" w:rsidRDefault="00C2185F" w14:paraId="6C10DACD" w14:textId="77777777">
            <w:pPr>
              <w:spacing w:after="240"/>
              <w:rPr>
                <w:szCs w:val="18"/>
              </w:rPr>
            </w:pPr>
          </w:p>
        </w:tc>
        <w:tc>
          <w:tcPr>
            <w:tcW w:w="1035" w:type="dxa"/>
          </w:tcPr>
          <w:p w:rsidRPr="00256BA2" w:rsidR="00C2185F" w:rsidP="00C437F8" w:rsidRDefault="00C2185F" w14:paraId="5DA6D997" w14:textId="77777777">
            <w:pPr>
              <w:spacing w:after="240"/>
              <w:rPr>
                <w:szCs w:val="18"/>
              </w:rPr>
            </w:pPr>
            <w:r w:rsidRPr="00256BA2">
              <w:rPr>
                <w:szCs w:val="18"/>
              </w:rPr>
              <w:t>Voorstel</w:t>
            </w:r>
          </w:p>
        </w:tc>
        <w:tc>
          <w:tcPr>
            <w:tcW w:w="6529" w:type="dxa"/>
          </w:tcPr>
          <w:p w:rsidRPr="00256BA2" w:rsidR="00C2185F" w:rsidP="00C437F8" w:rsidRDefault="00C2185F" w14:paraId="64F65E14" w14:textId="77777777">
            <w:pPr>
              <w:spacing w:after="240"/>
              <w:rPr>
                <w:szCs w:val="18"/>
              </w:rPr>
            </w:pPr>
            <w:r w:rsidRPr="00256BA2">
              <w:rPr>
                <w:szCs w:val="18"/>
              </w:rPr>
              <w:t>Via de gebruikelijke route behandelen, waarbij het voorstel en het nog te ontvangen BNC-fiche worden geagendeerd voor een schriftelijk overleg.</w:t>
            </w:r>
          </w:p>
        </w:tc>
      </w:tr>
      <w:tr w:rsidRPr="00256BA2" w:rsidR="00C2185F" w:rsidTr="00C437F8" w14:paraId="6198A2D4"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C2185F" w:rsidP="00C2185F" w:rsidRDefault="00C2185F" w14:paraId="18ACF4A4" w14:textId="77777777">
            <w:pPr>
              <w:spacing w:after="240"/>
              <w:rPr>
                <w:color w:val="595959" w:themeColor="text1" w:themeTint="A6"/>
                <w:szCs w:val="18"/>
              </w:rPr>
            </w:pPr>
          </w:p>
        </w:tc>
        <w:tc>
          <w:tcPr>
            <w:tcW w:w="1035" w:type="dxa"/>
          </w:tcPr>
          <w:p w:rsidRPr="00256BA2" w:rsidR="00C2185F" w:rsidP="00C2185F" w:rsidRDefault="00C2185F" w14:paraId="3E320102" w14:textId="77777777">
            <w:pPr>
              <w:spacing w:after="240"/>
              <w:rPr>
                <w:color w:val="595959" w:themeColor="text1" w:themeTint="A6"/>
                <w:szCs w:val="18"/>
              </w:rPr>
            </w:pPr>
            <w:r w:rsidRPr="00256BA2">
              <w:rPr>
                <w:color w:val="595959" w:themeColor="text1" w:themeTint="A6"/>
                <w:szCs w:val="18"/>
              </w:rPr>
              <w:t>Noot</w:t>
            </w:r>
          </w:p>
        </w:tc>
        <w:tc>
          <w:tcPr>
            <w:tcW w:w="6529" w:type="dxa"/>
          </w:tcPr>
          <w:p w:rsidRPr="00256BA2" w:rsidR="00C2185F" w:rsidP="00C2185F" w:rsidRDefault="00C2185F" w14:paraId="1F5D83DE" w14:textId="2C3E350B">
            <w:pPr>
              <w:spacing w:after="240"/>
              <w:rPr>
                <w:color w:val="595959" w:themeColor="text1" w:themeTint="A6"/>
                <w:szCs w:val="18"/>
              </w:rPr>
            </w:pPr>
            <w:r w:rsidRPr="00256BA2">
              <w:rPr>
                <w:color w:val="595959" w:themeColor="text1" w:themeTint="A6"/>
                <w:szCs w:val="18"/>
              </w:rPr>
              <w:t xml:space="preserve">Dit betreft een voorstel voor een verordening voor de oprichting van een  European Single Access Point (ESAP) voor bedrijfsinformatie. Zie de noot hierboven. </w:t>
            </w:r>
          </w:p>
        </w:tc>
      </w:tr>
    </w:tbl>
    <w:p w:rsidRPr="00256BA2" w:rsidR="00564554" w:rsidP="002A4BD8" w:rsidRDefault="00564554" w14:paraId="02652729"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256BA2" w:rsidR="002A4BD8" w:rsidTr="00DF5A2E" w14:paraId="2C7BE4B1"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56BA2" w:rsidR="002A4BD8" w:rsidP="003A21AA" w:rsidRDefault="002A4BD8" w14:paraId="418094B5" w14:textId="77777777">
            <w:pPr>
              <w:pStyle w:val="Lijstalinea"/>
              <w:numPr>
                <w:ilvl w:val="0"/>
                <w:numId w:val="10"/>
              </w:numPr>
              <w:spacing w:after="240"/>
              <w:ind w:left="312"/>
              <w:rPr>
                <w:color w:val="595959" w:themeColor="text1" w:themeTint="A6"/>
                <w:szCs w:val="18"/>
              </w:rPr>
            </w:pPr>
          </w:p>
        </w:tc>
        <w:tc>
          <w:tcPr>
            <w:tcW w:w="1035" w:type="dxa"/>
          </w:tcPr>
          <w:p w:rsidRPr="00256BA2" w:rsidR="002A4BD8" w:rsidP="003A21AA" w:rsidRDefault="002A4BD8" w14:paraId="7CD5C36F" w14:textId="77777777">
            <w:pPr>
              <w:spacing w:after="240"/>
              <w:rPr>
                <w:color w:val="595959" w:themeColor="text1" w:themeTint="A6"/>
                <w:szCs w:val="18"/>
              </w:rPr>
            </w:pPr>
            <w:r w:rsidRPr="00256BA2">
              <w:rPr>
                <w:color w:val="595959" w:themeColor="text1" w:themeTint="A6"/>
                <w:szCs w:val="18"/>
              </w:rPr>
              <w:t>Titel</w:t>
            </w:r>
          </w:p>
        </w:tc>
        <w:tc>
          <w:tcPr>
            <w:tcW w:w="6529" w:type="dxa"/>
          </w:tcPr>
          <w:p w:rsidRPr="00256BA2" w:rsidR="002A4BD8" w:rsidP="003A21AA" w:rsidRDefault="00B6249C" w14:paraId="2FB777CE" w14:textId="4C86A030">
            <w:pPr>
              <w:spacing w:after="240"/>
              <w:rPr>
                <w:b/>
                <w:color w:val="595959" w:themeColor="text1" w:themeTint="A6"/>
                <w:szCs w:val="18"/>
              </w:rPr>
            </w:pPr>
            <w:r w:rsidRPr="00256BA2">
              <w:rPr>
                <w:szCs w:val="18"/>
                <w:lang w:val="en-US"/>
              </w:rPr>
              <w:t xml:space="preserve">Proposal for a REGULATION OF THE EUROPEAN PARLIAMENT AND OF THE COUNCIL amending Regulation (EU) 2015/760 as regards the scope of eligible assets and investments, the portfolio composition and diversification requirements, the borrowing of cash and other fund rules and as regards requirements pertaining to the </w:t>
            </w:r>
            <w:proofErr w:type="spellStart"/>
            <w:r w:rsidRPr="00256BA2">
              <w:rPr>
                <w:szCs w:val="18"/>
                <w:lang w:val="en-US"/>
              </w:rPr>
              <w:t>authorisation</w:t>
            </w:r>
            <w:proofErr w:type="spellEnd"/>
            <w:r w:rsidRPr="00256BA2">
              <w:rPr>
                <w:szCs w:val="18"/>
                <w:lang w:val="en-US"/>
              </w:rPr>
              <w:t xml:space="preserve">, investment policies and operating conditions of European long-term investment funds </w:t>
            </w:r>
            <w:hyperlink w:history="1" r:id="rId20">
              <w:r w:rsidRPr="00256BA2">
                <w:rPr>
                  <w:rStyle w:val="Hyperlink"/>
                  <w:szCs w:val="18"/>
                  <w:lang w:val="en-US"/>
                </w:rPr>
                <w:t>COM (2021) 722</w:t>
              </w:r>
            </w:hyperlink>
          </w:p>
        </w:tc>
      </w:tr>
      <w:tr w:rsidRPr="00256BA2" w:rsidR="002A4BD8" w:rsidTr="00DF5A2E" w14:paraId="27089824"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2A4BD8" w:rsidP="003A21AA" w:rsidRDefault="002A4BD8" w14:paraId="28011F63" w14:textId="77777777">
            <w:pPr>
              <w:spacing w:after="240"/>
              <w:rPr>
                <w:szCs w:val="18"/>
              </w:rPr>
            </w:pPr>
          </w:p>
        </w:tc>
        <w:tc>
          <w:tcPr>
            <w:tcW w:w="1035" w:type="dxa"/>
          </w:tcPr>
          <w:p w:rsidRPr="00256BA2" w:rsidR="002A4BD8" w:rsidP="003A21AA" w:rsidRDefault="002A4BD8" w14:paraId="4E1DDE93" w14:textId="77777777">
            <w:pPr>
              <w:spacing w:after="240"/>
              <w:rPr>
                <w:szCs w:val="18"/>
              </w:rPr>
            </w:pPr>
            <w:r w:rsidRPr="00256BA2">
              <w:rPr>
                <w:szCs w:val="18"/>
              </w:rPr>
              <w:t>Voorstel</w:t>
            </w:r>
          </w:p>
        </w:tc>
        <w:tc>
          <w:tcPr>
            <w:tcW w:w="6529" w:type="dxa"/>
          </w:tcPr>
          <w:p w:rsidRPr="00256BA2" w:rsidR="002A4BD8" w:rsidP="003A21AA" w:rsidRDefault="0028291D" w14:paraId="6AF07D6C" w14:textId="5D005E34">
            <w:pPr>
              <w:spacing w:after="240"/>
              <w:rPr>
                <w:szCs w:val="18"/>
              </w:rPr>
            </w:pPr>
            <w:r w:rsidRPr="00256BA2">
              <w:rPr>
                <w:szCs w:val="18"/>
              </w:rPr>
              <w:t>Via de gebruikelijke route behandelen, waarbij het voorstel en het nog te ontvangen BNC-fiche worden geagendeerd voor een schriftelijk overleg.</w:t>
            </w:r>
          </w:p>
        </w:tc>
      </w:tr>
      <w:tr w:rsidRPr="00256BA2" w:rsidR="002A4BD8" w:rsidTr="00DF5A2E" w14:paraId="2276C4DD"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2A4BD8" w:rsidP="003A21AA" w:rsidRDefault="002A4BD8" w14:paraId="0FC152F4" w14:textId="77777777">
            <w:pPr>
              <w:spacing w:after="240"/>
              <w:rPr>
                <w:color w:val="595959" w:themeColor="text1" w:themeTint="A6"/>
                <w:szCs w:val="18"/>
              </w:rPr>
            </w:pPr>
          </w:p>
        </w:tc>
        <w:tc>
          <w:tcPr>
            <w:tcW w:w="1035" w:type="dxa"/>
          </w:tcPr>
          <w:p w:rsidRPr="00256BA2" w:rsidR="002A4BD8" w:rsidP="003A21AA" w:rsidRDefault="002A4BD8" w14:paraId="06982520" w14:textId="77777777">
            <w:pPr>
              <w:spacing w:after="240"/>
              <w:rPr>
                <w:color w:val="595959" w:themeColor="text1" w:themeTint="A6"/>
                <w:szCs w:val="18"/>
              </w:rPr>
            </w:pPr>
            <w:r w:rsidRPr="00256BA2">
              <w:rPr>
                <w:color w:val="595959" w:themeColor="text1" w:themeTint="A6"/>
                <w:szCs w:val="18"/>
              </w:rPr>
              <w:t>Noot</w:t>
            </w:r>
          </w:p>
        </w:tc>
        <w:tc>
          <w:tcPr>
            <w:tcW w:w="6529" w:type="dxa"/>
          </w:tcPr>
          <w:p w:rsidRPr="00256BA2" w:rsidR="002A4BD8" w:rsidP="00564554" w:rsidRDefault="00564554" w14:paraId="15D4DEDF" w14:textId="6FFCC6C5">
            <w:pPr>
              <w:spacing w:after="240"/>
              <w:rPr>
                <w:color w:val="595959" w:themeColor="text1" w:themeTint="A6"/>
                <w:szCs w:val="18"/>
              </w:rPr>
            </w:pPr>
            <w:r w:rsidRPr="00256BA2">
              <w:rPr>
                <w:color w:val="595959" w:themeColor="text1" w:themeTint="A6"/>
                <w:szCs w:val="18"/>
              </w:rPr>
              <w:t xml:space="preserve">Dit betreft een voorstel tot wijziging van de Verordening Europese </w:t>
            </w:r>
            <w:proofErr w:type="spellStart"/>
            <w:r w:rsidRPr="00256BA2">
              <w:rPr>
                <w:color w:val="595959" w:themeColor="text1" w:themeTint="A6"/>
                <w:szCs w:val="18"/>
              </w:rPr>
              <w:t>langetermijnbeleggingsinstellingen</w:t>
            </w:r>
            <w:proofErr w:type="spellEnd"/>
            <w:r w:rsidRPr="00256BA2">
              <w:rPr>
                <w:color w:val="595959" w:themeColor="text1" w:themeTint="A6"/>
                <w:szCs w:val="18"/>
              </w:rPr>
              <w:t xml:space="preserve"> (ELTIF). Om het tot noch toe achterblijvende gebruik van </w:t>
            </w:r>
            <w:proofErr w:type="spellStart"/>
            <w:r w:rsidRPr="00256BA2">
              <w:rPr>
                <w:color w:val="595959" w:themeColor="text1" w:themeTint="A6"/>
                <w:szCs w:val="18"/>
              </w:rPr>
              <w:t>ELTIFs</w:t>
            </w:r>
            <w:proofErr w:type="spellEnd"/>
            <w:r w:rsidRPr="00256BA2">
              <w:rPr>
                <w:color w:val="595959" w:themeColor="text1" w:themeTint="A6"/>
                <w:szCs w:val="18"/>
              </w:rPr>
              <w:t xml:space="preserve"> te stimuleren, stelt de Commissie voor om de reikwijdte van de verordening te verbreden en investeringen in dit type fondsen te vergemakkelijken. </w:t>
            </w:r>
          </w:p>
        </w:tc>
      </w:tr>
    </w:tbl>
    <w:p w:rsidRPr="00256BA2" w:rsidR="002A4BD8" w:rsidP="002A4BD8" w:rsidRDefault="002A4BD8" w14:paraId="416B2070" w14:textId="336A3DD4">
      <w:pPr>
        <w:rPr>
          <w:szCs w:val="18"/>
        </w:rPr>
      </w:pPr>
    </w:p>
    <w:p w:rsidRPr="00330FAF" w:rsidR="00330FAF" w:rsidP="00820149" w:rsidRDefault="00D27FE7" w14:paraId="019BEDA7" w14:textId="77777777">
      <w:pPr>
        <w:pStyle w:val="Lijstalinea"/>
        <w:numPr>
          <w:ilvl w:val="0"/>
          <w:numId w:val="2"/>
        </w:numPr>
        <w:rPr>
          <w:b/>
          <w:szCs w:val="18"/>
        </w:rPr>
      </w:pPr>
      <w:r w:rsidRPr="00256BA2">
        <w:rPr>
          <w:b/>
          <w:szCs w:val="18"/>
        </w:rPr>
        <w:t>Nieuwe</w:t>
      </w:r>
      <w:r w:rsidRPr="00256BA2" w:rsidR="008C43A5">
        <w:rPr>
          <w:b/>
          <w:szCs w:val="18"/>
        </w:rPr>
        <w:t xml:space="preserve"> EU-</w:t>
      </w:r>
      <w:r w:rsidRPr="00256BA2" w:rsidR="006E2C94">
        <w:rPr>
          <w:b/>
          <w:szCs w:val="18"/>
        </w:rPr>
        <w:t>documenten</w:t>
      </w:r>
      <w:r w:rsidRPr="00256BA2">
        <w:rPr>
          <w:b/>
          <w:szCs w:val="18"/>
        </w:rPr>
        <w:t xml:space="preserve"> van niet-wetgevende aard </w:t>
      </w:r>
      <w:r w:rsidRPr="00256BA2" w:rsidR="00E02D08">
        <w:rPr>
          <w:b/>
          <w:szCs w:val="18"/>
        </w:rPr>
        <w:br/>
      </w:r>
      <w:r w:rsidRPr="00256BA2" w:rsidR="00E02D08">
        <w:rPr>
          <w:szCs w:val="18"/>
        </w:rPr>
        <w:t>(M</w:t>
      </w:r>
      <w:r w:rsidRPr="00256BA2" w:rsidR="00820149">
        <w:rPr>
          <w:szCs w:val="18"/>
        </w:rPr>
        <w:t>edede</w:t>
      </w:r>
      <w:r w:rsidRPr="00256BA2">
        <w:rPr>
          <w:szCs w:val="18"/>
        </w:rPr>
        <w:t>lingen, aanbevelingen, actieplannen, consultaties, etc.</w:t>
      </w:r>
      <w:r w:rsidRPr="00256BA2" w:rsidR="00E02D08">
        <w:rPr>
          <w:szCs w:val="18"/>
        </w:rPr>
        <w:t>)</w:t>
      </w:r>
    </w:p>
    <w:p w:rsidR="00330FAF" w:rsidP="00330FAF" w:rsidRDefault="00330FAF" w14:paraId="1630965B"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256BA2" w:rsidR="00330FAF" w:rsidTr="006D6CFE" w14:paraId="23C3734E"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56BA2" w:rsidR="00330FAF" w:rsidP="006D6CFE" w:rsidRDefault="00330FAF" w14:paraId="73C4D27F" w14:textId="77777777">
            <w:pPr>
              <w:pStyle w:val="Lijstalinea"/>
              <w:numPr>
                <w:ilvl w:val="0"/>
                <w:numId w:val="10"/>
              </w:numPr>
              <w:spacing w:after="240"/>
              <w:ind w:left="312"/>
              <w:rPr>
                <w:color w:val="595959" w:themeColor="text1" w:themeTint="A6"/>
                <w:szCs w:val="18"/>
              </w:rPr>
            </w:pPr>
          </w:p>
        </w:tc>
        <w:tc>
          <w:tcPr>
            <w:tcW w:w="1035" w:type="dxa"/>
          </w:tcPr>
          <w:p w:rsidRPr="00256BA2" w:rsidR="00330FAF" w:rsidP="006D6CFE" w:rsidRDefault="00330FAF" w14:paraId="60CC4EBE" w14:textId="77777777">
            <w:pPr>
              <w:spacing w:after="240"/>
              <w:rPr>
                <w:color w:val="595959" w:themeColor="text1" w:themeTint="A6"/>
                <w:szCs w:val="18"/>
              </w:rPr>
            </w:pPr>
            <w:r w:rsidRPr="00256BA2">
              <w:rPr>
                <w:color w:val="595959" w:themeColor="text1" w:themeTint="A6"/>
                <w:szCs w:val="18"/>
              </w:rPr>
              <w:t>Titel</w:t>
            </w:r>
          </w:p>
        </w:tc>
        <w:tc>
          <w:tcPr>
            <w:tcW w:w="6529" w:type="dxa"/>
          </w:tcPr>
          <w:p w:rsidRPr="00256BA2" w:rsidR="00330FAF" w:rsidP="006D6CFE" w:rsidRDefault="00330FAF" w14:paraId="18F5AB90" w14:textId="77777777">
            <w:pPr>
              <w:spacing w:after="240"/>
              <w:rPr>
                <w:b/>
                <w:color w:val="595959" w:themeColor="text1" w:themeTint="A6"/>
                <w:szCs w:val="18"/>
              </w:rPr>
            </w:pPr>
            <w:r w:rsidRPr="00256BA2">
              <w:rPr>
                <w:szCs w:val="18"/>
                <w:lang w:val="en-US"/>
              </w:rPr>
              <w:t xml:space="preserve">COMMUNICATION FROM THE COMMISSION TO THE EUROPEAN PARLIAMENT, THE COUNCIL, THE EUROPEAN ECONOMIC AND SOCIAL COMMITTEE AND THE COMMITTEE OF THE REGIONS Capital Markets Union - Delivering one year after the Action Plan </w:t>
            </w:r>
            <w:hyperlink w:history="1" r:id="rId21">
              <w:r w:rsidRPr="00256BA2">
                <w:rPr>
                  <w:rStyle w:val="Hyperlink"/>
                  <w:szCs w:val="18"/>
                  <w:lang w:val="en-US"/>
                </w:rPr>
                <w:t>COM (2021) 720</w:t>
              </w:r>
            </w:hyperlink>
          </w:p>
        </w:tc>
      </w:tr>
      <w:tr w:rsidRPr="00256BA2" w:rsidR="00330FAF" w:rsidTr="006D6CFE" w14:paraId="7262FE3B"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330FAF" w:rsidP="006D6CFE" w:rsidRDefault="00330FAF" w14:paraId="1C2B2F76" w14:textId="77777777">
            <w:pPr>
              <w:spacing w:after="240"/>
              <w:rPr>
                <w:szCs w:val="18"/>
              </w:rPr>
            </w:pPr>
          </w:p>
        </w:tc>
        <w:tc>
          <w:tcPr>
            <w:tcW w:w="1035" w:type="dxa"/>
          </w:tcPr>
          <w:p w:rsidRPr="00256BA2" w:rsidR="00330FAF" w:rsidP="006D6CFE" w:rsidRDefault="00330FAF" w14:paraId="3FC87737" w14:textId="77777777">
            <w:pPr>
              <w:spacing w:after="240"/>
              <w:rPr>
                <w:szCs w:val="18"/>
              </w:rPr>
            </w:pPr>
            <w:r w:rsidRPr="00256BA2">
              <w:rPr>
                <w:szCs w:val="18"/>
              </w:rPr>
              <w:t>Voorstel</w:t>
            </w:r>
          </w:p>
        </w:tc>
        <w:tc>
          <w:tcPr>
            <w:tcW w:w="6529" w:type="dxa"/>
          </w:tcPr>
          <w:p w:rsidRPr="00256BA2" w:rsidR="00330FAF" w:rsidP="006D6CFE" w:rsidRDefault="00330FAF" w14:paraId="08925F69" w14:textId="77777777">
            <w:pPr>
              <w:spacing w:after="240"/>
              <w:rPr>
                <w:szCs w:val="18"/>
              </w:rPr>
            </w:pPr>
            <w:r w:rsidRPr="00256BA2">
              <w:rPr>
                <w:szCs w:val="18"/>
              </w:rPr>
              <w:t>Desgewenst betrekken bij het nog te plannen schriftelijk overleg over bovenstaande voorstellen.</w:t>
            </w:r>
          </w:p>
        </w:tc>
      </w:tr>
      <w:tr w:rsidRPr="00256BA2" w:rsidR="00330FAF" w:rsidTr="006D6CFE" w14:paraId="4FC32B97"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330FAF" w:rsidP="006D6CFE" w:rsidRDefault="00330FAF" w14:paraId="5AC01B63" w14:textId="77777777">
            <w:pPr>
              <w:spacing w:after="240"/>
              <w:rPr>
                <w:color w:val="595959" w:themeColor="text1" w:themeTint="A6"/>
                <w:szCs w:val="18"/>
              </w:rPr>
            </w:pPr>
          </w:p>
        </w:tc>
        <w:tc>
          <w:tcPr>
            <w:tcW w:w="1035" w:type="dxa"/>
          </w:tcPr>
          <w:p w:rsidRPr="00256BA2" w:rsidR="00330FAF" w:rsidP="006D6CFE" w:rsidRDefault="00330FAF" w14:paraId="16E78BD8" w14:textId="77777777">
            <w:pPr>
              <w:spacing w:after="240"/>
              <w:rPr>
                <w:color w:val="595959" w:themeColor="text1" w:themeTint="A6"/>
                <w:szCs w:val="18"/>
              </w:rPr>
            </w:pPr>
            <w:r w:rsidRPr="00256BA2">
              <w:rPr>
                <w:color w:val="595959" w:themeColor="text1" w:themeTint="A6"/>
                <w:szCs w:val="18"/>
              </w:rPr>
              <w:t>Noot</w:t>
            </w:r>
          </w:p>
        </w:tc>
        <w:tc>
          <w:tcPr>
            <w:tcW w:w="6529" w:type="dxa"/>
          </w:tcPr>
          <w:p w:rsidRPr="00256BA2" w:rsidR="00330FAF" w:rsidP="006D6CFE" w:rsidRDefault="00330FAF" w14:paraId="4BECA001" w14:textId="77777777">
            <w:pPr>
              <w:spacing w:after="240"/>
              <w:rPr>
                <w:color w:val="595959" w:themeColor="text1" w:themeTint="A6"/>
                <w:szCs w:val="18"/>
              </w:rPr>
            </w:pPr>
            <w:r w:rsidRPr="00256BA2">
              <w:rPr>
                <w:color w:val="595959" w:themeColor="text1" w:themeTint="A6"/>
                <w:szCs w:val="18"/>
              </w:rPr>
              <w:t xml:space="preserve">Dit betreft de communicatie van de Europese Commissie bij het op 25 november jl. gepubliceerde KMU-pakket. In deze Communicatie presenteert de EC de voortgang 1 jaar na publicatie van het 2020 KMU-actieplan en blikt de EC vooruit op de plannen voor 2022. </w:t>
            </w:r>
          </w:p>
        </w:tc>
      </w:tr>
    </w:tbl>
    <w:p w:rsidR="00330FAF" w:rsidP="00330FAF" w:rsidRDefault="00330FAF" w14:paraId="0BD848E2" w14:textId="354A570A">
      <w:pPr>
        <w:rPr>
          <w:szCs w:val="18"/>
        </w:rPr>
      </w:pPr>
    </w:p>
    <w:p w:rsidR="00330FAF" w:rsidP="00330FAF" w:rsidRDefault="00330FAF" w14:paraId="7FF9DD3E" w14:textId="22190769">
      <w:pPr>
        <w:rPr>
          <w:szCs w:val="18"/>
        </w:rPr>
      </w:pPr>
    </w:p>
    <w:p w:rsidR="00330FAF" w:rsidP="00330FAF" w:rsidRDefault="00330FAF" w14:paraId="353E15BF" w14:textId="77777777">
      <w:pPr>
        <w:rPr>
          <w:szCs w:val="18"/>
        </w:rPr>
      </w:pPr>
    </w:p>
    <w:tbl>
      <w:tblPr>
        <w:tblStyle w:val="Tabelraster12"/>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256BA2" w:rsidR="00330FAF" w:rsidTr="006D6CFE" w14:paraId="05255634"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56BA2" w:rsidR="00330FAF" w:rsidP="006D6CFE" w:rsidRDefault="00330FAF" w14:paraId="60A32751" w14:textId="77777777">
            <w:pPr>
              <w:numPr>
                <w:ilvl w:val="0"/>
                <w:numId w:val="10"/>
              </w:numPr>
              <w:spacing w:after="240"/>
              <w:ind w:left="312"/>
              <w:contextualSpacing/>
              <w:rPr>
                <w:color w:val="595959" w:themeColor="text1" w:themeTint="A6"/>
                <w:szCs w:val="18"/>
              </w:rPr>
            </w:pPr>
          </w:p>
        </w:tc>
        <w:tc>
          <w:tcPr>
            <w:tcW w:w="1035" w:type="dxa"/>
          </w:tcPr>
          <w:p w:rsidRPr="00256BA2" w:rsidR="00330FAF" w:rsidP="006D6CFE" w:rsidRDefault="00330FAF" w14:paraId="6E2826FD" w14:textId="77777777">
            <w:pPr>
              <w:spacing w:after="240"/>
              <w:rPr>
                <w:color w:val="595959" w:themeColor="text1" w:themeTint="A6"/>
                <w:szCs w:val="18"/>
              </w:rPr>
            </w:pPr>
            <w:r w:rsidRPr="00256BA2">
              <w:rPr>
                <w:color w:val="595959" w:themeColor="text1" w:themeTint="A6"/>
                <w:szCs w:val="18"/>
              </w:rPr>
              <w:t>Titel</w:t>
            </w:r>
          </w:p>
        </w:tc>
        <w:tc>
          <w:tcPr>
            <w:tcW w:w="6529" w:type="dxa"/>
          </w:tcPr>
          <w:p w:rsidRPr="00256BA2" w:rsidR="00330FAF" w:rsidP="006D6CFE" w:rsidRDefault="00330FAF" w14:paraId="156CAC94" w14:textId="77777777">
            <w:pPr>
              <w:spacing w:after="240"/>
              <w:rPr>
                <w:b/>
                <w:color w:val="595959" w:themeColor="text1" w:themeTint="A6"/>
                <w:szCs w:val="18"/>
              </w:rPr>
            </w:pPr>
            <w:r w:rsidRPr="00256BA2">
              <w:rPr>
                <w:rFonts w:cs="Calibri"/>
                <w:szCs w:val="18"/>
                <w:lang w:val="en-US"/>
              </w:rPr>
              <w:t xml:space="preserve">REPORT FROM THE COMMISSION TO THE EUROPEAN PARLIAMENT AND THE COUNCIL on the functioning of the European long-term investment funds (ELTIF) framework </w:t>
            </w:r>
            <w:hyperlink w:history="1" r:id="rId22">
              <w:r w:rsidRPr="00256BA2">
                <w:rPr>
                  <w:rStyle w:val="Hyperlink"/>
                  <w:rFonts w:cs="Calibri"/>
                  <w:szCs w:val="18"/>
                  <w:lang w:val="en-US"/>
                </w:rPr>
                <w:t>COM (2021) 738</w:t>
              </w:r>
            </w:hyperlink>
          </w:p>
        </w:tc>
      </w:tr>
      <w:tr w:rsidRPr="00256BA2" w:rsidR="00330FAF" w:rsidTr="006D6CFE" w14:paraId="040A4BA2"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330FAF" w:rsidP="006D6CFE" w:rsidRDefault="00330FAF" w14:paraId="0468B15B" w14:textId="77777777">
            <w:pPr>
              <w:spacing w:after="240"/>
              <w:rPr>
                <w:szCs w:val="18"/>
              </w:rPr>
            </w:pPr>
          </w:p>
        </w:tc>
        <w:tc>
          <w:tcPr>
            <w:tcW w:w="1035" w:type="dxa"/>
          </w:tcPr>
          <w:p w:rsidRPr="00256BA2" w:rsidR="00330FAF" w:rsidP="006D6CFE" w:rsidRDefault="00330FAF" w14:paraId="3F68A6D5" w14:textId="77777777">
            <w:pPr>
              <w:spacing w:after="240"/>
              <w:rPr>
                <w:szCs w:val="18"/>
              </w:rPr>
            </w:pPr>
            <w:r w:rsidRPr="00256BA2">
              <w:rPr>
                <w:szCs w:val="18"/>
              </w:rPr>
              <w:t>Voorstel</w:t>
            </w:r>
          </w:p>
        </w:tc>
        <w:tc>
          <w:tcPr>
            <w:tcW w:w="6529" w:type="dxa"/>
          </w:tcPr>
          <w:p w:rsidRPr="00256BA2" w:rsidR="00330FAF" w:rsidP="006D6CFE" w:rsidRDefault="00330FAF" w14:paraId="2CD50AC1" w14:textId="77777777">
            <w:pPr>
              <w:spacing w:after="240"/>
              <w:rPr>
                <w:szCs w:val="18"/>
              </w:rPr>
            </w:pPr>
            <w:r>
              <w:rPr>
                <w:szCs w:val="18"/>
              </w:rPr>
              <w:t xml:space="preserve">Desgewenst betrekken bij het schriftelijk overleg omtrent </w:t>
            </w:r>
            <w:r w:rsidRPr="00256BA2">
              <w:rPr>
                <w:szCs w:val="18"/>
              </w:rPr>
              <w:t>het voorstel en het nog te ontvangen BNC-fiche.</w:t>
            </w:r>
          </w:p>
        </w:tc>
      </w:tr>
      <w:tr w:rsidRPr="00256BA2" w:rsidR="00330FAF" w:rsidTr="006D6CFE" w14:paraId="2BA8576C"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330FAF" w:rsidP="006D6CFE" w:rsidRDefault="00330FAF" w14:paraId="1A043E33" w14:textId="77777777">
            <w:pPr>
              <w:spacing w:after="240"/>
              <w:rPr>
                <w:color w:val="595959" w:themeColor="text1" w:themeTint="A6"/>
                <w:szCs w:val="18"/>
              </w:rPr>
            </w:pPr>
          </w:p>
        </w:tc>
        <w:tc>
          <w:tcPr>
            <w:tcW w:w="1035" w:type="dxa"/>
          </w:tcPr>
          <w:p w:rsidRPr="00256BA2" w:rsidR="00330FAF" w:rsidP="006D6CFE" w:rsidRDefault="00330FAF" w14:paraId="2FD2F4C8" w14:textId="77777777">
            <w:pPr>
              <w:spacing w:after="240"/>
              <w:rPr>
                <w:color w:val="595959" w:themeColor="text1" w:themeTint="A6"/>
                <w:szCs w:val="18"/>
              </w:rPr>
            </w:pPr>
            <w:r w:rsidRPr="00256BA2">
              <w:rPr>
                <w:color w:val="595959" w:themeColor="text1" w:themeTint="A6"/>
                <w:szCs w:val="18"/>
              </w:rPr>
              <w:t>Noot</w:t>
            </w:r>
          </w:p>
        </w:tc>
        <w:tc>
          <w:tcPr>
            <w:tcW w:w="6529" w:type="dxa"/>
          </w:tcPr>
          <w:p w:rsidRPr="00256BA2" w:rsidR="00330FAF" w:rsidP="006D6CFE" w:rsidRDefault="00330FAF" w14:paraId="4B0576B8" w14:textId="77777777">
            <w:pPr>
              <w:spacing w:after="240"/>
              <w:rPr>
                <w:color w:val="595959" w:themeColor="text1" w:themeTint="A6"/>
                <w:szCs w:val="18"/>
              </w:rPr>
            </w:pPr>
            <w:r>
              <w:rPr>
                <w:color w:val="595959" w:themeColor="text1" w:themeTint="A6"/>
                <w:szCs w:val="18"/>
              </w:rPr>
              <w:t xml:space="preserve">Dit betreft een rapport over het functioneren van het ELTIF-raamwerk. Gebaseerd op deze evaluatie is de Europese Commissie gekomen met een </w:t>
            </w:r>
            <w:r w:rsidRPr="00256BA2">
              <w:rPr>
                <w:color w:val="595959" w:themeColor="text1" w:themeTint="A6"/>
                <w:szCs w:val="18"/>
              </w:rPr>
              <w:t xml:space="preserve">voorstel tot wijziging van de Verordening Europese </w:t>
            </w:r>
            <w:proofErr w:type="spellStart"/>
            <w:r w:rsidRPr="00256BA2">
              <w:rPr>
                <w:color w:val="595959" w:themeColor="text1" w:themeTint="A6"/>
                <w:szCs w:val="18"/>
              </w:rPr>
              <w:t>langetermijnbeleggingsinstellingen</w:t>
            </w:r>
            <w:proofErr w:type="spellEnd"/>
            <w:r w:rsidRPr="00256BA2">
              <w:rPr>
                <w:color w:val="595959" w:themeColor="text1" w:themeTint="A6"/>
                <w:szCs w:val="18"/>
              </w:rPr>
              <w:t xml:space="preserve"> (ELTIF)</w:t>
            </w:r>
            <w:r>
              <w:rPr>
                <w:color w:val="595959" w:themeColor="text1" w:themeTint="A6"/>
                <w:szCs w:val="18"/>
              </w:rPr>
              <w:t xml:space="preserve"> (zie punt 7)</w:t>
            </w:r>
            <w:r w:rsidRPr="00256BA2">
              <w:rPr>
                <w:color w:val="595959" w:themeColor="text1" w:themeTint="A6"/>
                <w:szCs w:val="18"/>
              </w:rPr>
              <w:t>.</w:t>
            </w:r>
          </w:p>
        </w:tc>
      </w:tr>
    </w:tbl>
    <w:p w:rsidRPr="00330FAF" w:rsidR="00820149" w:rsidP="00330FAF" w:rsidRDefault="00B6249C" w14:paraId="56C0CBEE" w14:textId="38E03183">
      <w:pPr>
        <w:rPr>
          <w:b/>
          <w:szCs w:val="18"/>
        </w:rPr>
      </w:pPr>
      <w:r w:rsidRPr="00330FAF">
        <w:rPr>
          <w:szCs w:val="18"/>
        </w:rPr>
        <w:br/>
      </w: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256BA2" w:rsidR="002A4BD8" w:rsidTr="00DF5A2E" w14:paraId="164653D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56BA2" w:rsidR="002A4BD8" w:rsidP="003A21AA" w:rsidRDefault="002A4BD8" w14:paraId="4E937A31" w14:textId="77777777">
            <w:pPr>
              <w:pStyle w:val="Lijstalinea"/>
              <w:numPr>
                <w:ilvl w:val="0"/>
                <w:numId w:val="10"/>
              </w:numPr>
              <w:spacing w:after="240"/>
              <w:ind w:left="312"/>
              <w:rPr>
                <w:color w:val="595959" w:themeColor="text1" w:themeTint="A6"/>
                <w:szCs w:val="18"/>
              </w:rPr>
            </w:pPr>
          </w:p>
        </w:tc>
        <w:tc>
          <w:tcPr>
            <w:tcW w:w="1035" w:type="dxa"/>
          </w:tcPr>
          <w:p w:rsidRPr="00256BA2" w:rsidR="002A4BD8" w:rsidP="003A21AA" w:rsidRDefault="002A4BD8" w14:paraId="0AC39600" w14:textId="77777777">
            <w:pPr>
              <w:spacing w:after="240"/>
              <w:rPr>
                <w:color w:val="595959" w:themeColor="text1" w:themeTint="A6"/>
                <w:szCs w:val="18"/>
              </w:rPr>
            </w:pPr>
            <w:r w:rsidRPr="00256BA2">
              <w:rPr>
                <w:color w:val="595959" w:themeColor="text1" w:themeTint="A6"/>
                <w:szCs w:val="18"/>
              </w:rPr>
              <w:t>Titel</w:t>
            </w:r>
          </w:p>
        </w:tc>
        <w:tc>
          <w:tcPr>
            <w:tcW w:w="6529" w:type="dxa"/>
          </w:tcPr>
          <w:p w:rsidRPr="00256BA2" w:rsidR="002A4BD8" w:rsidP="008918A0" w:rsidRDefault="00B6249C" w14:paraId="0C5E3C92" w14:textId="29D98DE6">
            <w:pPr>
              <w:spacing w:after="240"/>
              <w:rPr>
                <w:b/>
                <w:color w:val="595959" w:themeColor="text1" w:themeTint="A6"/>
                <w:szCs w:val="18"/>
              </w:rPr>
            </w:pPr>
            <w:proofErr w:type="spellStart"/>
            <w:r w:rsidRPr="00256BA2">
              <w:rPr>
                <w:rFonts w:cs="Calibri"/>
                <w:szCs w:val="18"/>
                <w:lang w:val="en-US"/>
              </w:rPr>
              <w:t>Bedrijfsrapportage</w:t>
            </w:r>
            <w:proofErr w:type="spellEnd"/>
            <w:r w:rsidRPr="00256BA2">
              <w:rPr>
                <w:rFonts w:cs="Calibri"/>
                <w:szCs w:val="18"/>
                <w:lang w:val="en-US"/>
              </w:rPr>
              <w:t xml:space="preserve"> – </w:t>
            </w:r>
            <w:proofErr w:type="spellStart"/>
            <w:r w:rsidRPr="00256BA2">
              <w:rPr>
                <w:rFonts w:cs="Calibri"/>
                <w:szCs w:val="18"/>
                <w:lang w:val="en-US"/>
              </w:rPr>
              <w:t>verbetering</w:t>
            </w:r>
            <w:proofErr w:type="spellEnd"/>
            <w:r w:rsidRPr="00256BA2">
              <w:rPr>
                <w:rFonts w:cs="Calibri"/>
                <w:szCs w:val="18"/>
                <w:lang w:val="en-US"/>
              </w:rPr>
              <w:t xml:space="preserve"> van </w:t>
            </w:r>
            <w:proofErr w:type="spellStart"/>
            <w:r w:rsidRPr="00256BA2">
              <w:rPr>
                <w:rFonts w:cs="Calibri"/>
                <w:szCs w:val="18"/>
                <w:lang w:val="en-US"/>
              </w:rPr>
              <w:t>kwaliteit</w:t>
            </w:r>
            <w:proofErr w:type="spellEnd"/>
            <w:r w:rsidRPr="00256BA2">
              <w:rPr>
                <w:rFonts w:cs="Calibri"/>
                <w:szCs w:val="18"/>
                <w:lang w:val="en-US"/>
              </w:rPr>
              <w:t xml:space="preserve"> en </w:t>
            </w:r>
            <w:proofErr w:type="spellStart"/>
            <w:r w:rsidRPr="00256BA2">
              <w:rPr>
                <w:rFonts w:cs="Calibri"/>
                <w:szCs w:val="18"/>
                <w:lang w:val="en-US"/>
              </w:rPr>
              <w:t>handhaving</w:t>
            </w:r>
            <w:proofErr w:type="spellEnd"/>
            <w:r w:rsidRPr="00256BA2">
              <w:rPr>
                <w:rFonts w:cs="Calibri"/>
                <w:szCs w:val="18"/>
                <w:lang w:val="en-US"/>
              </w:rPr>
              <w:t xml:space="preserve"> </w:t>
            </w:r>
            <w:hyperlink w:history="1" r:id="rId23">
              <w:proofErr w:type="spellStart"/>
              <w:r w:rsidRPr="00256BA2">
                <w:rPr>
                  <w:rStyle w:val="Hyperlink"/>
                  <w:rFonts w:cs="Calibri"/>
                  <w:szCs w:val="18"/>
                  <w:lang w:val="en-US"/>
                </w:rPr>
                <w:t>Raadpleging</w:t>
              </w:r>
              <w:proofErr w:type="spellEnd"/>
            </w:hyperlink>
          </w:p>
        </w:tc>
      </w:tr>
      <w:tr w:rsidRPr="00256BA2" w:rsidR="002A4BD8" w:rsidTr="00DF5A2E" w14:paraId="72F0091A"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2A4BD8" w:rsidP="003A21AA" w:rsidRDefault="002A4BD8" w14:paraId="230BAF7C" w14:textId="77777777">
            <w:pPr>
              <w:spacing w:after="240"/>
              <w:rPr>
                <w:szCs w:val="18"/>
              </w:rPr>
            </w:pPr>
          </w:p>
        </w:tc>
        <w:tc>
          <w:tcPr>
            <w:tcW w:w="1035" w:type="dxa"/>
          </w:tcPr>
          <w:p w:rsidRPr="00256BA2" w:rsidR="002A4BD8" w:rsidP="003A21AA" w:rsidRDefault="002A4BD8" w14:paraId="1257E0FF" w14:textId="77777777">
            <w:pPr>
              <w:spacing w:after="240"/>
              <w:rPr>
                <w:szCs w:val="18"/>
              </w:rPr>
            </w:pPr>
            <w:r w:rsidRPr="00256BA2">
              <w:rPr>
                <w:szCs w:val="18"/>
              </w:rPr>
              <w:t>Voorstel</w:t>
            </w:r>
          </w:p>
        </w:tc>
        <w:tc>
          <w:tcPr>
            <w:tcW w:w="6529" w:type="dxa"/>
          </w:tcPr>
          <w:p w:rsidRPr="00256BA2" w:rsidR="002A4BD8" w:rsidP="008251B1" w:rsidRDefault="008251B1" w14:paraId="505F4BE9" w14:textId="357F12D7">
            <w:pPr>
              <w:spacing w:after="240"/>
              <w:rPr>
                <w:szCs w:val="18"/>
              </w:rPr>
            </w:pPr>
            <w:r w:rsidRPr="00256BA2">
              <w:rPr>
                <w:szCs w:val="18"/>
              </w:rPr>
              <w:t>Afschrift van de mogelijke consultatiereactie van het kabinet afwachten.</w:t>
            </w:r>
          </w:p>
        </w:tc>
      </w:tr>
      <w:tr w:rsidRPr="00256BA2" w:rsidR="002A4BD8" w:rsidTr="00DF5A2E" w14:paraId="34966D5F"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2A4BD8" w:rsidP="003A21AA" w:rsidRDefault="002A4BD8" w14:paraId="7D9A1404" w14:textId="77777777">
            <w:pPr>
              <w:spacing w:after="240"/>
              <w:rPr>
                <w:color w:val="595959" w:themeColor="text1" w:themeTint="A6"/>
                <w:szCs w:val="18"/>
              </w:rPr>
            </w:pPr>
          </w:p>
        </w:tc>
        <w:tc>
          <w:tcPr>
            <w:tcW w:w="1035" w:type="dxa"/>
          </w:tcPr>
          <w:p w:rsidRPr="00256BA2" w:rsidR="002A4BD8" w:rsidP="003A21AA" w:rsidRDefault="002A4BD8" w14:paraId="1AFEDB1C" w14:textId="77777777">
            <w:pPr>
              <w:spacing w:after="240"/>
              <w:rPr>
                <w:color w:val="595959" w:themeColor="text1" w:themeTint="A6"/>
                <w:szCs w:val="18"/>
              </w:rPr>
            </w:pPr>
            <w:r w:rsidRPr="00256BA2">
              <w:rPr>
                <w:color w:val="595959" w:themeColor="text1" w:themeTint="A6"/>
                <w:szCs w:val="18"/>
              </w:rPr>
              <w:t>Noot</w:t>
            </w:r>
          </w:p>
        </w:tc>
        <w:tc>
          <w:tcPr>
            <w:tcW w:w="6529" w:type="dxa"/>
          </w:tcPr>
          <w:p w:rsidRPr="00256BA2" w:rsidR="002A4BD8" w:rsidP="00A95780" w:rsidRDefault="008A7A69" w14:paraId="3E288C2D" w14:textId="1608FFEA">
            <w:pPr>
              <w:spacing w:after="240"/>
              <w:rPr>
                <w:color w:val="595959" w:themeColor="text1" w:themeTint="A6"/>
                <w:szCs w:val="18"/>
              </w:rPr>
            </w:pPr>
            <w:r w:rsidRPr="00256BA2">
              <w:rPr>
                <w:color w:val="595959" w:themeColor="text1" w:themeTint="A6"/>
                <w:szCs w:val="18"/>
              </w:rPr>
              <w:t>Dit betreft een openbare raadpleging over</w:t>
            </w:r>
            <w:r w:rsidRPr="00256BA2" w:rsidR="00A95780">
              <w:rPr>
                <w:color w:val="595959" w:themeColor="text1" w:themeTint="A6"/>
                <w:szCs w:val="18"/>
              </w:rPr>
              <w:t xml:space="preserve"> verschillende</w:t>
            </w:r>
            <w:r w:rsidRPr="00256BA2">
              <w:rPr>
                <w:color w:val="595959" w:themeColor="text1" w:themeTint="A6"/>
                <w:szCs w:val="18"/>
              </w:rPr>
              <w:t xml:space="preserve"> </w:t>
            </w:r>
            <w:r w:rsidRPr="00256BA2" w:rsidR="00A95780">
              <w:rPr>
                <w:color w:val="595959" w:themeColor="text1" w:themeTint="A6"/>
                <w:szCs w:val="18"/>
              </w:rPr>
              <w:t>bedrijfsrapportages: jaarrekeningen, managementverslagen over niet-financiële gegevens, governance rapportages, country-</w:t>
            </w:r>
            <w:proofErr w:type="spellStart"/>
            <w:r w:rsidRPr="00256BA2" w:rsidR="00A95780">
              <w:rPr>
                <w:color w:val="595959" w:themeColor="text1" w:themeTint="A6"/>
                <w:szCs w:val="18"/>
              </w:rPr>
              <w:t>by</w:t>
            </w:r>
            <w:proofErr w:type="spellEnd"/>
            <w:r w:rsidRPr="00256BA2" w:rsidR="00A95780">
              <w:rPr>
                <w:color w:val="595959" w:themeColor="text1" w:themeTint="A6"/>
                <w:szCs w:val="18"/>
              </w:rPr>
              <w:t xml:space="preserve">-country rapportages en duurzaamheidsinformatie in het kader van de Corporate </w:t>
            </w:r>
            <w:proofErr w:type="spellStart"/>
            <w:r w:rsidRPr="00256BA2" w:rsidR="00A95780">
              <w:rPr>
                <w:color w:val="595959" w:themeColor="text1" w:themeTint="A6"/>
                <w:szCs w:val="18"/>
              </w:rPr>
              <w:t>Sustainability</w:t>
            </w:r>
            <w:proofErr w:type="spellEnd"/>
            <w:r w:rsidRPr="00256BA2" w:rsidR="00A95780">
              <w:rPr>
                <w:color w:val="595959" w:themeColor="text1" w:themeTint="A6"/>
                <w:szCs w:val="18"/>
              </w:rPr>
              <w:t xml:space="preserve"> Reporting richtlijn. </w:t>
            </w:r>
            <w:r w:rsidRPr="00256BA2">
              <w:rPr>
                <w:color w:val="595959" w:themeColor="text1" w:themeTint="A6"/>
                <w:szCs w:val="18"/>
              </w:rPr>
              <w:t>De uitkomst van deze consultatie wordt door de Europese Commissie gebruikt voor een impact assessment waarin wordt gekeken naar mogelijke versterking van het rapportageraamwerk in de U</w:t>
            </w:r>
            <w:r w:rsidRPr="00256BA2" w:rsidR="00A95780">
              <w:rPr>
                <w:color w:val="595959" w:themeColor="text1" w:themeTint="A6"/>
                <w:szCs w:val="18"/>
              </w:rPr>
              <w:t>nie.</w:t>
            </w:r>
            <w:r w:rsidRPr="00256BA2">
              <w:rPr>
                <w:color w:val="595959" w:themeColor="text1" w:themeTint="A6"/>
                <w:szCs w:val="18"/>
              </w:rPr>
              <w:t xml:space="preserve"> </w:t>
            </w:r>
          </w:p>
        </w:tc>
      </w:tr>
    </w:tbl>
    <w:p w:rsidRPr="00256BA2" w:rsidR="002A4BD8" w:rsidP="002A4BD8" w:rsidRDefault="002A4BD8" w14:paraId="09EE92E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256BA2" w:rsidR="002A4BD8" w:rsidTr="00DF5A2E" w14:paraId="7D412CDC"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56BA2" w:rsidR="002A4BD8" w:rsidP="003A21AA" w:rsidRDefault="002A4BD8" w14:paraId="227A7F73" w14:textId="77777777">
            <w:pPr>
              <w:pStyle w:val="Lijstalinea"/>
              <w:numPr>
                <w:ilvl w:val="0"/>
                <w:numId w:val="10"/>
              </w:numPr>
              <w:spacing w:after="240"/>
              <w:ind w:left="312"/>
              <w:rPr>
                <w:color w:val="595959" w:themeColor="text1" w:themeTint="A6"/>
                <w:szCs w:val="18"/>
              </w:rPr>
            </w:pPr>
          </w:p>
        </w:tc>
        <w:tc>
          <w:tcPr>
            <w:tcW w:w="1035" w:type="dxa"/>
          </w:tcPr>
          <w:p w:rsidRPr="00256BA2" w:rsidR="002A4BD8" w:rsidP="003A21AA" w:rsidRDefault="002A4BD8" w14:paraId="50781506" w14:textId="77777777">
            <w:pPr>
              <w:spacing w:after="240"/>
              <w:rPr>
                <w:color w:val="595959" w:themeColor="text1" w:themeTint="A6"/>
                <w:szCs w:val="18"/>
              </w:rPr>
            </w:pPr>
            <w:r w:rsidRPr="00256BA2">
              <w:rPr>
                <w:color w:val="595959" w:themeColor="text1" w:themeTint="A6"/>
                <w:szCs w:val="18"/>
              </w:rPr>
              <w:t>Titel</w:t>
            </w:r>
          </w:p>
        </w:tc>
        <w:tc>
          <w:tcPr>
            <w:tcW w:w="6529" w:type="dxa"/>
          </w:tcPr>
          <w:tbl>
            <w:tblPr>
              <w:tblW w:w="0" w:type="dxa"/>
              <w:tblLayout w:type="fixed"/>
              <w:tblCellMar>
                <w:left w:w="0" w:type="dxa"/>
                <w:right w:w="0" w:type="dxa"/>
              </w:tblCellMar>
              <w:tblLook w:val="04A0" w:firstRow="1" w:lastRow="0" w:firstColumn="1" w:lastColumn="0" w:noHBand="0" w:noVBand="1"/>
            </w:tblPr>
            <w:tblGrid>
              <w:gridCol w:w="6378"/>
            </w:tblGrid>
            <w:tr w:rsidRPr="00256BA2" w:rsidR="005F0171" w:rsidTr="005F0171" w14:paraId="04FF0B2D" w14:textId="77777777">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256BA2" w:rsidR="005F0171" w:rsidP="005F0171" w:rsidRDefault="005F0171" w14:paraId="28C76875" w14:textId="77777777">
                  <w:pPr>
                    <w:spacing w:after="240"/>
                    <w:rPr>
                      <w:szCs w:val="18"/>
                      <w:lang w:val="en-US" w:eastAsia="nl-NL"/>
                    </w:rPr>
                  </w:pPr>
                  <w:r w:rsidRPr="00256BA2">
                    <w:rPr>
                      <w:szCs w:val="18"/>
                      <w:lang w:val="en-US"/>
                    </w:rPr>
                    <w:t xml:space="preserve">Wet </w:t>
                  </w:r>
                  <w:proofErr w:type="spellStart"/>
                  <w:r w:rsidRPr="00256BA2">
                    <w:rPr>
                      <w:szCs w:val="18"/>
                      <w:lang w:val="en-US"/>
                    </w:rPr>
                    <w:t>inzake</w:t>
                  </w:r>
                  <w:proofErr w:type="spellEnd"/>
                  <w:r w:rsidRPr="00256BA2">
                    <w:rPr>
                      <w:szCs w:val="18"/>
                      <w:lang w:val="en-US"/>
                    </w:rPr>
                    <w:t xml:space="preserve"> </w:t>
                  </w:r>
                  <w:proofErr w:type="spellStart"/>
                  <w:r w:rsidRPr="00256BA2">
                    <w:rPr>
                      <w:szCs w:val="18"/>
                      <w:lang w:val="en-US"/>
                    </w:rPr>
                    <w:t>beursnotering</w:t>
                  </w:r>
                  <w:proofErr w:type="spellEnd"/>
                  <w:r w:rsidRPr="00256BA2">
                    <w:rPr>
                      <w:szCs w:val="18"/>
                      <w:lang w:val="en-US"/>
                    </w:rPr>
                    <w:t xml:space="preserve"> — </w:t>
                  </w:r>
                  <w:proofErr w:type="spellStart"/>
                  <w:r w:rsidRPr="00256BA2">
                    <w:rPr>
                      <w:szCs w:val="18"/>
                      <w:lang w:val="en-US"/>
                    </w:rPr>
                    <w:t>publieke</w:t>
                  </w:r>
                  <w:proofErr w:type="spellEnd"/>
                  <w:r w:rsidRPr="00256BA2">
                    <w:rPr>
                      <w:szCs w:val="18"/>
                      <w:lang w:val="en-US"/>
                    </w:rPr>
                    <w:t xml:space="preserve"> </w:t>
                  </w:r>
                  <w:proofErr w:type="spellStart"/>
                  <w:r w:rsidRPr="00256BA2">
                    <w:rPr>
                      <w:szCs w:val="18"/>
                      <w:lang w:val="en-US"/>
                    </w:rPr>
                    <w:t>kapitaalmarkten</w:t>
                  </w:r>
                  <w:proofErr w:type="spellEnd"/>
                  <w:r w:rsidRPr="00256BA2">
                    <w:rPr>
                      <w:szCs w:val="18"/>
                      <w:lang w:val="en-US"/>
                    </w:rPr>
                    <w:t xml:space="preserve"> </w:t>
                  </w:r>
                  <w:proofErr w:type="spellStart"/>
                  <w:r w:rsidRPr="00256BA2">
                    <w:rPr>
                      <w:szCs w:val="18"/>
                      <w:lang w:val="en-US"/>
                    </w:rPr>
                    <w:t>aantrekkelijker</w:t>
                  </w:r>
                  <w:proofErr w:type="spellEnd"/>
                  <w:r w:rsidRPr="00256BA2">
                    <w:rPr>
                      <w:szCs w:val="18"/>
                      <w:lang w:val="en-US"/>
                    </w:rPr>
                    <w:t xml:space="preserve"> </w:t>
                  </w:r>
                  <w:proofErr w:type="spellStart"/>
                  <w:r w:rsidRPr="00256BA2">
                    <w:rPr>
                      <w:szCs w:val="18"/>
                      <w:lang w:val="en-US"/>
                    </w:rPr>
                    <w:t>maken</w:t>
                  </w:r>
                  <w:proofErr w:type="spellEnd"/>
                  <w:r w:rsidRPr="00256BA2">
                    <w:rPr>
                      <w:szCs w:val="18"/>
                      <w:lang w:val="en-US"/>
                    </w:rPr>
                    <w:t xml:space="preserve"> </w:t>
                  </w:r>
                  <w:proofErr w:type="spellStart"/>
                  <w:r w:rsidRPr="00256BA2">
                    <w:rPr>
                      <w:szCs w:val="18"/>
                      <w:lang w:val="en-US"/>
                    </w:rPr>
                    <w:t>voor</w:t>
                  </w:r>
                  <w:proofErr w:type="spellEnd"/>
                  <w:r w:rsidRPr="00256BA2">
                    <w:rPr>
                      <w:szCs w:val="18"/>
                      <w:lang w:val="en-US"/>
                    </w:rPr>
                    <w:t xml:space="preserve"> EU-</w:t>
                  </w:r>
                  <w:proofErr w:type="spellStart"/>
                  <w:r w:rsidRPr="00256BA2">
                    <w:rPr>
                      <w:szCs w:val="18"/>
                      <w:lang w:val="en-US"/>
                    </w:rPr>
                    <w:t>bedrijven</w:t>
                  </w:r>
                  <w:proofErr w:type="spellEnd"/>
                  <w:r w:rsidRPr="00256BA2">
                    <w:rPr>
                      <w:szCs w:val="18"/>
                      <w:lang w:val="en-US"/>
                    </w:rPr>
                    <w:t xml:space="preserve"> en </w:t>
                  </w:r>
                  <w:proofErr w:type="spellStart"/>
                  <w:r w:rsidRPr="00256BA2">
                    <w:rPr>
                      <w:szCs w:val="18"/>
                      <w:lang w:val="en-US"/>
                    </w:rPr>
                    <w:t>toegang</w:t>
                  </w:r>
                  <w:proofErr w:type="spellEnd"/>
                  <w:r w:rsidRPr="00256BA2">
                    <w:rPr>
                      <w:szCs w:val="18"/>
                      <w:lang w:val="en-US"/>
                    </w:rPr>
                    <w:t xml:space="preserve"> tot </w:t>
                  </w:r>
                  <w:proofErr w:type="spellStart"/>
                  <w:r w:rsidRPr="00256BA2">
                    <w:rPr>
                      <w:szCs w:val="18"/>
                      <w:lang w:val="en-US"/>
                    </w:rPr>
                    <w:t>kapitaal</w:t>
                  </w:r>
                  <w:proofErr w:type="spellEnd"/>
                  <w:r w:rsidRPr="00256BA2">
                    <w:rPr>
                      <w:szCs w:val="18"/>
                      <w:lang w:val="en-US"/>
                    </w:rPr>
                    <w:t xml:space="preserve"> </w:t>
                  </w:r>
                  <w:proofErr w:type="spellStart"/>
                  <w:r w:rsidRPr="00256BA2">
                    <w:rPr>
                      <w:szCs w:val="18"/>
                      <w:lang w:val="en-US"/>
                    </w:rPr>
                    <w:t>vergemakkelijken</w:t>
                  </w:r>
                  <w:proofErr w:type="spellEnd"/>
                  <w:r w:rsidRPr="00256BA2">
                    <w:rPr>
                      <w:szCs w:val="18"/>
                      <w:lang w:val="en-US"/>
                    </w:rPr>
                    <w:t xml:space="preserve"> </w:t>
                  </w:r>
                  <w:proofErr w:type="spellStart"/>
                  <w:r w:rsidRPr="00256BA2">
                    <w:rPr>
                      <w:szCs w:val="18"/>
                      <w:lang w:val="en-US"/>
                    </w:rPr>
                    <w:t>voor</w:t>
                  </w:r>
                  <w:proofErr w:type="spellEnd"/>
                  <w:r w:rsidRPr="00256BA2">
                    <w:rPr>
                      <w:szCs w:val="18"/>
                      <w:lang w:val="en-US"/>
                    </w:rPr>
                    <w:t xml:space="preserve"> het </w:t>
                  </w:r>
                  <w:proofErr w:type="spellStart"/>
                  <w:r w:rsidRPr="00256BA2">
                    <w:rPr>
                      <w:szCs w:val="18"/>
                      <w:lang w:val="en-US"/>
                    </w:rPr>
                    <w:t>mkb</w:t>
                  </w:r>
                  <w:proofErr w:type="spellEnd"/>
                  <w:r w:rsidRPr="00256BA2">
                    <w:rPr>
                      <w:szCs w:val="18"/>
                      <w:lang w:val="en-US"/>
                    </w:rPr>
                    <w:t xml:space="preserve"> </w:t>
                  </w:r>
                  <w:hyperlink w:history="1" r:id="rId24">
                    <w:proofErr w:type="spellStart"/>
                    <w:r w:rsidRPr="00256BA2">
                      <w:rPr>
                        <w:rStyle w:val="Hyperlink"/>
                        <w:szCs w:val="18"/>
                        <w:lang w:val="en-US"/>
                      </w:rPr>
                      <w:t>Raadpleging</w:t>
                    </w:r>
                    <w:proofErr w:type="spellEnd"/>
                  </w:hyperlink>
                </w:p>
              </w:tc>
            </w:tr>
          </w:tbl>
          <w:p w:rsidRPr="00256BA2" w:rsidR="002A4BD8" w:rsidP="00354E7B" w:rsidRDefault="002A4BD8" w14:paraId="29CB7480" w14:textId="1795BF6C">
            <w:pPr>
              <w:shd w:val="clear" w:color="auto" w:fill="FFFFFF"/>
              <w:spacing w:after="75"/>
              <w:rPr>
                <w:b/>
                <w:color w:val="595959" w:themeColor="text1" w:themeTint="A6"/>
                <w:szCs w:val="18"/>
              </w:rPr>
            </w:pPr>
          </w:p>
        </w:tc>
      </w:tr>
      <w:tr w:rsidRPr="00256BA2" w:rsidR="002A4BD8" w:rsidTr="00DF5A2E" w14:paraId="166CD034"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2A4BD8" w:rsidP="003A21AA" w:rsidRDefault="002A4BD8" w14:paraId="4862F65F" w14:textId="77777777">
            <w:pPr>
              <w:spacing w:after="240"/>
              <w:rPr>
                <w:szCs w:val="18"/>
              </w:rPr>
            </w:pPr>
          </w:p>
        </w:tc>
        <w:tc>
          <w:tcPr>
            <w:tcW w:w="1035" w:type="dxa"/>
          </w:tcPr>
          <w:p w:rsidRPr="00256BA2" w:rsidR="002A4BD8" w:rsidP="003A21AA" w:rsidRDefault="002A4BD8" w14:paraId="17927D7F" w14:textId="77777777">
            <w:pPr>
              <w:spacing w:after="240"/>
              <w:rPr>
                <w:szCs w:val="18"/>
              </w:rPr>
            </w:pPr>
            <w:r w:rsidRPr="00256BA2">
              <w:rPr>
                <w:szCs w:val="18"/>
              </w:rPr>
              <w:t>Voorstel</w:t>
            </w:r>
          </w:p>
        </w:tc>
        <w:tc>
          <w:tcPr>
            <w:tcW w:w="6529" w:type="dxa"/>
          </w:tcPr>
          <w:p w:rsidRPr="00256BA2" w:rsidR="002A4BD8" w:rsidP="003A21AA" w:rsidRDefault="00A95780" w14:paraId="69E52296" w14:textId="6109F0DB">
            <w:pPr>
              <w:spacing w:after="240"/>
              <w:rPr>
                <w:szCs w:val="18"/>
              </w:rPr>
            </w:pPr>
            <w:r w:rsidRPr="00256BA2">
              <w:rPr>
                <w:szCs w:val="18"/>
              </w:rPr>
              <w:t>Afschrift van de mogelijke consultatiereactie van het kabinet afwachten.</w:t>
            </w:r>
          </w:p>
        </w:tc>
      </w:tr>
      <w:tr w:rsidRPr="00256BA2" w:rsidR="002A4BD8" w:rsidTr="00DF5A2E" w14:paraId="4A4F17E1"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2A4BD8" w:rsidP="003A21AA" w:rsidRDefault="002A4BD8" w14:paraId="677C0A18" w14:textId="77777777">
            <w:pPr>
              <w:spacing w:after="240"/>
              <w:rPr>
                <w:color w:val="595959" w:themeColor="text1" w:themeTint="A6"/>
                <w:szCs w:val="18"/>
              </w:rPr>
            </w:pPr>
          </w:p>
        </w:tc>
        <w:tc>
          <w:tcPr>
            <w:tcW w:w="1035" w:type="dxa"/>
          </w:tcPr>
          <w:p w:rsidRPr="00256BA2" w:rsidR="002A4BD8" w:rsidP="003A21AA" w:rsidRDefault="002A4BD8" w14:paraId="1C9C2532" w14:textId="77777777">
            <w:pPr>
              <w:spacing w:after="240"/>
              <w:rPr>
                <w:color w:val="595959" w:themeColor="text1" w:themeTint="A6"/>
                <w:szCs w:val="18"/>
              </w:rPr>
            </w:pPr>
            <w:r w:rsidRPr="00256BA2">
              <w:rPr>
                <w:color w:val="595959" w:themeColor="text1" w:themeTint="A6"/>
                <w:szCs w:val="18"/>
              </w:rPr>
              <w:t>Noot</w:t>
            </w:r>
          </w:p>
        </w:tc>
        <w:tc>
          <w:tcPr>
            <w:tcW w:w="6529" w:type="dxa"/>
          </w:tcPr>
          <w:p w:rsidRPr="00256BA2" w:rsidR="002A4BD8" w:rsidP="003A21AA" w:rsidRDefault="00A95780" w14:paraId="2D4BA6EA" w14:textId="101AF4CE">
            <w:pPr>
              <w:spacing w:after="240"/>
              <w:rPr>
                <w:color w:val="595959" w:themeColor="text1" w:themeTint="A6"/>
                <w:szCs w:val="18"/>
              </w:rPr>
            </w:pPr>
            <w:r w:rsidRPr="00256BA2">
              <w:rPr>
                <w:color w:val="595959" w:themeColor="text1" w:themeTint="A6"/>
                <w:szCs w:val="18"/>
              </w:rPr>
              <w:t>Een openbare raadpleging in het kader van de kapitaalmarktunie, waarin specifiek wordt gekeken naar het aantrekkelijker maken van de publieke kapitaalmarkten voor EU-bedrijven en het MKB.</w:t>
            </w:r>
          </w:p>
        </w:tc>
      </w:tr>
    </w:tbl>
    <w:p w:rsidRPr="00256BA2" w:rsidR="002A4BD8" w:rsidP="002A4BD8" w:rsidRDefault="002A4BD8" w14:paraId="5753E768"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256BA2" w:rsidR="002A4BD8" w:rsidTr="00DF5A2E" w14:paraId="312E9494"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56BA2" w:rsidR="002A4BD8" w:rsidP="003A21AA" w:rsidRDefault="002A4BD8" w14:paraId="09AE9C24" w14:textId="77777777">
            <w:pPr>
              <w:pStyle w:val="Lijstalinea"/>
              <w:numPr>
                <w:ilvl w:val="0"/>
                <w:numId w:val="10"/>
              </w:numPr>
              <w:spacing w:after="240"/>
              <w:ind w:left="312"/>
              <w:rPr>
                <w:color w:val="595959" w:themeColor="text1" w:themeTint="A6"/>
                <w:szCs w:val="18"/>
              </w:rPr>
            </w:pPr>
          </w:p>
        </w:tc>
        <w:tc>
          <w:tcPr>
            <w:tcW w:w="1035" w:type="dxa"/>
          </w:tcPr>
          <w:p w:rsidRPr="00256BA2" w:rsidR="002A4BD8" w:rsidP="003A21AA" w:rsidRDefault="002A4BD8" w14:paraId="0AA8D21F" w14:textId="77777777">
            <w:pPr>
              <w:spacing w:after="240"/>
              <w:rPr>
                <w:color w:val="595959" w:themeColor="text1" w:themeTint="A6"/>
                <w:szCs w:val="18"/>
              </w:rPr>
            </w:pPr>
            <w:r w:rsidRPr="00256BA2">
              <w:rPr>
                <w:color w:val="595959" w:themeColor="text1" w:themeTint="A6"/>
                <w:szCs w:val="18"/>
              </w:rPr>
              <w:t>Titel</w:t>
            </w:r>
          </w:p>
        </w:tc>
        <w:tc>
          <w:tcPr>
            <w:tcW w:w="6529" w:type="dxa"/>
          </w:tcPr>
          <w:p w:rsidRPr="00256BA2" w:rsidR="005F0171" w:rsidP="005F0171" w:rsidRDefault="005F0171" w14:paraId="0B957990" w14:textId="77777777">
            <w:pPr>
              <w:spacing w:after="240"/>
              <w:rPr>
                <w:rFonts w:cs="Calibri"/>
                <w:szCs w:val="18"/>
                <w:lang w:val="en-US" w:eastAsia="nl-NL"/>
              </w:rPr>
            </w:pPr>
            <w:proofErr w:type="spellStart"/>
            <w:r w:rsidRPr="00256BA2">
              <w:rPr>
                <w:rFonts w:cs="Calibri"/>
                <w:szCs w:val="18"/>
                <w:lang w:val="en-US"/>
              </w:rPr>
              <w:t>Hypothecair</w:t>
            </w:r>
            <w:proofErr w:type="spellEnd"/>
            <w:r w:rsidRPr="00256BA2">
              <w:rPr>
                <w:rFonts w:cs="Calibri"/>
                <w:szCs w:val="18"/>
                <w:lang w:val="en-US"/>
              </w:rPr>
              <w:t xml:space="preserve"> </w:t>
            </w:r>
            <w:proofErr w:type="spellStart"/>
            <w:r w:rsidRPr="00256BA2">
              <w:rPr>
                <w:rFonts w:cs="Calibri"/>
                <w:szCs w:val="18"/>
                <w:lang w:val="en-US"/>
              </w:rPr>
              <w:t>krediet</w:t>
            </w:r>
            <w:proofErr w:type="spellEnd"/>
            <w:r w:rsidRPr="00256BA2">
              <w:rPr>
                <w:rFonts w:cs="Calibri"/>
                <w:szCs w:val="18"/>
                <w:lang w:val="en-US"/>
              </w:rPr>
              <w:t xml:space="preserve"> – </w:t>
            </w:r>
            <w:proofErr w:type="spellStart"/>
            <w:r w:rsidRPr="00256BA2">
              <w:rPr>
                <w:rFonts w:cs="Calibri"/>
                <w:szCs w:val="18"/>
                <w:lang w:val="en-US"/>
              </w:rPr>
              <w:t>evaluatie</w:t>
            </w:r>
            <w:proofErr w:type="spellEnd"/>
            <w:r w:rsidRPr="00256BA2">
              <w:rPr>
                <w:rFonts w:cs="Calibri"/>
                <w:szCs w:val="18"/>
                <w:lang w:val="en-US"/>
              </w:rPr>
              <w:t xml:space="preserve"> van de EU-regels </w:t>
            </w:r>
            <w:hyperlink w:history="1" r:id="rId25">
              <w:proofErr w:type="spellStart"/>
              <w:r w:rsidRPr="00256BA2">
                <w:rPr>
                  <w:rStyle w:val="Hyperlink"/>
                  <w:rFonts w:cs="Calibri"/>
                  <w:szCs w:val="18"/>
                  <w:lang w:val="en-US"/>
                </w:rPr>
                <w:t>Raadpleging</w:t>
              </w:r>
              <w:proofErr w:type="spellEnd"/>
            </w:hyperlink>
          </w:p>
          <w:p w:rsidRPr="00256BA2" w:rsidR="002A4BD8" w:rsidP="00354E7B" w:rsidRDefault="002A4BD8" w14:paraId="099195DA" w14:textId="07D63496">
            <w:pPr>
              <w:shd w:val="clear" w:color="auto" w:fill="FFFFFF"/>
              <w:spacing w:after="75"/>
              <w:rPr>
                <w:b/>
                <w:color w:val="595959" w:themeColor="text1" w:themeTint="A6"/>
                <w:szCs w:val="18"/>
              </w:rPr>
            </w:pPr>
          </w:p>
        </w:tc>
      </w:tr>
      <w:tr w:rsidRPr="00256BA2" w:rsidR="002A4BD8" w:rsidTr="00DF5A2E" w14:paraId="21737612"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2A4BD8" w:rsidP="003A21AA" w:rsidRDefault="002A4BD8" w14:paraId="6306B713" w14:textId="77777777">
            <w:pPr>
              <w:spacing w:after="240"/>
              <w:rPr>
                <w:szCs w:val="18"/>
              </w:rPr>
            </w:pPr>
          </w:p>
        </w:tc>
        <w:tc>
          <w:tcPr>
            <w:tcW w:w="1035" w:type="dxa"/>
          </w:tcPr>
          <w:p w:rsidRPr="00256BA2" w:rsidR="002A4BD8" w:rsidP="003A21AA" w:rsidRDefault="002A4BD8" w14:paraId="13AA2E6B" w14:textId="77777777">
            <w:pPr>
              <w:spacing w:after="240"/>
              <w:rPr>
                <w:szCs w:val="18"/>
              </w:rPr>
            </w:pPr>
            <w:r w:rsidRPr="00256BA2">
              <w:rPr>
                <w:szCs w:val="18"/>
              </w:rPr>
              <w:t>Voorstel</w:t>
            </w:r>
          </w:p>
        </w:tc>
        <w:tc>
          <w:tcPr>
            <w:tcW w:w="6529" w:type="dxa"/>
          </w:tcPr>
          <w:p w:rsidRPr="00256BA2" w:rsidR="002A4BD8" w:rsidP="003A21AA" w:rsidRDefault="00A95780" w14:paraId="02C38289" w14:textId="35C2C4AE">
            <w:pPr>
              <w:spacing w:after="240"/>
              <w:rPr>
                <w:szCs w:val="18"/>
              </w:rPr>
            </w:pPr>
            <w:r w:rsidRPr="00256BA2">
              <w:rPr>
                <w:szCs w:val="18"/>
              </w:rPr>
              <w:t>Afschrift van de mogelijke consultatiereactie van het kabinet afwachten.</w:t>
            </w:r>
          </w:p>
        </w:tc>
      </w:tr>
      <w:tr w:rsidRPr="00256BA2" w:rsidR="002A4BD8" w:rsidTr="00DF5A2E" w14:paraId="1A7D9DA0"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2A4BD8" w:rsidP="003A21AA" w:rsidRDefault="002A4BD8" w14:paraId="65856223" w14:textId="77777777">
            <w:pPr>
              <w:spacing w:after="240"/>
              <w:rPr>
                <w:color w:val="595959" w:themeColor="text1" w:themeTint="A6"/>
                <w:szCs w:val="18"/>
              </w:rPr>
            </w:pPr>
          </w:p>
        </w:tc>
        <w:tc>
          <w:tcPr>
            <w:tcW w:w="1035" w:type="dxa"/>
          </w:tcPr>
          <w:p w:rsidRPr="00256BA2" w:rsidR="002A4BD8" w:rsidP="003A21AA" w:rsidRDefault="002A4BD8" w14:paraId="4912C224" w14:textId="77777777">
            <w:pPr>
              <w:spacing w:after="240"/>
              <w:rPr>
                <w:color w:val="595959" w:themeColor="text1" w:themeTint="A6"/>
                <w:szCs w:val="18"/>
              </w:rPr>
            </w:pPr>
            <w:r w:rsidRPr="00256BA2">
              <w:rPr>
                <w:color w:val="595959" w:themeColor="text1" w:themeTint="A6"/>
                <w:szCs w:val="18"/>
              </w:rPr>
              <w:t>Noot</w:t>
            </w:r>
          </w:p>
        </w:tc>
        <w:tc>
          <w:tcPr>
            <w:tcW w:w="6529" w:type="dxa"/>
          </w:tcPr>
          <w:p w:rsidRPr="00256BA2" w:rsidR="002A4BD8" w:rsidP="00A95780" w:rsidRDefault="00A95780" w14:paraId="6FAEA85B" w14:textId="67BA96CC">
            <w:pPr>
              <w:spacing w:after="240"/>
              <w:rPr>
                <w:color w:val="595959" w:themeColor="text1" w:themeTint="A6"/>
                <w:szCs w:val="18"/>
              </w:rPr>
            </w:pPr>
            <w:r w:rsidRPr="00256BA2">
              <w:rPr>
                <w:color w:val="595959" w:themeColor="text1" w:themeTint="A6"/>
                <w:szCs w:val="18"/>
              </w:rPr>
              <w:t xml:space="preserve">Betreft een openbare raadpleging gericht op de EU-regels voor woninghypotheekleningen. Bij deze evaluatie zal worden nagegaan hoe i) de consument vereenvoudigde, tijdige en relevante informatie kan krijgen, ii) de regels aan de digitale omgeving kunnen worden </w:t>
            </w:r>
            <w:r w:rsidRPr="00256BA2">
              <w:rPr>
                <w:color w:val="595959" w:themeColor="text1" w:themeTint="A6"/>
                <w:szCs w:val="18"/>
              </w:rPr>
              <w:lastRenderedPageBreak/>
              <w:t>aangepast, iii) het makkelijker kan worden gemaakt om een hypotheeklening te krijgen voor een woning in een ander EU-land</w:t>
            </w:r>
            <w:r w:rsidR="001B4BB1">
              <w:rPr>
                <w:color w:val="595959" w:themeColor="text1" w:themeTint="A6"/>
                <w:szCs w:val="18"/>
              </w:rPr>
              <w:t xml:space="preserve"> en </w:t>
            </w:r>
            <w:r w:rsidRPr="00256BA2">
              <w:rPr>
                <w:color w:val="595959" w:themeColor="text1" w:themeTint="A6"/>
                <w:szCs w:val="18"/>
              </w:rPr>
              <w:t>iv) de consumentenbescherming in economisch moeilijke tijden, zoals tijdens de coronacrisis, eventueel kan worden verbeterd en hoe via hypotheekleningen de energie-efficiënte van woningen kan worden gestimuleerd.</w:t>
            </w:r>
          </w:p>
        </w:tc>
      </w:tr>
    </w:tbl>
    <w:p w:rsidRPr="00256BA2" w:rsidR="002A4BD8" w:rsidP="002A4BD8" w:rsidRDefault="002A4BD8" w14:paraId="6014D29F" w14:textId="522DF1FD">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256BA2" w:rsidR="00DF5A2E" w:rsidTr="000279E0" w14:paraId="184D15DA"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56BA2" w:rsidR="00DF5A2E" w:rsidP="000279E0" w:rsidRDefault="00DF5A2E" w14:paraId="78A3A544" w14:textId="77777777">
            <w:pPr>
              <w:pStyle w:val="Lijstalinea"/>
              <w:numPr>
                <w:ilvl w:val="0"/>
                <w:numId w:val="10"/>
              </w:numPr>
              <w:spacing w:after="240"/>
              <w:ind w:left="312"/>
              <w:rPr>
                <w:color w:val="595959" w:themeColor="text1" w:themeTint="A6"/>
                <w:szCs w:val="18"/>
              </w:rPr>
            </w:pPr>
          </w:p>
        </w:tc>
        <w:tc>
          <w:tcPr>
            <w:tcW w:w="1035" w:type="dxa"/>
          </w:tcPr>
          <w:p w:rsidRPr="00256BA2" w:rsidR="00DF5A2E" w:rsidP="000279E0" w:rsidRDefault="00DF5A2E" w14:paraId="39080C1A" w14:textId="77777777">
            <w:pPr>
              <w:spacing w:after="240"/>
              <w:rPr>
                <w:color w:val="595959" w:themeColor="text1" w:themeTint="A6"/>
                <w:szCs w:val="18"/>
              </w:rPr>
            </w:pPr>
            <w:r w:rsidRPr="00256BA2">
              <w:rPr>
                <w:color w:val="595959" w:themeColor="text1" w:themeTint="A6"/>
                <w:szCs w:val="18"/>
              </w:rPr>
              <w:t>Titel</w:t>
            </w:r>
          </w:p>
        </w:tc>
        <w:tc>
          <w:tcPr>
            <w:tcW w:w="6529" w:type="dxa"/>
          </w:tcPr>
          <w:p w:rsidRPr="00256BA2" w:rsidR="00DF5A2E" w:rsidP="00354E7B" w:rsidRDefault="005F0171" w14:paraId="04C51897" w14:textId="4CC3A796">
            <w:pPr>
              <w:shd w:val="clear" w:color="auto" w:fill="FFFFFF"/>
              <w:spacing w:after="75"/>
              <w:rPr>
                <w:b/>
                <w:color w:val="595959" w:themeColor="text1" w:themeTint="A6"/>
                <w:szCs w:val="18"/>
              </w:rPr>
            </w:pPr>
            <w:r w:rsidRPr="00256BA2">
              <w:rPr>
                <w:rFonts w:cs="Calibri"/>
                <w:szCs w:val="18"/>
                <w:lang w:val="en-US"/>
              </w:rPr>
              <w:t xml:space="preserve">Recommendation for a COUNCIL RECOMMENDATION on the economic policy of the euro area </w:t>
            </w:r>
            <w:hyperlink w:history="1" r:id="rId26">
              <w:r w:rsidRPr="00256BA2">
                <w:rPr>
                  <w:rStyle w:val="Hyperlink"/>
                  <w:rFonts w:cs="Calibri"/>
                  <w:szCs w:val="18"/>
                  <w:lang w:val="en-US"/>
                </w:rPr>
                <w:t>COM (2021) 742</w:t>
              </w:r>
            </w:hyperlink>
          </w:p>
        </w:tc>
      </w:tr>
      <w:tr w:rsidRPr="00256BA2" w:rsidR="00DF5A2E" w:rsidTr="000279E0" w14:paraId="6E1C6AF4"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DF5A2E" w:rsidP="000279E0" w:rsidRDefault="00DF5A2E" w14:paraId="604BFA20" w14:textId="77777777">
            <w:pPr>
              <w:spacing w:after="240"/>
              <w:rPr>
                <w:szCs w:val="18"/>
              </w:rPr>
            </w:pPr>
          </w:p>
        </w:tc>
        <w:tc>
          <w:tcPr>
            <w:tcW w:w="1035" w:type="dxa"/>
          </w:tcPr>
          <w:p w:rsidRPr="00256BA2" w:rsidR="00DF5A2E" w:rsidP="000279E0" w:rsidRDefault="00DF5A2E" w14:paraId="5DC784BA" w14:textId="77777777">
            <w:pPr>
              <w:spacing w:after="240"/>
              <w:rPr>
                <w:szCs w:val="18"/>
              </w:rPr>
            </w:pPr>
            <w:r w:rsidRPr="00256BA2">
              <w:rPr>
                <w:szCs w:val="18"/>
              </w:rPr>
              <w:t>Voorstel</w:t>
            </w:r>
          </w:p>
        </w:tc>
        <w:tc>
          <w:tcPr>
            <w:tcW w:w="6529" w:type="dxa"/>
          </w:tcPr>
          <w:p w:rsidRPr="00256BA2" w:rsidR="00DF5A2E" w:rsidP="000279E0" w:rsidRDefault="00BA6ACC" w14:paraId="4A3BAB03" w14:textId="2DD3987C">
            <w:pPr>
              <w:spacing w:after="240"/>
              <w:rPr>
                <w:szCs w:val="18"/>
              </w:rPr>
            </w:pPr>
            <w:r>
              <w:rPr>
                <w:szCs w:val="18"/>
              </w:rPr>
              <w:t xml:space="preserve">Desgewenst betrekken bij </w:t>
            </w:r>
            <w:r w:rsidRPr="00256BA2" w:rsidR="00E306AF">
              <w:rPr>
                <w:szCs w:val="18"/>
              </w:rPr>
              <w:t>het Commissiedebat Eurogroep/</w:t>
            </w:r>
            <w:proofErr w:type="spellStart"/>
            <w:r w:rsidRPr="00256BA2" w:rsidR="00E306AF">
              <w:rPr>
                <w:szCs w:val="18"/>
              </w:rPr>
              <w:t>Ecofin</w:t>
            </w:r>
            <w:proofErr w:type="spellEnd"/>
            <w:r w:rsidRPr="00256BA2" w:rsidR="00E306AF">
              <w:rPr>
                <w:szCs w:val="18"/>
              </w:rPr>
              <w:t xml:space="preserve"> van 13 januari 2022 </w:t>
            </w:r>
          </w:p>
        </w:tc>
      </w:tr>
      <w:tr w:rsidRPr="00256BA2" w:rsidR="00DF5A2E" w:rsidTr="000279E0" w14:paraId="51D0A818"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DF5A2E" w:rsidP="000279E0" w:rsidRDefault="00DF5A2E" w14:paraId="533FFCD0" w14:textId="77777777">
            <w:pPr>
              <w:spacing w:after="240"/>
              <w:rPr>
                <w:color w:val="595959" w:themeColor="text1" w:themeTint="A6"/>
                <w:szCs w:val="18"/>
              </w:rPr>
            </w:pPr>
          </w:p>
        </w:tc>
        <w:tc>
          <w:tcPr>
            <w:tcW w:w="1035" w:type="dxa"/>
          </w:tcPr>
          <w:p w:rsidRPr="00256BA2" w:rsidR="00DF5A2E" w:rsidP="000279E0" w:rsidRDefault="00DF5A2E" w14:paraId="58D2A03C" w14:textId="77777777">
            <w:pPr>
              <w:spacing w:after="240"/>
              <w:rPr>
                <w:color w:val="595959" w:themeColor="text1" w:themeTint="A6"/>
                <w:szCs w:val="18"/>
              </w:rPr>
            </w:pPr>
            <w:r w:rsidRPr="00256BA2">
              <w:rPr>
                <w:color w:val="595959" w:themeColor="text1" w:themeTint="A6"/>
                <w:szCs w:val="18"/>
              </w:rPr>
              <w:t>Noot</w:t>
            </w:r>
          </w:p>
        </w:tc>
        <w:tc>
          <w:tcPr>
            <w:tcW w:w="6529" w:type="dxa"/>
          </w:tcPr>
          <w:p w:rsidRPr="00256BA2" w:rsidR="00DF5A2E" w:rsidP="00E306AF" w:rsidRDefault="00E306AF" w14:paraId="235A147C" w14:textId="7B7BA500">
            <w:pPr>
              <w:spacing w:after="240"/>
              <w:rPr>
                <w:color w:val="595959" w:themeColor="text1" w:themeTint="A6"/>
                <w:szCs w:val="18"/>
              </w:rPr>
            </w:pPr>
            <w:r w:rsidRPr="00256BA2">
              <w:rPr>
                <w:color w:val="595959" w:themeColor="text1" w:themeTint="A6"/>
                <w:szCs w:val="18"/>
              </w:rPr>
              <w:t xml:space="preserve">Dit betreft de aanbevelingen van de Europese Commissie voor de Raadsaanbeveling betreffende het economisch beleid in de eurozone, onderdeel van het herfstpakket van het Europees Semester. Naar verwachting zal de Eurogroep de ontwerpaanbevelingen in januari inhoudelijk bespreken. Voorafgaand aan de bespreking in de Eurogroep in januari zal de Kamer een brief ontvangen met een uitgebreide kabinetsappreciatie van het herfstpakket. </w:t>
            </w:r>
          </w:p>
        </w:tc>
      </w:tr>
    </w:tbl>
    <w:p w:rsidRPr="00256BA2" w:rsidR="00DF5A2E" w:rsidP="002A4BD8" w:rsidRDefault="00DF5A2E" w14:paraId="47A9638E" w14:textId="24679D7C">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256BA2" w:rsidR="000E7491" w:rsidTr="00C437F8" w14:paraId="0BC4D327"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56BA2" w:rsidR="000E7491" w:rsidP="00C437F8" w:rsidRDefault="000E7491" w14:paraId="4788D00B" w14:textId="77777777">
            <w:pPr>
              <w:pStyle w:val="Lijstalinea"/>
              <w:numPr>
                <w:ilvl w:val="0"/>
                <w:numId w:val="10"/>
              </w:numPr>
              <w:spacing w:after="240"/>
              <w:ind w:left="312"/>
              <w:rPr>
                <w:color w:val="595959" w:themeColor="text1" w:themeTint="A6"/>
                <w:szCs w:val="18"/>
              </w:rPr>
            </w:pPr>
          </w:p>
        </w:tc>
        <w:tc>
          <w:tcPr>
            <w:tcW w:w="1035" w:type="dxa"/>
          </w:tcPr>
          <w:p w:rsidRPr="00256BA2" w:rsidR="000E7491" w:rsidP="00C437F8" w:rsidRDefault="000E7491" w14:paraId="66A20CFC" w14:textId="77777777">
            <w:pPr>
              <w:spacing w:after="240"/>
              <w:rPr>
                <w:color w:val="595959" w:themeColor="text1" w:themeTint="A6"/>
                <w:szCs w:val="18"/>
              </w:rPr>
            </w:pPr>
            <w:r w:rsidRPr="00256BA2">
              <w:rPr>
                <w:color w:val="595959" w:themeColor="text1" w:themeTint="A6"/>
                <w:szCs w:val="18"/>
              </w:rPr>
              <w:t>Titel</w:t>
            </w:r>
          </w:p>
        </w:tc>
        <w:tc>
          <w:tcPr>
            <w:tcW w:w="6529" w:type="dxa"/>
          </w:tcPr>
          <w:p w:rsidRPr="00256BA2" w:rsidR="000E7491" w:rsidP="00C437F8" w:rsidRDefault="000E7491" w14:paraId="30FA420E" w14:textId="7B78B5CA">
            <w:pPr>
              <w:spacing w:after="240"/>
              <w:rPr>
                <w:szCs w:val="18"/>
                <w:lang w:val="en-US" w:eastAsia="nl-NL"/>
              </w:rPr>
            </w:pPr>
            <w:r w:rsidRPr="00256BA2">
              <w:rPr>
                <w:szCs w:val="18"/>
                <w:lang w:val="en-US"/>
              </w:rPr>
              <w:t xml:space="preserve">COMMUNICATION FROM THE COMMISSION TO THE EUROPEAN PARLIAMENT, THE COUNCIL, AND THE EUROPEAN CENTRAL BANK on the 2022 Draft Budgetary Plans: Overall Assessment </w:t>
            </w:r>
            <w:hyperlink w:history="1" r:id="rId27">
              <w:r w:rsidRPr="00256BA2">
                <w:rPr>
                  <w:rStyle w:val="Hyperlink"/>
                  <w:szCs w:val="18"/>
                  <w:lang w:val="en-US"/>
                </w:rPr>
                <w:t>COM (2021) 900</w:t>
              </w:r>
            </w:hyperlink>
          </w:p>
        </w:tc>
      </w:tr>
      <w:tr w:rsidRPr="00256BA2" w:rsidR="000E7491" w:rsidTr="00C437F8" w14:paraId="5B6BB040"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0E7491" w:rsidP="00C437F8" w:rsidRDefault="000E7491" w14:paraId="18E53E43" w14:textId="77777777">
            <w:pPr>
              <w:spacing w:after="240"/>
              <w:rPr>
                <w:szCs w:val="18"/>
              </w:rPr>
            </w:pPr>
          </w:p>
        </w:tc>
        <w:tc>
          <w:tcPr>
            <w:tcW w:w="1035" w:type="dxa"/>
          </w:tcPr>
          <w:p w:rsidRPr="00256BA2" w:rsidR="000E7491" w:rsidP="00C437F8" w:rsidRDefault="000E7491" w14:paraId="2D924192" w14:textId="77777777">
            <w:pPr>
              <w:spacing w:after="240"/>
              <w:rPr>
                <w:szCs w:val="18"/>
              </w:rPr>
            </w:pPr>
            <w:r w:rsidRPr="00256BA2">
              <w:rPr>
                <w:szCs w:val="18"/>
              </w:rPr>
              <w:t>Voorstel</w:t>
            </w:r>
          </w:p>
        </w:tc>
        <w:tc>
          <w:tcPr>
            <w:tcW w:w="6529" w:type="dxa"/>
          </w:tcPr>
          <w:p w:rsidRPr="00256BA2" w:rsidR="000E7491" w:rsidP="00894C13" w:rsidRDefault="00894C13" w14:paraId="5EEA3E7A" w14:textId="7CAE5A69">
            <w:pPr>
              <w:spacing w:after="240"/>
              <w:rPr>
                <w:szCs w:val="18"/>
              </w:rPr>
            </w:pPr>
            <w:r w:rsidRPr="00256BA2">
              <w:rPr>
                <w:szCs w:val="18"/>
              </w:rPr>
              <w:t>Desgewenst betrokken bij het commissiedebat Eurogroep/</w:t>
            </w:r>
            <w:proofErr w:type="spellStart"/>
            <w:r w:rsidRPr="00256BA2">
              <w:rPr>
                <w:szCs w:val="18"/>
              </w:rPr>
              <w:t>Ecofin</w:t>
            </w:r>
            <w:proofErr w:type="spellEnd"/>
            <w:r w:rsidRPr="00256BA2">
              <w:rPr>
                <w:szCs w:val="18"/>
              </w:rPr>
              <w:t xml:space="preserve"> van 2 december jl. </w:t>
            </w:r>
          </w:p>
        </w:tc>
      </w:tr>
      <w:tr w:rsidRPr="00256BA2" w:rsidR="000E7491" w:rsidTr="00C437F8" w14:paraId="515BF305"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0E7491" w:rsidP="00C437F8" w:rsidRDefault="000E7491" w14:paraId="4D557099" w14:textId="77777777">
            <w:pPr>
              <w:spacing w:after="240"/>
              <w:rPr>
                <w:color w:val="595959" w:themeColor="text1" w:themeTint="A6"/>
                <w:szCs w:val="18"/>
              </w:rPr>
            </w:pPr>
          </w:p>
        </w:tc>
        <w:tc>
          <w:tcPr>
            <w:tcW w:w="1035" w:type="dxa"/>
          </w:tcPr>
          <w:p w:rsidRPr="00256BA2" w:rsidR="000E7491" w:rsidP="00C437F8" w:rsidRDefault="000E7491" w14:paraId="61CD8641" w14:textId="77777777">
            <w:pPr>
              <w:spacing w:after="240"/>
              <w:rPr>
                <w:color w:val="595959" w:themeColor="text1" w:themeTint="A6"/>
                <w:szCs w:val="18"/>
              </w:rPr>
            </w:pPr>
            <w:r w:rsidRPr="00256BA2">
              <w:rPr>
                <w:color w:val="595959" w:themeColor="text1" w:themeTint="A6"/>
                <w:szCs w:val="18"/>
              </w:rPr>
              <w:t>Noot</w:t>
            </w:r>
          </w:p>
        </w:tc>
        <w:tc>
          <w:tcPr>
            <w:tcW w:w="6529" w:type="dxa"/>
          </w:tcPr>
          <w:p w:rsidRPr="00256BA2" w:rsidR="000E7491" w:rsidP="00894C13" w:rsidRDefault="00C2185F" w14:paraId="24A4624D" w14:textId="0CEE6DEE">
            <w:pPr>
              <w:spacing w:after="240"/>
              <w:rPr>
                <w:color w:val="595959" w:themeColor="text1" w:themeTint="A6"/>
                <w:szCs w:val="18"/>
              </w:rPr>
            </w:pPr>
            <w:r w:rsidRPr="00256BA2">
              <w:rPr>
                <w:color w:val="595959" w:themeColor="text1" w:themeTint="A6"/>
                <w:szCs w:val="18"/>
              </w:rPr>
              <w:t xml:space="preserve">Dit betreft een communicatie over de conceptbegrotingen van de lidstaten voor 2022 die de eurolanden medio oktober hebben ingediend bij de Europese Commissie. </w:t>
            </w:r>
            <w:r w:rsidRPr="00256BA2" w:rsidR="00894C13">
              <w:rPr>
                <w:color w:val="595959" w:themeColor="text1" w:themeTint="A6"/>
                <w:szCs w:val="18"/>
              </w:rPr>
              <w:t>In dit document worden de opinies samengevat die d</w:t>
            </w:r>
            <w:r w:rsidRPr="00256BA2">
              <w:rPr>
                <w:color w:val="595959" w:themeColor="text1" w:themeTint="A6"/>
                <w:szCs w:val="18"/>
              </w:rPr>
              <w:t>e Europese Commissie heeft opgesteld</w:t>
            </w:r>
            <w:r w:rsidRPr="00256BA2" w:rsidR="00894C13">
              <w:rPr>
                <w:color w:val="595959" w:themeColor="text1" w:themeTint="A6"/>
                <w:szCs w:val="18"/>
              </w:rPr>
              <w:t xml:space="preserve"> over de conceptbegrotingen van de lidstaten. Ook de </w:t>
            </w:r>
            <w:r w:rsidRPr="00256BA2">
              <w:rPr>
                <w:color w:val="595959" w:themeColor="text1" w:themeTint="A6"/>
                <w:szCs w:val="18"/>
              </w:rPr>
              <w:t xml:space="preserve">opinie </w:t>
            </w:r>
            <w:r w:rsidRPr="00256BA2" w:rsidR="00894C13">
              <w:rPr>
                <w:color w:val="595959" w:themeColor="text1" w:themeTint="A6"/>
                <w:szCs w:val="18"/>
              </w:rPr>
              <w:t>o</w:t>
            </w:r>
            <w:r w:rsidRPr="00256BA2">
              <w:rPr>
                <w:color w:val="595959" w:themeColor="text1" w:themeTint="A6"/>
                <w:szCs w:val="18"/>
              </w:rPr>
              <w:t>ver de budgettaire situatie en vooruitzichten in de eurozone als geheel</w:t>
            </w:r>
            <w:r w:rsidRPr="00256BA2" w:rsidR="00894C13">
              <w:rPr>
                <w:color w:val="595959" w:themeColor="text1" w:themeTint="A6"/>
                <w:szCs w:val="18"/>
              </w:rPr>
              <w:t xml:space="preserve"> is hier onderdeel van</w:t>
            </w:r>
            <w:r w:rsidRPr="00256BA2">
              <w:rPr>
                <w:color w:val="595959" w:themeColor="text1" w:themeTint="A6"/>
                <w:szCs w:val="18"/>
              </w:rPr>
              <w:t>.</w:t>
            </w:r>
            <w:r w:rsidRPr="00256BA2">
              <w:rPr>
                <w:szCs w:val="18"/>
              </w:rPr>
              <w:t xml:space="preserve"> </w:t>
            </w:r>
            <w:r w:rsidRPr="00256BA2">
              <w:rPr>
                <w:color w:val="595959" w:themeColor="text1" w:themeTint="A6"/>
                <w:szCs w:val="18"/>
              </w:rPr>
              <w:t>Voor Portugal is geen opinie gepubliceerd omdat de ingestuurde ontwerpbegroting door het Portugese parlement is afgekeurd.</w:t>
            </w:r>
          </w:p>
        </w:tc>
      </w:tr>
    </w:tbl>
    <w:p w:rsidRPr="00256BA2" w:rsidR="000E7491" w:rsidP="002A4BD8" w:rsidRDefault="000E7491" w14:paraId="3611751D" w14:textId="393A4D73">
      <w:pPr>
        <w:rPr>
          <w:szCs w:val="18"/>
        </w:rPr>
      </w:pPr>
    </w:p>
    <w:tbl>
      <w:tblPr>
        <w:tblStyle w:val="Tabelraster9"/>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256BA2" w:rsidR="000E7491" w:rsidTr="00C437F8" w14:paraId="26D41AFA"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56BA2" w:rsidR="000E7491" w:rsidP="00C437F8" w:rsidRDefault="000E7491" w14:paraId="47D29C57" w14:textId="77777777">
            <w:pPr>
              <w:numPr>
                <w:ilvl w:val="0"/>
                <w:numId w:val="10"/>
              </w:numPr>
              <w:spacing w:after="240"/>
              <w:ind w:left="312"/>
              <w:contextualSpacing/>
              <w:rPr>
                <w:color w:val="595959" w:themeColor="text1" w:themeTint="A6"/>
                <w:szCs w:val="18"/>
              </w:rPr>
            </w:pPr>
          </w:p>
        </w:tc>
        <w:tc>
          <w:tcPr>
            <w:tcW w:w="1035" w:type="dxa"/>
          </w:tcPr>
          <w:p w:rsidRPr="00256BA2" w:rsidR="000E7491" w:rsidP="00C437F8" w:rsidRDefault="000E7491" w14:paraId="75C49D87" w14:textId="77777777">
            <w:pPr>
              <w:spacing w:after="240"/>
              <w:rPr>
                <w:color w:val="595959" w:themeColor="text1" w:themeTint="A6"/>
                <w:szCs w:val="18"/>
              </w:rPr>
            </w:pPr>
            <w:r w:rsidRPr="00256BA2">
              <w:rPr>
                <w:color w:val="595959" w:themeColor="text1" w:themeTint="A6"/>
                <w:szCs w:val="18"/>
              </w:rPr>
              <w:t>Titel</w:t>
            </w:r>
          </w:p>
        </w:tc>
        <w:tc>
          <w:tcPr>
            <w:tcW w:w="6529" w:type="dxa"/>
          </w:tcPr>
          <w:p w:rsidRPr="00256BA2" w:rsidR="000E7491" w:rsidP="00C437F8" w:rsidRDefault="000E7491" w14:paraId="12DC41C7" w14:textId="77777777">
            <w:pPr>
              <w:spacing w:after="240"/>
              <w:rPr>
                <w:b/>
                <w:color w:val="595959" w:themeColor="text1" w:themeTint="A6"/>
                <w:szCs w:val="18"/>
              </w:rPr>
            </w:pPr>
            <w:r w:rsidRPr="00256BA2">
              <w:rPr>
                <w:szCs w:val="18"/>
                <w:lang w:val="en-US"/>
              </w:rPr>
              <w:t xml:space="preserve">REPORT FROM THE COMMISSION TO THE EUROPEAN PARLIAMENT, THE COUNCIL AND THE EUROPEAN ECONOMIC AND SOCIAL COMMITTEE Alert Mechanism Report 2022 Prepared in accordance with Articles 3 and 4 of Regulation (EU) No 1176/2011 on the prevention and correction of macroeconomic imbalances </w:t>
            </w:r>
            <w:hyperlink w:history="1" r:id="rId28">
              <w:r w:rsidRPr="00256BA2">
                <w:rPr>
                  <w:rStyle w:val="Hyperlink"/>
                  <w:szCs w:val="18"/>
                  <w:lang w:val="en-US"/>
                </w:rPr>
                <w:t>COM (2021) 741</w:t>
              </w:r>
            </w:hyperlink>
          </w:p>
        </w:tc>
      </w:tr>
      <w:tr w:rsidRPr="00256BA2" w:rsidR="000E7491" w:rsidTr="00C437F8" w14:paraId="2F4A7628"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0E7491" w:rsidP="00C437F8" w:rsidRDefault="000E7491" w14:paraId="321BBEB0" w14:textId="77777777">
            <w:pPr>
              <w:spacing w:after="240"/>
              <w:rPr>
                <w:szCs w:val="18"/>
              </w:rPr>
            </w:pPr>
          </w:p>
        </w:tc>
        <w:tc>
          <w:tcPr>
            <w:tcW w:w="1035" w:type="dxa"/>
          </w:tcPr>
          <w:p w:rsidRPr="00256BA2" w:rsidR="000E7491" w:rsidP="00C437F8" w:rsidRDefault="000E7491" w14:paraId="6D6F45EB" w14:textId="77777777">
            <w:pPr>
              <w:spacing w:after="240"/>
              <w:rPr>
                <w:szCs w:val="18"/>
              </w:rPr>
            </w:pPr>
            <w:r w:rsidRPr="00256BA2">
              <w:rPr>
                <w:szCs w:val="18"/>
              </w:rPr>
              <w:t>Voorstel</w:t>
            </w:r>
          </w:p>
        </w:tc>
        <w:tc>
          <w:tcPr>
            <w:tcW w:w="6529" w:type="dxa"/>
          </w:tcPr>
          <w:p w:rsidRPr="00256BA2" w:rsidR="000E7491" w:rsidP="00C437F8" w:rsidRDefault="00BA6ACC" w14:paraId="60DA3C5C" w14:textId="3E864546">
            <w:pPr>
              <w:spacing w:after="240"/>
              <w:rPr>
                <w:szCs w:val="18"/>
              </w:rPr>
            </w:pPr>
            <w:r>
              <w:rPr>
                <w:szCs w:val="18"/>
              </w:rPr>
              <w:t>Desgewenst betrekken bij</w:t>
            </w:r>
            <w:r w:rsidRPr="00256BA2" w:rsidR="00894C13">
              <w:rPr>
                <w:szCs w:val="18"/>
              </w:rPr>
              <w:t xml:space="preserve"> voor het Commissiedebat Eurogroep/</w:t>
            </w:r>
            <w:proofErr w:type="spellStart"/>
            <w:r w:rsidRPr="00256BA2" w:rsidR="00894C13">
              <w:rPr>
                <w:szCs w:val="18"/>
              </w:rPr>
              <w:t>Ecofin</w:t>
            </w:r>
            <w:proofErr w:type="spellEnd"/>
            <w:r w:rsidRPr="00256BA2" w:rsidR="00894C13">
              <w:rPr>
                <w:szCs w:val="18"/>
              </w:rPr>
              <w:t xml:space="preserve"> van 13 januari 2022</w:t>
            </w:r>
          </w:p>
        </w:tc>
      </w:tr>
      <w:tr w:rsidRPr="00256BA2" w:rsidR="00894C13" w:rsidTr="00C437F8" w14:paraId="628A7F58"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894C13" w:rsidP="00894C13" w:rsidRDefault="00894C13" w14:paraId="56A3A31D" w14:textId="77777777">
            <w:pPr>
              <w:spacing w:after="240"/>
              <w:rPr>
                <w:color w:val="595959" w:themeColor="text1" w:themeTint="A6"/>
                <w:szCs w:val="18"/>
              </w:rPr>
            </w:pPr>
          </w:p>
        </w:tc>
        <w:tc>
          <w:tcPr>
            <w:tcW w:w="1035" w:type="dxa"/>
          </w:tcPr>
          <w:p w:rsidRPr="00256BA2" w:rsidR="00894C13" w:rsidP="00894C13" w:rsidRDefault="00894C13" w14:paraId="5EB56D6B" w14:textId="77777777">
            <w:pPr>
              <w:spacing w:after="240"/>
              <w:rPr>
                <w:color w:val="595959" w:themeColor="text1" w:themeTint="A6"/>
                <w:szCs w:val="18"/>
              </w:rPr>
            </w:pPr>
            <w:r w:rsidRPr="00256BA2">
              <w:rPr>
                <w:color w:val="595959" w:themeColor="text1" w:themeTint="A6"/>
                <w:szCs w:val="18"/>
              </w:rPr>
              <w:t>Noot</w:t>
            </w:r>
          </w:p>
        </w:tc>
        <w:tc>
          <w:tcPr>
            <w:tcW w:w="6529" w:type="dxa"/>
          </w:tcPr>
          <w:p w:rsidRPr="00256BA2" w:rsidR="00894C13" w:rsidP="00894C13" w:rsidRDefault="00894C13" w14:paraId="71339290" w14:textId="13EBC55C">
            <w:pPr>
              <w:spacing w:after="240"/>
              <w:rPr>
                <w:color w:val="595959" w:themeColor="text1" w:themeTint="A6"/>
                <w:szCs w:val="18"/>
              </w:rPr>
            </w:pPr>
            <w:r w:rsidRPr="00256BA2">
              <w:rPr>
                <w:color w:val="595959" w:themeColor="text1" w:themeTint="A6"/>
                <w:szCs w:val="18"/>
              </w:rPr>
              <w:t xml:space="preserve">In het Alert </w:t>
            </w:r>
            <w:proofErr w:type="spellStart"/>
            <w:r w:rsidRPr="00256BA2">
              <w:rPr>
                <w:color w:val="595959" w:themeColor="text1" w:themeTint="A6"/>
                <w:szCs w:val="18"/>
              </w:rPr>
              <w:t>Mechanism</w:t>
            </w:r>
            <w:proofErr w:type="spellEnd"/>
            <w:r w:rsidRPr="00256BA2">
              <w:rPr>
                <w:color w:val="595959" w:themeColor="text1" w:themeTint="A6"/>
                <w:szCs w:val="18"/>
              </w:rPr>
              <w:t xml:space="preserve"> Report worden aan de hand van een scorebord met indicatoren mogelijke macro-economische onevenwichtigheden opgespoord en bepaald welke lidstaten onderworpen worden aan nader onderzoek. Dit zijn in 2022 12 lidstaten, waaronder Nederland. Deze onderzoeken moeten uitwijzen of en in welke mate de betreffende lidstaten te kampen hebben met macro-economische onevenwichtigheden en in hoeverre deze een risico vormen voor de lidstaten zelf, de Economische en Monetaire Unie, of de Europese Unie als geheel. De </w:t>
            </w:r>
            <w:proofErr w:type="spellStart"/>
            <w:r w:rsidRPr="00256BA2">
              <w:rPr>
                <w:color w:val="595959" w:themeColor="text1" w:themeTint="A6"/>
                <w:szCs w:val="18"/>
              </w:rPr>
              <w:t>Ecofinraad</w:t>
            </w:r>
            <w:proofErr w:type="spellEnd"/>
            <w:r w:rsidRPr="00256BA2">
              <w:rPr>
                <w:color w:val="595959" w:themeColor="text1" w:themeTint="A6"/>
                <w:szCs w:val="18"/>
              </w:rPr>
              <w:t xml:space="preserve"> neemt waarschijnlijk in januari conclusies aan over het Alert </w:t>
            </w:r>
            <w:proofErr w:type="spellStart"/>
            <w:r w:rsidRPr="00256BA2">
              <w:rPr>
                <w:color w:val="595959" w:themeColor="text1" w:themeTint="A6"/>
                <w:szCs w:val="18"/>
              </w:rPr>
              <w:t>Mechanism</w:t>
            </w:r>
            <w:proofErr w:type="spellEnd"/>
            <w:r w:rsidRPr="00256BA2">
              <w:rPr>
                <w:color w:val="595959" w:themeColor="text1" w:themeTint="A6"/>
                <w:szCs w:val="18"/>
              </w:rPr>
              <w:t xml:space="preserve"> Report.</w:t>
            </w:r>
          </w:p>
        </w:tc>
      </w:tr>
    </w:tbl>
    <w:p w:rsidRPr="00256BA2" w:rsidR="000E7491" w:rsidP="002A4BD8" w:rsidRDefault="000E7491" w14:paraId="0CB9F9CA" w14:textId="625AB911">
      <w:pPr>
        <w:rPr>
          <w:szCs w:val="18"/>
        </w:rPr>
      </w:pPr>
    </w:p>
    <w:tbl>
      <w:tblPr>
        <w:tblStyle w:val="Tabelraster10"/>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256BA2" w:rsidR="000E7491" w:rsidTr="00C437F8" w14:paraId="336B48A4"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56BA2" w:rsidR="000E7491" w:rsidP="00C437F8" w:rsidRDefault="000E7491" w14:paraId="6C3A073D" w14:textId="77777777">
            <w:pPr>
              <w:numPr>
                <w:ilvl w:val="0"/>
                <w:numId w:val="10"/>
              </w:numPr>
              <w:spacing w:after="240"/>
              <w:ind w:left="312"/>
              <w:contextualSpacing/>
              <w:rPr>
                <w:color w:val="595959" w:themeColor="text1" w:themeTint="A6"/>
                <w:szCs w:val="18"/>
              </w:rPr>
            </w:pPr>
          </w:p>
        </w:tc>
        <w:tc>
          <w:tcPr>
            <w:tcW w:w="1035" w:type="dxa"/>
          </w:tcPr>
          <w:p w:rsidRPr="00256BA2" w:rsidR="000E7491" w:rsidP="00C437F8" w:rsidRDefault="000E7491" w14:paraId="0934AB18" w14:textId="77777777">
            <w:pPr>
              <w:spacing w:after="240"/>
              <w:rPr>
                <w:color w:val="595959" w:themeColor="text1" w:themeTint="A6"/>
                <w:szCs w:val="18"/>
              </w:rPr>
            </w:pPr>
            <w:r w:rsidRPr="00256BA2">
              <w:rPr>
                <w:color w:val="595959" w:themeColor="text1" w:themeTint="A6"/>
                <w:szCs w:val="18"/>
              </w:rPr>
              <w:t>Titel</w:t>
            </w:r>
          </w:p>
        </w:tc>
        <w:tc>
          <w:tcPr>
            <w:tcW w:w="6529" w:type="dxa"/>
          </w:tcPr>
          <w:p w:rsidRPr="00256BA2" w:rsidR="000E7491" w:rsidP="00C437F8" w:rsidRDefault="000E7491" w14:paraId="0F6511DF" w14:textId="4CA8CD64">
            <w:pPr>
              <w:spacing w:after="240"/>
              <w:rPr>
                <w:szCs w:val="18"/>
                <w:lang w:val="en-US" w:eastAsia="nl-NL"/>
              </w:rPr>
            </w:pPr>
            <w:r w:rsidRPr="00256BA2">
              <w:rPr>
                <w:szCs w:val="18"/>
                <w:lang w:val="en-US"/>
              </w:rPr>
              <w:t xml:space="preserve">COMMUNICATION FROM THE COMMISSION TO THE EUROPEAN PARLIAMENT, THE EUROPEAN COUNCIL, THE COUNCIL, THE EUROPEAN CENTRAL BANK, THE EUROPEAN ECONOMIC AND SOCIAL COMMITTEE, THE COMMITTEE OF THE REGIONS AND THE EUROPEAN INVESTMENT BANK Annual Sustainable Growth Survey 2022 </w:t>
            </w:r>
            <w:hyperlink w:history="1" r:id="rId29">
              <w:r w:rsidRPr="00256BA2">
                <w:rPr>
                  <w:rStyle w:val="Hyperlink"/>
                  <w:szCs w:val="18"/>
                  <w:lang w:val="en-US"/>
                </w:rPr>
                <w:t>COM (2021) 740</w:t>
              </w:r>
            </w:hyperlink>
          </w:p>
        </w:tc>
      </w:tr>
      <w:tr w:rsidRPr="00256BA2" w:rsidR="000E7491" w:rsidTr="00C437F8" w14:paraId="308C42BA"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0E7491" w:rsidP="00C437F8" w:rsidRDefault="000E7491" w14:paraId="35CE90FF" w14:textId="77777777">
            <w:pPr>
              <w:spacing w:after="240"/>
              <w:rPr>
                <w:szCs w:val="18"/>
              </w:rPr>
            </w:pPr>
          </w:p>
        </w:tc>
        <w:tc>
          <w:tcPr>
            <w:tcW w:w="1035" w:type="dxa"/>
          </w:tcPr>
          <w:p w:rsidRPr="00256BA2" w:rsidR="000E7491" w:rsidP="00C437F8" w:rsidRDefault="000E7491" w14:paraId="509D632C" w14:textId="77777777">
            <w:pPr>
              <w:spacing w:after="240"/>
              <w:rPr>
                <w:szCs w:val="18"/>
              </w:rPr>
            </w:pPr>
            <w:r w:rsidRPr="00256BA2">
              <w:rPr>
                <w:szCs w:val="18"/>
              </w:rPr>
              <w:t>Voorstel</w:t>
            </w:r>
          </w:p>
        </w:tc>
        <w:tc>
          <w:tcPr>
            <w:tcW w:w="6529" w:type="dxa"/>
          </w:tcPr>
          <w:p w:rsidRPr="00256BA2" w:rsidR="000E7491" w:rsidP="00C437F8" w:rsidRDefault="00BA6ACC" w14:paraId="40F27556" w14:textId="10B7EFFF">
            <w:pPr>
              <w:spacing w:after="240"/>
              <w:rPr>
                <w:szCs w:val="18"/>
              </w:rPr>
            </w:pPr>
            <w:r>
              <w:rPr>
                <w:szCs w:val="18"/>
              </w:rPr>
              <w:t>Desgewenst betrekken bij</w:t>
            </w:r>
            <w:r w:rsidRPr="00256BA2" w:rsidR="00417D86">
              <w:rPr>
                <w:szCs w:val="18"/>
              </w:rPr>
              <w:t xml:space="preserve"> het Commissiedebat Eurogroep/</w:t>
            </w:r>
            <w:proofErr w:type="spellStart"/>
            <w:r w:rsidRPr="00256BA2" w:rsidR="00417D86">
              <w:rPr>
                <w:szCs w:val="18"/>
              </w:rPr>
              <w:t>Ecofin</w:t>
            </w:r>
            <w:proofErr w:type="spellEnd"/>
            <w:r w:rsidRPr="00256BA2" w:rsidR="00417D86">
              <w:rPr>
                <w:szCs w:val="18"/>
              </w:rPr>
              <w:t xml:space="preserve"> van 13 januari 2022</w:t>
            </w:r>
          </w:p>
        </w:tc>
      </w:tr>
      <w:tr w:rsidRPr="00256BA2" w:rsidR="000E7491" w:rsidTr="00C437F8" w14:paraId="0FE199E0"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0E7491" w:rsidP="00C437F8" w:rsidRDefault="000E7491" w14:paraId="0FE8B549" w14:textId="77777777">
            <w:pPr>
              <w:spacing w:after="240"/>
              <w:rPr>
                <w:color w:val="595959" w:themeColor="text1" w:themeTint="A6"/>
                <w:szCs w:val="18"/>
              </w:rPr>
            </w:pPr>
          </w:p>
        </w:tc>
        <w:tc>
          <w:tcPr>
            <w:tcW w:w="1035" w:type="dxa"/>
          </w:tcPr>
          <w:p w:rsidRPr="00256BA2" w:rsidR="000E7491" w:rsidP="00C437F8" w:rsidRDefault="000E7491" w14:paraId="6D7F7195" w14:textId="77777777">
            <w:pPr>
              <w:spacing w:after="240"/>
              <w:rPr>
                <w:color w:val="595959" w:themeColor="text1" w:themeTint="A6"/>
                <w:szCs w:val="18"/>
              </w:rPr>
            </w:pPr>
            <w:r w:rsidRPr="00256BA2">
              <w:rPr>
                <w:color w:val="595959" w:themeColor="text1" w:themeTint="A6"/>
                <w:szCs w:val="18"/>
              </w:rPr>
              <w:t>Noot</w:t>
            </w:r>
          </w:p>
        </w:tc>
        <w:tc>
          <w:tcPr>
            <w:tcW w:w="6529" w:type="dxa"/>
          </w:tcPr>
          <w:p w:rsidRPr="00256BA2" w:rsidR="000E7491" w:rsidP="00417D86" w:rsidRDefault="00894C13" w14:paraId="4D354695" w14:textId="127F19C0">
            <w:pPr>
              <w:spacing w:after="240"/>
              <w:rPr>
                <w:color w:val="595959" w:themeColor="text1" w:themeTint="A6"/>
                <w:szCs w:val="18"/>
              </w:rPr>
            </w:pPr>
            <w:r w:rsidRPr="00256BA2">
              <w:rPr>
                <w:color w:val="595959" w:themeColor="text1" w:themeTint="A6"/>
                <w:szCs w:val="18"/>
              </w:rPr>
              <w:t xml:space="preserve">In de </w:t>
            </w:r>
            <w:proofErr w:type="spellStart"/>
            <w:r w:rsidRPr="00256BA2">
              <w:rPr>
                <w:color w:val="595959" w:themeColor="text1" w:themeTint="A6"/>
                <w:szCs w:val="18"/>
              </w:rPr>
              <w:t>Annual</w:t>
            </w:r>
            <w:proofErr w:type="spellEnd"/>
            <w:r w:rsidRPr="00256BA2">
              <w:rPr>
                <w:color w:val="595959" w:themeColor="text1" w:themeTint="A6"/>
                <w:szCs w:val="18"/>
              </w:rPr>
              <w:t xml:space="preserve"> </w:t>
            </w:r>
            <w:proofErr w:type="spellStart"/>
            <w:r w:rsidRPr="00256BA2">
              <w:rPr>
                <w:color w:val="595959" w:themeColor="text1" w:themeTint="A6"/>
                <w:szCs w:val="18"/>
              </w:rPr>
              <w:t>Sustainable</w:t>
            </w:r>
            <w:proofErr w:type="spellEnd"/>
            <w:r w:rsidRPr="00256BA2">
              <w:rPr>
                <w:color w:val="595959" w:themeColor="text1" w:themeTint="A6"/>
                <w:szCs w:val="18"/>
              </w:rPr>
              <w:t xml:space="preserve"> </w:t>
            </w:r>
            <w:proofErr w:type="spellStart"/>
            <w:r w:rsidRPr="00256BA2">
              <w:rPr>
                <w:color w:val="595959" w:themeColor="text1" w:themeTint="A6"/>
                <w:szCs w:val="18"/>
              </w:rPr>
              <w:t>Growth</w:t>
            </w:r>
            <w:proofErr w:type="spellEnd"/>
            <w:r w:rsidRPr="00256BA2">
              <w:rPr>
                <w:color w:val="595959" w:themeColor="text1" w:themeTint="A6"/>
                <w:szCs w:val="18"/>
              </w:rPr>
              <w:t xml:space="preserve"> </w:t>
            </w:r>
            <w:proofErr w:type="spellStart"/>
            <w:r w:rsidRPr="00256BA2">
              <w:rPr>
                <w:color w:val="595959" w:themeColor="text1" w:themeTint="A6"/>
                <w:szCs w:val="18"/>
              </w:rPr>
              <w:t>Strategy</w:t>
            </w:r>
            <w:proofErr w:type="spellEnd"/>
            <w:r w:rsidRPr="00256BA2">
              <w:rPr>
                <w:color w:val="595959" w:themeColor="text1" w:themeTint="A6"/>
                <w:szCs w:val="18"/>
              </w:rPr>
              <w:t xml:space="preserve"> blikt de Europese Commissie vooruit op de belangrijkste economische beleidsuitdagingen voor het komende jaar. De prioriteiten zijn door de Commissie onderverdeeld in vier gebieden: 1) klimaatbeleid, 2) productiviteit, 3) rechtvaardigheid en 4) macro-economische stabiliteit, en hebben tot doel om de economie duurzamer, veerkrachtiger en inclusiever te maken.</w:t>
            </w:r>
            <w:r w:rsidRPr="00256BA2" w:rsidR="00417D86">
              <w:rPr>
                <w:color w:val="595959" w:themeColor="text1" w:themeTint="A6"/>
                <w:szCs w:val="18"/>
              </w:rPr>
              <w:t xml:space="preserve"> De </w:t>
            </w:r>
            <w:proofErr w:type="spellStart"/>
            <w:r w:rsidRPr="00256BA2" w:rsidR="00417D86">
              <w:rPr>
                <w:color w:val="595959" w:themeColor="text1" w:themeTint="A6"/>
                <w:szCs w:val="18"/>
              </w:rPr>
              <w:t>Ecofinraad</w:t>
            </w:r>
            <w:proofErr w:type="spellEnd"/>
            <w:r w:rsidRPr="00256BA2" w:rsidR="00417D86">
              <w:rPr>
                <w:color w:val="595959" w:themeColor="text1" w:themeTint="A6"/>
                <w:szCs w:val="18"/>
              </w:rPr>
              <w:t xml:space="preserve"> neemt waarschijnlijk in januari conclusies aan over het </w:t>
            </w:r>
            <w:proofErr w:type="spellStart"/>
            <w:r w:rsidRPr="00256BA2" w:rsidR="00417D86">
              <w:rPr>
                <w:color w:val="595959" w:themeColor="text1" w:themeTint="A6"/>
                <w:szCs w:val="18"/>
              </w:rPr>
              <w:t>Annual</w:t>
            </w:r>
            <w:proofErr w:type="spellEnd"/>
            <w:r w:rsidRPr="00256BA2" w:rsidR="00417D86">
              <w:rPr>
                <w:color w:val="595959" w:themeColor="text1" w:themeTint="A6"/>
                <w:szCs w:val="18"/>
              </w:rPr>
              <w:t xml:space="preserve"> </w:t>
            </w:r>
            <w:proofErr w:type="spellStart"/>
            <w:r w:rsidRPr="00256BA2" w:rsidR="00417D86">
              <w:rPr>
                <w:color w:val="595959" w:themeColor="text1" w:themeTint="A6"/>
                <w:szCs w:val="18"/>
              </w:rPr>
              <w:t>Sustainable</w:t>
            </w:r>
            <w:proofErr w:type="spellEnd"/>
            <w:r w:rsidRPr="00256BA2" w:rsidR="00417D86">
              <w:rPr>
                <w:color w:val="595959" w:themeColor="text1" w:themeTint="A6"/>
                <w:szCs w:val="18"/>
              </w:rPr>
              <w:t xml:space="preserve"> </w:t>
            </w:r>
            <w:proofErr w:type="spellStart"/>
            <w:r w:rsidRPr="00256BA2" w:rsidR="00417D86">
              <w:rPr>
                <w:color w:val="595959" w:themeColor="text1" w:themeTint="A6"/>
                <w:szCs w:val="18"/>
              </w:rPr>
              <w:t>Growth</w:t>
            </w:r>
            <w:proofErr w:type="spellEnd"/>
            <w:r w:rsidRPr="00256BA2" w:rsidR="00417D86">
              <w:rPr>
                <w:color w:val="595959" w:themeColor="text1" w:themeTint="A6"/>
                <w:szCs w:val="18"/>
              </w:rPr>
              <w:t xml:space="preserve"> </w:t>
            </w:r>
            <w:proofErr w:type="spellStart"/>
            <w:r w:rsidRPr="00256BA2" w:rsidR="00417D86">
              <w:rPr>
                <w:color w:val="595959" w:themeColor="text1" w:themeTint="A6"/>
                <w:szCs w:val="18"/>
              </w:rPr>
              <w:t>Strategy</w:t>
            </w:r>
            <w:proofErr w:type="spellEnd"/>
            <w:r w:rsidRPr="00256BA2" w:rsidR="00417D86">
              <w:rPr>
                <w:color w:val="595959" w:themeColor="text1" w:themeTint="A6"/>
                <w:szCs w:val="18"/>
              </w:rPr>
              <w:t>.</w:t>
            </w:r>
          </w:p>
        </w:tc>
      </w:tr>
    </w:tbl>
    <w:p w:rsidRPr="00256BA2" w:rsidR="000E7491" w:rsidP="002A4BD8" w:rsidRDefault="000E7491" w14:paraId="4D7A9A57" w14:textId="77777777">
      <w:pPr>
        <w:rPr>
          <w:szCs w:val="18"/>
        </w:rPr>
      </w:pPr>
    </w:p>
    <w:p w:rsidRPr="00256BA2" w:rsidR="000E7491" w:rsidP="002A4BD8" w:rsidRDefault="000E7491" w14:paraId="5C2D6C1E" w14:textId="77777777">
      <w:pPr>
        <w:rPr>
          <w:szCs w:val="18"/>
        </w:rPr>
      </w:pPr>
    </w:p>
    <w:tbl>
      <w:tblPr>
        <w:tblStyle w:val="Tabelraster7"/>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256BA2" w:rsidR="000E7491" w:rsidTr="00C437F8" w14:paraId="41DE94FD"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56BA2" w:rsidR="000E7491" w:rsidP="00C437F8" w:rsidRDefault="000E7491" w14:paraId="4CFF8BA5" w14:textId="77777777">
            <w:pPr>
              <w:numPr>
                <w:ilvl w:val="0"/>
                <w:numId w:val="10"/>
              </w:numPr>
              <w:spacing w:after="240"/>
              <w:ind w:left="312"/>
              <w:contextualSpacing/>
              <w:rPr>
                <w:color w:val="595959" w:themeColor="text1" w:themeTint="A6"/>
                <w:szCs w:val="18"/>
              </w:rPr>
            </w:pPr>
          </w:p>
        </w:tc>
        <w:tc>
          <w:tcPr>
            <w:tcW w:w="1035" w:type="dxa"/>
          </w:tcPr>
          <w:p w:rsidRPr="00256BA2" w:rsidR="000E7491" w:rsidP="00C437F8" w:rsidRDefault="000E7491" w14:paraId="029D1A5A" w14:textId="77777777">
            <w:pPr>
              <w:spacing w:after="240"/>
              <w:rPr>
                <w:color w:val="595959" w:themeColor="text1" w:themeTint="A6"/>
                <w:szCs w:val="18"/>
              </w:rPr>
            </w:pPr>
            <w:r w:rsidRPr="00256BA2">
              <w:rPr>
                <w:color w:val="595959" w:themeColor="text1" w:themeTint="A6"/>
                <w:szCs w:val="18"/>
              </w:rPr>
              <w:t>Titel</w:t>
            </w:r>
          </w:p>
        </w:tc>
        <w:tc>
          <w:tcPr>
            <w:tcW w:w="6529" w:type="dxa"/>
          </w:tcPr>
          <w:p w:rsidRPr="00256BA2" w:rsidR="000E7491" w:rsidP="00C437F8" w:rsidRDefault="000E7491" w14:paraId="4705BADD" w14:textId="7A1220FC">
            <w:pPr>
              <w:spacing w:after="240"/>
              <w:rPr>
                <w:szCs w:val="18"/>
                <w:lang w:val="en-US" w:eastAsia="nl-NL"/>
              </w:rPr>
            </w:pPr>
            <w:r w:rsidRPr="00256BA2">
              <w:rPr>
                <w:szCs w:val="18"/>
                <w:lang w:val="en-US"/>
              </w:rPr>
              <w:t xml:space="preserve">COMMUNICATION FROM THE COMMISSION Assessment of action taken by Romania in response to the Council Recommendation of 18 June 2021 with a view to bringing an end to the situation of an excessive government deficit in Romania </w:t>
            </w:r>
            <w:hyperlink w:history="1" r:id="rId30">
              <w:r w:rsidRPr="00256BA2">
                <w:rPr>
                  <w:rStyle w:val="Hyperlink"/>
                  <w:szCs w:val="18"/>
                  <w:lang w:val="en-US"/>
                </w:rPr>
                <w:t>COM (2021) 915</w:t>
              </w:r>
            </w:hyperlink>
          </w:p>
        </w:tc>
      </w:tr>
      <w:tr w:rsidRPr="00256BA2" w:rsidR="000E7491" w:rsidTr="00C437F8" w14:paraId="05AFEF68"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0E7491" w:rsidP="00C437F8" w:rsidRDefault="000E7491" w14:paraId="13068C8C" w14:textId="77777777">
            <w:pPr>
              <w:spacing w:after="240"/>
              <w:rPr>
                <w:szCs w:val="18"/>
              </w:rPr>
            </w:pPr>
          </w:p>
        </w:tc>
        <w:tc>
          <w:tcPr>
            <w:tcW w:w="1035" w:type="dxa"/>
          </w:tcPr>
          <w:p w:rsidRPr="00256BA2" w:rsidR="000E7491" w:rsidP="00C437F8" w:rsidRDefault="000E7491" w14:paraId="7D4A9A24" w14:textId="77777777">
            <w:pPr>
              <w:spacing w:after="240"/>
              <w:rPr>
                <w:szCs w:val="18"/>
              </w:rPr>
            </w:pPr>
            <w:r w:rsidRPr="00256BA2">
              <w:rPr>
                <w:szCs w:val="18"/>
              </w:rPr>
              <w:t>Voorstel</w:t>
            </w:r>
          </w:p>
        </w:tc>
        <w:tc>
          <w:tcPr>
            <w:tcW w:w="6529" w:type="dxa"/>
          </w:tcPr>
          <w:p w:rsidRPr="00256BA2" w:rsidR="000E7491" w:rsidP="00C437F8" w:rsidRDefault="003E3FAF" w14:paraId="32085BA1" w14:textId="21BC6AC7">
            <w:pPr>
              <w:spacing w:after="240"/>
              <w:rPr>
                <w:szCs w:val="18"/>
              </w:rPr>
            </w:pPr>
            <w:r w:rsidRPr="00256BA2">
              <w:rPr>
                <w:szCs w:val="18"/>
              </w:rPr>
              <w:t>Desgewenst betrokken bij het commissiedebat Eurogroep/</w:t>
            </w:r>
            <w:proofErr w:type="spellStart"/>
            <w:r w:rsidRPr="00256BA2">
              <w:rPr>
                <w:szCs w:val="18"/>
              </w:rPr>
              <w:t>Ecofin</w:t>
            </w:r>
            <w:proofErr w:type="spellEnd"/>
            <w:r w:rsidRPr="00256BA2">
              <w:rPr>
                <w:szCs w:val="18"/>
              </w:rPr>
              <w:t xml:space="preserve"> van 2 december jl.</w:t>
            </w:r>
          </w:p>
        </w:tc>
      </w:tr>
      <w:tr w:rsidRPr="00256BA2" w:rsidR="000E7491" w:rsidTr="00C437F8" w14:paraId="57E9A29A"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0E7491" w:rsidP="00C437F8" w:rsidRDefault="000E7491" w14:paraId="498019EF" w14:textId="77777777">
            <w:pPr>
              <w:spacing w:after="240"/>
              <w:rPr>
                <w:color w:val="595959" w:themeColor="text1" w:themeTint="A6"/>
                <w:szCs w:val="18"/>
              </w:rPr>
            </w:pPr>
          </w:p>
        </w:tc>
        <w:tc>
          <w:tcPr>
            <w:tcW w:w="1035" w:type="dxa"/>
          </w:tcPr>
          <w:p w:rsidRPr="00256BA2" w:rsidR="000E7491" w:rsidP="00C437F8" w:rsidRDefault="000E7491" w14:paraId="526FC5A8" w14:textId="77777777">
            <w:pPr>
              <w:spacing w:after="240"/>
              <w:rPr>
                <w:color w:val="595959" w:themeColor="text1" w:themeTint="A6"/>
                <w:szCs w:val="18"/>
              </w:rPr>
            </w:pPr>
            <w:r w:rsidRPr="00256BA2">
              <w:rPr>
                <w:color w:val="595959" w:themeColor="text1" w:themeTint="A6"/>
                <w:szCs w:val="18"/>
              </w:rPr>
              <w:t>Noot</w:t>
            </w:r>
          </w:p>
        </w:tc>
        <w:tc>
          <w:tcPr>
            <w:tcW w:w="6529" w:type="dxa"/>
          </w:tcPr>
          <w:p w:rsidRPr="00256BA2" w:rsidR="000E7491" w:rsidP="003E3FAF" w:rsidRDefault="00EF41FD" w14:paraId="24FEA416" w14:textId="4DA43D73">
            <w:pPr>
              <w:spacing w:after="240"/>
              <w:rPr>
                <w:color w:val="595959" w:themeColor="text1" w:themeTint="A6"/>
                <w:szCs w:val="18"/>
              </w:rPr>
            </w:pPr>
            <w:r w:rsidRPr="00256BA2">
              <w:rPr>
                <w:color w:val="595959" w:themeColor="text1" w:themeTint="A6"/>
                <w:szCs w:val="18"/>
              </w:rPr>
              <w:t xml:space="preserve">Dit betreft een communicatie over Roemenië, dat sinds 2020 in een buitensporig tekortprocedure zit. In dit document worden de maatregelen die Roemenië heeft genomen om het buitensporige tekort uiterlijk 2024 terug te brengen, in lijn met de Aanbeveling van de Raad uit juni 2021. De Commissie concludeert dat de door de tijdelijke regering van Roemenië aangedragen maatregelen slecht </w:t>
            </w:r>
            <w:r w:rsidRPr="00256BA2" w:rsidR="003E3FAF">
              <w:rPr>
                <w:color w:val="595959" w:themeColor="text1" w:themeTint="A6"/>
                <w:szCs w:val="18"/>
              </w:rPr>
              <w:t>gericht zijn</w:t>
            </w:r>
            <w:r w:rsidRPr="00256BA2">
              <w:rPr>
                <w:color w:val="595959" w:themeColor="text1" w:themeTint="A6"/>
                <w:szCs w:val="18"/>
              </w:rPr>
              <w:t xml:space="preserve"> op 2021 en dat compliance met de maatregelen in 2022-2024 beleidswijzigingen vraagt. </w:t>
            </w:r>
            <w:r w:rsidRPr="00256BA2" w:rsidR="003E3FAF">
              <w:rPr>
                <w:color w:val="595959" w:themeColor="text1" w:themeTint="A6"/>
                <w:szCs w:val="18"/>
              </w:rPr>
              <w:t xml:space="preserve">De Commissie verwacht van de nog te vormen Roemeense regering een begroting voor 2022 en een </w:t>
            </w:r>
            <w:r w:rsidRPr="00256BA2" w:rsidR="003E3FAF">
              <w:rPr>
                <w:color w:val="595959" w:themeColor="text1" w:themeTint="A6"/>
                <w:szCs w:val="18"/>
              </w:rPr>
              <w:lastRenderedPageBreak/>
              <w:t xml:space="preserve">medium-term fiscale strategie in lijn met de Raadsaanbevelingen uit 2021. </w:t>
            </w:r>
          </w:p>
        </w:tc>
      </w:tr>
    </w:tbl>
    <w:p w:rsidRPr="00256BA2" w:rsidR="000E7491" w:rsidP="002A4BD8" w:rsidRDefault="000E7491" w14:paraId="0E369AA0" w14:textId="1D59707B">
      <w:pPr>
        <w:rPr>
          <w:szCs w:val="18"/>
        </w:rPr>
      </w:pPr>
    </w:p>
    <w:tbl>
      <w:tblPr>
        <w:tblStyle w:val="Tabelraster9"/>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256BA2" w:rsidR="000E7491" w:rsidTr="00C437F8" w14:paraId="6A94E1A0"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56BA2" w:rsidR="000E7491" w:rsidP="00C437F8" w:rsidRDefault="000E7491" w14:paraId="73B2AA66" w14:textId="77777777">
            <w:pPr>
              <w:numPr>
                <w:ilvl w:val="0"/>
                <w:numId w:val="10"/>
              </w:numPr>
              <w:spacing w:after="240"/>
              <w:ind w:left="312"/>
              <w:contextualSpacing/>
              <w:rPr>
                <w:color w:val="595959" w:themeColor="text1" w:themeTint="A6"/>
                <w:szCs w:val="18"/>
              </w:rPr>
            </w:pPr>
          </w:p>
        </w:tc>
        <w:tc>
          <w:tcPr>
            <w:tcW w:w="1035" w:type="dxa"/>
          </w:tcPr>
          <w:p w:rsidRPr="00256BA2" w:rsidR="000E7491" w:rsidP="00C437F8" w:rsidRDefault="000E7491" w14:paraId="28400DF5" w14:textId="77777777">
            <w:pPr>
              <w:spacing w:after="240"/>
              <w:rPr>
                <w:color w:val="595959" w:themeColor="text1" w:themeTint="A6"/>
                <w:szCs w:val="18"/>
              </w:rPr>
            </w:pPr>
            <w:r w:rsidRPr="00256BA2">
              <w:rPr>
                <w:color w:val="595959" w:themeColor="text1" w:themeTint="A6"/>
                <w:szCs w:val="18"/>
              </w:rPr>
              <w:t>Titel</w:t>
            </w:r>
          </w:p>
        </w:tc>
        <w:tc>
          <w:tcPr>
            <w:tcW w:w="6529" w:type="dxa"/>
          </w:tcPr>
          <w:p w:rsidRPr="00256BA2" w:rsidR="000E7491" w:rsidP="00C437F8" w:rsidRDefault="000E7491" w14:paraId="3C643011" w14:textId="77777777">
            <w:pPr>
              <w:spacing w:after="240"/>
              <w:rPr>
                <w:b/>
                <w:color w:val="595959" w:themeColor="text1" w:themeTint="A6"/>
                <w:szCs w:val="18"/>
              </w:rPr>
            </w:pPr>
            <w:r w:rsidRPr="00256BA2">
              <w:rPr>
                <w:szCs w:val="18"/>
                <w:lang w:val="en-US"/>
              </w:rPr>
              <w:t xml:space="preserve">COMMUNICATION FROM THE COMMISSION Enhanced Surveillance Update - Greece, November 2021 </w:t>
            </w:r>
            <w:hyperlink w:history="1" r:id="rId31">
              <w:r w:rsidRPr="00256BA2">
                <w:rPr>
                  <w:rStyle w:val="Hyperlink"/>
                  <w:szCs w:val="18"/>
                  <w:lang w:val="en-US"/>
                </w:rPr>
                <w:t>COM (2021) 916</w:t>
              </w:r>
            </w:hyperlink>
          </w:p>
        </w:tc>
      </w:tr>
      <w:tr w:rsidRPr="00256BA2" w:rsidR="000E7491" w:rsidTr="00C437F8" w14:paraId="2BD50A3C"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0E7491" w:rsidP="00C437F8" w:rsidRDefault="000E7491" w14:paraId="6CA0B514" w14:textId="77777777">
            <w:pPr>
              <w:spacing w:after="240"/>
              <w:rPr>
                <w:szCs w:val="18"/>
              </w:rPr>
            </w:pPr>
          </w:p>
        </w:tc>
        <w:tc>
          <w:tcPr>
            <w:tcW w:w="1035" w:type="dxa"/>
          </w:tcPr>
          <w:p w:rsidRPr="00256BA2" w:rsidR="000E7491" w:rsidP="00C437F8" w:rsidRDefault="000E7491" w14:paraId="6C4FA711" w14:textId="77777777">
            <w:pPr>
              <w:spacing w:after="240"/>
              <w:rPr>
                <w:szCs w:val="18"/>
              </w:rPr>
            </w:pPr>
            <w:r w:rsidRPr="00256BA2">
              <w:rPr>
                <w:szCs w:val="18"/>
              </w:rPr>
              <w:t>Voorstel</w:t>
            </w:r>
          </w:p>
        </w:tc>
        <w:tc>
          <w:tcPr>
            <w:tcW w:w="6529" w:type="dxa"/>
          </w:tcPr>
          <w:p w:rsidRPr="00256BA2" w:rsidR="000E7491" w:rsidP="00C437F8" w:rsidRDefault="00DD48C5" w14:paraId="46C9191B" w14:textId="694F6F0B">
            <w:pPr>
              <w:spacing w:after="240"/>
              <w:rPr>
                <w:szCs w:val="18"/>
              </w:rPr>
            </w:pPr>
            <w:r w:rsidRPr="00256BA2">
              <w:rPr>
                <w:szCs w:val="18"/>
              </w:rPr>
              <w:t>Desgewenst betrokken bij het commissiedebat Eurogroep/</w:t>
            </w:r>
            <w:proofErr w:type="spellStart"/>
            <w:r w:rsidRPr="00256BA2">
              <w:rPr>
                <w:szCs w:val="18"/>
              </w:rPr>
              <w:t>Ecofin</w:t>
            </w:r>
            <w:proofErr w:type="spellEnd"/>
            <w:r w:rsidRPr="00256BA2">
              <w:rPr>
                <w:szCs w:val="18"/>
              </w:rPr>
              <w:t xml:space="preserve"> van 2 december jl.</w:t>
            </w:r>
          </w:p>
        </w:tc>
      </w:tr>
      <w:tr w:rsidRPr="00256BA2" w:rsidR="000E7491" w:rsidTr="00C437F8" w14:paraId="347CB6F9"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0E7491" w:rsidP="00C437F8" w:rsidRDefault="000E7491" w14:paraId="26F66914" w14:textId="77777777">
            <w:pPr>
              <w:spacing w:after="240"/>
              <w:rPr>
                <w:color w:val="595959" w:themeColor="text1" w:themeTint="A6"/>
                <w:szCs w:val="18"/>
              </w:rPr>
            </w:pPr>
          </w:p>
        </w:tc>
        <w:tc>
          <w:tcPr>
            <w:tcW w:w="1035" w:type="dxa"/>
          </w:tcPr>
          <w:p w:rsidRPr="00256BA2" w:rsidR="000E7491" w:rsidP="00C437F8" w:rsidRDefault="000E7491" w14:paraId="5629F077" w14:textId="77777777">
            <w:pPr>
              <w:spacing w:after="240"/>
              <w:rPr>
                <w:color w:val="595959" w:themeColor="text1" w:themeTint="A6"/>
                <w:szCs w:val="18"/>
              </w:rPr>
            </w:pPr>
            <w:r w:rsidRPr="00256BA2">
              <w:rPr>
                <w:color w:val="595959" w:themeColor="text1" w:themeTint="A6"/>
                <w:szCs w:val="18"/>
              </w:rPr>
              <w:t>Noot</w:t>
            </w:r>
          </w:p>
        </w:tc>
        <w:tc>
          <w:tcPr>
            <w:tcW w:w="6529" w:type="dxa"/>
          </w:tcPr>
          <w:p w:rsidRPr="00256BA2" w:rsidR="000E7491" w:rsidP="00DD48C5" w:rsidRDefault="00DD48C5" w14:paraId="21FAFB05" w14:textId="65E5BCCD">
            <w:pPr>
              <w:spacing w:after="240"/>
              <w:rPr>
                <w:color w:val="595959" w:themeColor="text1" w:themeTint="A6"/>
                <w:szCs w:val="18"/>
              </w:rPr>
            </w:pPr>
            <w:r w:rsidRPr="00256BA2">
              <w:rPr>
                <w:color w:val="595959" w:themeColor="text1" w:themeTint="A6"/>
                <w:szCs w:val="18"/>
              </w:rPr>
              <w:t xml:space="preserve">Dit betreft het Twaalfde </w:t>
            </w:r>
            <w:proofErr w:type="spellStart"/>
            <w:r w:rsidRPr="00256BA2">
              <w:rPr>
                <w:color w:val="595959" w:themeColor="text1" w:themeTint="A6"/>
                <w:szCs w:val="18"/>
              </w:rPr>
              <w:t>enhanced</w:t>
            </w:r>
            <w:proofErr w:type="spellEnd"/>
            <w:r w:rsidRPr="00256BA2">
              <w:rPr>
                <w:color w:val="595959" w:themeColor="text1" w:themeTint="A6"/>
                <w:szCs w:val="18"/>
              </w:rPr>
              <w:t xml:space="preserve"> surveillance-rapport (verscherpt toezicht) over Griekenland. Elk kwartaal wordt de balans opgemaakt t.a.v. onder andere de macro-economische ontwikkelingen, overheidsfinanciën, arbeidsmarktbeleid, openbaar bestuur en het rechtssysteem in Griekenland. Daarnaast wordt elk halfjaar, op basis van een verscherpt-toezichtrapport en een terugkoppeling door de Europese instellingen, door de Eurogroep beoordeeld of Griekenland in aanmerking komt voor schuldmaatregelen, zoals afgesproken in juni 2018. Met dit 12e rapport ligt besluitvorming ten aanzien van het activeren van schuldmaatregelen voor, met een omvang van 767 mln. euro.</w:t>
            </w:r>
          </w:p>
        </w:tc>
      </w:tr>
    </w:tbl>
    <w:p w:rsidRPr="00256BA2" w:rsidR="000E7491" w:rsidP="002A4BD8" w:rsidRDefault="000E7491" w14:paraId="0B3CCD4B"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256BA2" w:rsidR="00DF5A2E" w:rsidTr="000279E0" w14:paraId="092E0C6A"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56BA2" w:rsidR="00DF5A2E" w:rsidP="000279E0" w:rsidRDefault="00DF5A2E" w14:paraId="66B80061" w14:textId="77777777">
            <w:pPr>
              <w:pStyle w:val="Lijstalinea"/>
              <w:numPr>
                <w:ilvl w:val="0"/>
                <w:numId w:val="10"/>
              </w:numPr>
              <w:spacing w:after="240"/>
              <w:ind w:left="312"/>
              <w:rPr>
                <w:color w:val="595959" w:themeColor="text1" w:themeTint="A6"/>
                <w:szCs w:val="18"/>
              </w:rPr>
            </w:pPr>
          </w:p>
        </w:tc>
        <w:tc>
          <w:tcPr>
            <w:tcW w:w="1035" w:type="dxa"/>
          </w:tcPr>
          <w:p w:rsidRPr="00256BA2" w:rsidR="00DF5A2E" w:rsidP="000279E0" w:rsidRDefault="00DF5A2E" w14:paraId="3BF36ED7" w14:textId="77777777">
            <w:pPr>
              <w:spacing w:after="240"/>
              <w:rPr>
                <w:color w:val="595959" w:themeColor="text1" w:themeTint="A6"/>
                <w:szCs w:val="18"/>
              </w:rPr>
            </w:pPr>
            <w:r w:rsidRPr="00256BA2">
              <w:rPr>
                <w:color w:val="595959" w:themeColor="text1" w:themeTint="A6"/>
                <w:szCs w:val="18"/>
              </w:rPr>
              <w:t>Titel</w:t>
            </w:r>
          </w:p>
        </w:tc>
        <w:tc>
          <w:tcPr>
            <w:tcW w:w="6529" w:type="dxa"/>
          </w:tcPr>
          <w:p w:rsidRPr="00256BA2" w:rsidR="00DF5A2E" w:rsidP="000279E0" w:rsidRDefault="005F0171" w14:paraId="04F013A3" w14:textId="16E3F6C1">
            <w:pPr>
              <w:spacing w:after="240"/>
              <w:rPr>
                <w:b/>
                <w:color w:val="595959" w:themeColor="text1" w:themeTint="A6"/>
                <w:szCs w:val="18"/>
              </w:rPr>
            </w:pPr>
            <w:r w:rsidRPr="00256BA2">
              <w:rPr>
                <w:szCs w:val="18"/>
                <w:lang w:val="en-US"/>
              </w:rPr>
              <w:t xml:space="preserve">VERSLAG VAN DE COMMISSIE AAN HET EUROPEES PARLEMENT EN DE RAAD </w:t>
            </w:r>
            <w:proofErr w:type="spellStart"/>
            <w:r w:rsidRPr="00256BA2">
              <w:rPr>
                <w:szCs w:val="18"/>
                <w:lang w:val="en-US"/>
              </w:rPr>
              <w:t>Eerste</w:t>
            </w:r>
            <w:proofErr w:type="spellEnd"/>
            <w:r w:rsidRPr="00256BA2">
              <w:rPr>
                <w:szCs w:val="18"/>
                <w:lang w:val="en-US"/>
              </w:rPr>
              <w:t xml:space="preserve"> </w:t>
            </w:r>
            <w:proofErr w:type="spellStart"/>
            <w:r w:rsidRPr="00256BA2">
              <w:rPr>
                <w:szCs w:val="18"/>
                <w:lang w:val="en-US"/>
              </w:rPr>
              <w:t>jaarverslag</w:t>
            </w:r>
            <w:proofErr w:type="spellEnd"/>
            <w:r w:rsidRPr="00256BA2">
              <w:rPr>
                <w:szCs w:val="18"/>
                <w:lang w:val="en-US"/>
              </w:rPr>
              <w:t xml:space="preserve"> over de screening van </w:t>
            </w:r>
            <w:proofErr w:type="spellStart"/>
            <w:r w:rsidRPr="00256BA2">
              <w:rPr>
                <w:szCs w:val="18"/>
                <w:lang w:val="en-US"/>
              </w:rPr>
              <w:t>buitenlandse</w:t>
            </w:r>
            <w:proofErr w:type="spellEnd"/>
            <w:r w:rsidRPr="00256BA2">
              <w:rPr>
                <w:szCs w:val="18"/>
                <w:lang w:val="en-US"/>
              </w:rPr>
              <w:t xml:space="preserve"> </w:t>
            </w:r>
            <w:proofErr w:type="spellStart"/>
            <w:r w:rsidRPr="00256BA2">
              <w:rPr>
                <w:szCs w:val="18"/>
                <w:lang w:val="en-US"/>
              </w:rPr>
              <w:t>directe</w:t>
            </w:r>
            <w:proofErr w:type="spellEnd"/>
            <w:r w:rsidRPr="00256BA2">
              <w:rPr>
                <w:szCs w:val="18"/>
                <w:lang w:val="en-US"/>
              </w:rPr>
              <w:t xml:space="preserve"> </w:t>
            </w:r>
            <w:proofErr w:type="spellStart"/>
            <w:r w:rsidRPr="00256BA2">
              <w:rPr>
                <w:szCs w:val="18"/>
                <w:lang w:val="en-US"/>
              </w:rPr>
              <w:t>investeringen</w:t>
            </w:r>
            <w:proofErr w:type="spellEnd"/>
            <w:r w:rsidRPr="00256BA2">
              <w:rPr>
                <w:szCs w:val="18"/>
                <w:lang w:val="en-US"/>
              </w:rPr>
              <w:t xml:space="preserve"> in de </w:t>
            </w:r>
            <w:proofErr w:type="spellStart"/>
            <w:r w:rsidRPr="00256BA2">
              <w:rPr>
                <w:szCs w:val="18"/>
                <w:lang w:val="en-US"/>
              </w:rPr>
              <w:t>Unie</w:t>
            </w:r>
            <w:proofErr w:type="spellEnd"/>
            <w:r w:rsidRPr="00256BA2">
              <w:rPr>
                <w:szCs w:val="18"/>
                <w:lang w:val="en-US"/>
              </w:rPr>
              <w:t xml:space="preserve"> </w:t>
            </w:r>
            <w:hyperlink w:history="1" r:id="rId32">
              <w:r w:rsidRPr="00256BA2">
                <w:rPr>
                  <w:rStyle w:val="Hyperlink"/>
                  <w:szCs w:val="18"/>
                  <w:lang w:val="en-US"/>
                </w:rPr>
                <w:t>COM (2021) 714</w:t>
              </w:r>
            </w:hyperlink>
          </w:p>
        </w:tc>
      </w:tr>
      <w:tr w:rsidRPr="00256BA2" w:rsidR="00DF5A2E" w:rsidTr="000279E0" w14:paraId="2C35CD73"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DF5A2E" w:rsidP="000279E0" w:rsidRDefault="00DF5A2E" w14:paraId="469EFAD3" w14:textId="77777777">
            <w:pPr>
              <w:spacing w:after="240"/>
              <w:rPr>
                <w:szCs w:val="18"/>
              </w:rPr>
            </w:pPr>
          </w:p>
        </w:tc>
        <w:tc>
          <w:tcPr>
            <w:tcW w:w="1035" w:type="dxa"/>
          </w:tcPr>
          <w:p w:rsidRPr="00256BA2" w:rsidR="00DF5A2E" w:rsidP="000279E0" w:rsidRDefault="00DF5A2E" w14:paraId="5C0952F5" w14:textId="77777777">
            <w:pPr>
              <w:spacing w:after="240"/>
              <w:rPr>
                <w:szCs w:val="18"/>
              </w:rPr>
            </w:pPr>
            <w:r w:rsidRPr="00256BA2">
              <w:rPr>
                <w:szCs w:val="18"/>
              </w:rPr>
              <w:t>Voorstel</w:t>
            </w:r>
          </w:p>
        </w:tc>
        <w:tc>
          <w:tcPr>
            <w:tcW w:w="6529" w:type="dxa"/>
          </w:tcPr>
          <w:p w:rsidRPr="00256BA2" w:rsidR="00DF5A2E" w:rsidP="000279E0" w:rsidRDefault="00BA6ACC" w14:paraId="6CC066D4" w14:textId="6C34E56B">
            <w:pPr>
              <w:spacing w:after="240"/>
              <w:rPr>
                <w:szCs w:val="18"/>
              </w:rPr>
            </w:pPr>
            <w:r>
              <w:rPr>
                <w:szCs w:val="18"/>
              </w:rPr>
              <w:t>Voor</w:t>
            </w:r>
            <w:r w:rsidRPr="00256BA2" w:rsidR="00173ED7">
              <w:rPr>
                <w:szCs w:val="18"/>
              </w:rPr>
              <w:t xml:space="preserve"> kennisgeving aannemen</w:t>
            </w:r>
          </w:p>
        </w:tc>
      </w:tr>
      <w:tr w:rsidRPr="00256BA2" w:rsidR="00DF5A2E" w:rsidTr="000279E0" w14:paraId="2B792069"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DF5A2E" w:rsidP="000279E0" w:rsidRDefault="00DF5A2E" w14:paraId="27178720" w14:textId="77777777">
            <w:pPr>
              <w:spacing w:after="240"/>
              <w:rPr>
                <w:color w:val="595959" w:themeColor="text1" w:themeTint="A6"/>
                <w:szCs w:val="18"/>
              </w:rPr>
            </w:pPr>
          </w:p>
        </w:tc>
        <w:tc>
          <w:tcPr>
            <w:tcW w:w="1035" w:type="dxa"/>
          </w:tcPr>
          <w:p w:rsidRPr="00256BA2" w:rsidR="00DF5A2E" w:rsidP="000279E0" w:rsidRDefault="00DF5A2E" w14:paraId="4CA7A201" w14:textId="77777777">
            <w:pPr>
              <w:spacing w:after="240"/>
              <w:rPr>
                <w:color w:val="595959" w:themeColor="text1" w:themeTint="A6"/>
                <w:szCs w:val="18"/>
              </w:rPr>
            </w:pPr>
            <w:r w:rsidRPr="00256BA2">
              <w:rPr>
                <w:color w:val="595959" w:themeColor="text1" w:themeTint="A6"/>
                <w:szCs w:val="18"/>
              </w:rPr>
              <w:t>Noot</w:t>
            </w:r>
          </w:p>
        </w:tc>
        <w:tc>
          <w:tcPr>
            <w:tcW w:w="6529" w:type="dxa"/>
          </w:tcPr>
          <w:p w:rsidRPr="00256BA2" w:rsidR="00DF5A2E" w:rsidP="00173ED7" w:rsidRDefault="00173ED7" w14:paraId="55FECFDC" w14:textId="38A63FC7">
            <w:pPr>
              <w:spacing w:after="240"/>
              <w:rPr>
                <w:color w:val="595959" w:themeColor="text1" w:themeTint="A6"/>
                <w:szCs w:val="18"/>
              </w:rPr>
            </w:pPr>
            <w:r w:rsidRPr="00256BA2">
              <w:rPr>
                <w:color w:val="595959" w:themeColor="text1" w:themeTint="A6"/>
                <w:szCs w:val="18"/>
              </w:rPr>
              <w:t>Dit betreft het eerste jaarverslag van de Europese Commissie over de toepassing van de verordening inzake de screening van buitenlandse directe investeringen (BDI). In deze verordening ligt de focus vooral op de bescherming van de veiligheid en de openbare orde, waarbij wordt gekeken naar de risico’s die investeringen door bepaalde buitenlandse investeerders opleveren voor o.a. kritieke infrastructuur (zoals de gezondheidssector). Het verslag schetst de trends en cijfers en gaat in op de toegevoegde waarde en het functioneren van de Verordening.</w:t>
            </w:r>
            <w:r w:rsidRPr="00256BA2">
              <w:rPr>
                <w:szCs w:val="18"/>
              </w:rPr>
              <w:t xml:space="preserve"> </w:t>
            </w:r>
            <w:r w:rsidRPr="00256BA2">
              <w:rPr>
                <w:color w:val="595959" w:themeColor="text1" w:themeTint="A6"/>
                <w:szCs w:val="18"/>
              </w:rPr>
              <w:t>De EC concludeert dat dit een belangrijke instrument vormt voor strategische handels- en investeringscontroles om de veiligheid in de Europese Unie te waarborgen.</w:t>
            </w:r>
          </w:p>
        </w:tc>
      </w:tr>
    </w:tbl>
    <w:p w:rsidRPr="00256BA2" w:rsidR="00DF5A2E" w:rsidP="002A4BD8" w:rsidRDefault="00DF5A2E" w14:paraId="73F01234" w14:textId="0EB0E84D">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256BA2" w:rsidR="006E5214" w:rsidTr="00B20232" w14:paraId="3E3C592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56BA2" w:rsidR="006E5214" w:rsidP="00B20232" w:rsidRDefault="006E5214" w14:paraId="1CDDCD20" w14:textId="77777777">
            <w:pPr>
              <w:pStyle w:val="Lijstalinea"/>
              <w:numPr>
                <w:ilvl w:val="0"/>
                <w:numId w:val="10"/>
              </w:numPr>
              <w:spacing w:after="240"/>
              <w:ind w:left="312"/>
              <w:rPr>
                <w:color w:val="595959" w:themeColor="text1" w:themeTint="A6"/>
                <w:szCs w:val="18"/>
              </w:rPr>
            </w:pPr>
          </w:p>
        </w:tc>
        <w:tc>
          <w:tcPr>
            <w:tcW w:w="1035" w:type="dxa"/>
          </w:tcPr>
          <w:p w:rsidRPr="00256BA2" w:rsidR="006E5214" w:rsidP="00B20232" w:rsidRDefault="006E5214" w14:paraId="0413139A" w14:textId="77777777">
            <w:pPr>
              <w:spacing w:after="240"/>
              <w:rPr>
                <w:color w:val="595959" w:themeColor="text1" w:themeTint="A6"/>
                <w:szCs w:val="18"/>
              </w:rPr>
            </w:pPr>
            <w:r w:rsidRPr="00256BA2">
              <w:rPr>
                <w:color w:val="595959" w:themeColor="text1" w:themeTint="A6"/>
                <w:szCs w:val="18"/>
              </w:rPr>
              <w:t>Titel</w:t>
            </w:r>
          </w:p>
        </w:tc>
        <w:tc>
          <w:tcPr>
            <w:tcW w:w="6529" w:type="dxa"/>
          </w:tcPr>
          <w:p w:rsidRPr="00256BA2" w:rsidR="006E5214" w:rsidP="00B20232" w:rsidRDefault="005F0171" w14:paraId="6AE3BFA7" w14:textId="272A5C89">
            <w:pPr>
              <w:spacing w:after="240"/>
              <w:rPr>
                <w:b/>
                <w:color w:val="595959" w:themeColor="text1" w:themeTint="A6"/>
                <w:szCs w:val="18"/>
              </w:rPr>
            </w:pPr>
            <w:proofErr w:type="spellStart"/>
            <w:r w:rsidRPr="00256BA2">
              <w:rPr>
                <w:szCs w:val="18"/>
                <w:lang w:val="en-US"/>
              </w:rPr>
              <w:t>Voorstel</w:t>
            </w:r>
            <w:proofErr w:type="spellEnd"/>
            <w:r w:rsidRPr="00256BA2">
              <w:rPr>
                <w:szCs w:val="18"/>
                <w:lang w:val="en-US"/>
              </w:rPr>
              <w:t xml:space="preserve"> </w:t>
            </w:r>
            <w:proofErr w:type="spellStart"/>
            <w:r w:rsidRPr="00256BA2">
              <w:rPr>
                <w:szCs w:val="18"/>
                <w:lang w:val="en-US"/>
              </w:rPr>
              <w:t>voor</w:t>
            </w:r>
            <w:proofErr w:type="spellEnd"/>
            <w:r w:rsidRPr="00256BA2">
              <w:rPr>
                <w:szCs w:val="18"/>
                <w:lang w:val="en-US"/>
              </w:rPr>
              <w:t xml:space="preserve"> </w:t>
            </w:r>
            <w:proofErr w:type="spellStart"/>
            <w:r w:rsidRPr="00256BA2">
              <w:rPr>
                <w:szCs w:val="18"/>
                <w:lang w:val="en-US"/>
              </w:rPr>
              <w:t>een</w:t>
            </w:r>
            <w:proofErr w:type="spellEnd"/>
            <w:r w:rsidRPr="00256BA2">
              <w:rPr>
                <w:szCs w:val="18"/>
                <w:lang w:val="en-US"/>
              </w:rPr>
              <w:t xml:space="preserve"> UITVOERINGSBESLUIT VAN DE RAAD tot </w:t>
            </w:r>
            <w:proofErr w:type="spellStart"/>
            <w:r w:rsidRPr="00256BA2">
              <w:rPr>
                <w:szCs w:val="18"/>
                <w:lang w:val="en-US"/>
              </w:rPr>
              <w:t>wijziging</w:t>
            </w:r>
            <w:proofErr w:type="spellEnd"/>
            <w:r w:rsidRPr="00256BA2">
              <w:rPr>
                <w:szCs w:val="18"/>
                <w:lang w:val="en-US"/>
              </w:rPr>
              <w:t xml:space="preserve"> van </w:t>
            </w:r>
            <w:proofErr w:type="spellStart"/>
            <w:r w:rsidRPr="00256BA2">
              <w:rPr>
                <w:szCs w:val="18"/>
                <w:lang w:val="en-US"/>
              </w:rPr>
              <w:t>Uitvoeringsbesluit</w:t>
            </w:r>
            <w:proofErr w:type="spellEnd"/>
            <w:r w:rsidRPr="00256BA2">
              <w:rPr>
                <w:szCs w:val="18"/>
                <w:lang w:val="en-US"/>
              </w:rPr>
              <w:t xml:space="preserve"> (EU) 2018/1490 </w:t>
            </w:r>
            <w:proofErr w:type="spellStart"/>
            <w:r w:rsidRPr="00256BA2">
              <w:rPr>
                <w:szCs w:val="18"/>
                <w:lang w:val="en-US"/>
              </w:rPr>
              <w:t>waarbij</w:t>
            </w:r>
            <w:proofErr w:type="spellEnd"/>
            <w:r w:rsidRPr="00256BA2">
              <w:rPr>
                <w:szCs w:val="18"/>
                <w:lang w:val="en-US"/>
              </w:rPr>
              <w:t xml:space="preserve"> </w:t>
            </w:r>
            <w:proofErr w:type="spellStart"/>
            <w:r w:rsidRPr="00256BA2">
              <w:rPr>
                <w:szCs w:val="18"/>
                <w:lang w:val="en-US"/>
              </w:rPr>
              <w:t>Hongarije</w:t>
            </w:r>
            <w:proofErr w:type="spellEnd"/>
            <w:r w:rsidRPr="00256BA2">
              <w:rPr>
                <w:szCs w:val="18"/>
                <w:lang w:val="en-US"/>
              </w:rPr>
              <w:t xml:space="preserve"> </w:t>
            </w:r>
            <w:proofErr w:type="spellStart"/>
            <w:r w:rsidRPr="00256BA2">
              <w:rPr>
                <w:szCs w:val="18"/>
                <w:lang w:val="en-US"/>
              </w:rPr>
              <w:t>wordt</w:t>
            </w:r>
            <w:proofErr w:type="spellEnd"/>
            <w:r w:rsidRPr="00256BA2">
              <w:rPr>
                <w:szCs w:val="18"/>
                <w:lang w:val="en-US"/>
              </w:rPr>
              <w:t xml:space="preserve"> </w:t>
            </w:r>
            <w:proofErr w:type="spellStart"/>
            <w:r w:rsidRPr="00256BA2">
              <w:rPr>
                <w:szCs w:val="18"/>
                <w:lang w:val="en-US"/>
              </w:rPr>
              <w:t>gemachtigd</w:t>
            </w:r>
            <w:proofErr w:type="spellEnd"/>
            <w:r w:rsidRPr="00256BA2">
              <w:rPr>
                <w:szCs w:val="18"/>
                <w:lang w:val="en-US"/>
              </w:rPr>
              <w:t xml:space="preserve"> de </w:t>
            </w:r>
            <w:proofErr w:type="spellStart"/>
            <w:r w:rsidRPr="00256BA2">
              <w:rPr>
                <w:szCs w:val="18"/>
                <w:lang w:val="en-US"/>
              </w:rPr>
              <w:t>bijzondere</w:t>
            </w:r>
            <w:proofErr w:type="spellEnd"/>
            <w:r w:rsidRPr="00256BA2">
              <w:rPr>
                <w:szCs w:val="18"/>
                <w:lang w:val="en-US"/>
              </w:rPr>
              <w:t xml:space="preserve"> </w:t>
            </w:r>
            <w:proofErr w:type="spellStart"/>
            <w:r w:rsidRPr="00256BA2">
              <w:rPr>
                <w:szCs w:val="18"/>
                <w:lang w:val="en-US"/>
              </w:rPr>
              <w:t>maatregel</w:t>
            </w:r>
            <w:proofErr w:type="spellEnd"/>
            <w:r w:rsidRPr="00256BA2">
              <w:rPr>
                <w:szCs w:val="18"/>
                <w:lang w:val="en-US"/>
              </w:rPr>
              <w:t xml:space="preserve"> die </w:t>
            </w:r>
            <w:proofErr w:type="spellStart"/>
            <w:r w:rsidRPr="00256BA2">
              <w:rPr>
                <w:szCs w:val="18"/>
                <w:lang w:val="en-US"/>
              </w:rPr>
              <w:t>afwijkt</w:t>
            </w:r>
            <w:proofErr w:type="spellEnd"/>
            <w:r w:rsidRPr="00256BA2">
              <w:rPr>
                <w:szCs w:val="18"/>
                <w:lang w:val="en-US"/>
              </w:rPr>
              <w:t xml:space="preserve"> van </w:t>
            </w:r>
            <w:proofErr w:type="spellStart"/>
            <w:r w:rsidRPr="00256BA2">
              <w:rPr>
                <w:szCs w:val="18"/>
                <w:lang w:val="en-US"/>
              </w:rPr>
              <w:t>artikel</w:t>
            </w:r>
            <w:proofErr w:type="spellEnd"/>
            <w:r w:rsidRPr="00256BA2">
              <w:rPr>
                <w:szCs w:val="18"/>
                <w:lang w:val="en-US"/>
              </w:rPr>
              <w:t xml:space="preserve"> 287 van </w:t>
            </w:r>
            <w:proofErr w:type="spellStart"/>
            <w:r w:rsidRPr="00256BA2">
              <w:rPr>
                <w:szCs w:val="18"/>
                <w:lang w:val="en-US"/>
              </w:rPr>
              <w:t>Richtlijn</w:t>
            </w:r>
            <w:proofErr w:type="spellEnd"/>
            <w:r w:rsidRPr="00256BA2">
              <w:rPr>
                <w:szCs w:val="18"/>
                <w:lang w:val="en-US"/>
              </w:rPr>
              <w:t xml:space="preserve"> 2006/112/EG </w:t>
            </w:r>
            <w:proofErr w:type="spellStart"/>
            <w:r w:rsidRPr="00256BA2">
              <w:rPr>
                <w:szCs w:val="18"/>
                <w:lang w:val="en-US"/>
              </w:rPr>
              <w:t>gedurende</w:t>
            </w:r>
            <w:proofErr w:type="spellEnd"/>
            <w:r w:rsidRPr="00256BA2">
              <w:rPr>
                <w:szCs w:val="18"/>
                <w:lang w:val="en-US"/>
              </w:rPr>
              <w:t xml:space="preserve"> </w:t>
            </w:r>
            <w:proofErr w:type="spellStart"/>
            <w:r w:rsidRPr="00256BA2">
              <w:rPr>
                <w:szCs w:val="18"/>
                <w:lang w:val="en-US"/>
              </w:rPr>
              <w:t>een</w:t>
            </w:r>
            <w:proofErr w:type="spellEnd"/>
            <w:r w:rsidRPr="00256BA2">
              <w:rPr>
                <w:szCs w:val="18"/>
                <w:lang w:val="en-US"/>
              </w:rPr>
              <w:t xml:space="preserve"> </w:t>
            </w:r>
            <w:proofErr w:type="spellStart"/>
            <w:r w:rsidRPr="00256BA2">
              <w:rPr>
                <w:szCs w:val="18"/>
                <w:lang w:val="en-US"/>
              </w:rPr>
              <w:t>nieuwe</w:t>
            </w:r>
            <w:proofErr w:type="spellEnd"/>
            <w:r w:rsidRPr="00256BA2">
              <w:rPr>
                <w:szCs w:val="18"/>
                <w:lang w:val="en-US"/>
              </w:rPr>
              <w:t xml:space="preserve"> </w:t>
            </w:r>
            <w:proofErr w:type="spellStart"/>
            <w:r w:rsidRPr="00256BA2">
              <w:rPr>
                <w:szCs w:val="18"/>
                <w:lang w:val="en-US"/>
              </w:rPr>
              <w:t>periode</w:t>
            </w:r>
            <w:proofErr w:type="spellEnd"/>
            <w:r w:rsidRPr="00256BA2">
              <w:rPr>
                <w:szCs w:val="18"/>
                <w:lang w:val="en-US"/>
              </w:rPr>
              <w:t xml:space="preserve"> toe </w:t>
            </w:r>
            <w:proofErr w:type="spellStart"/>
            <w:r w:rsidRPr="00256BA2">
              <w:rPr>
                <w:szCs w:val="18"/>
                <w:lang w:val="en-US"/>
              </w:rPr>
              <w:t>te</w:t>
            </w:r>
            <w:proofErr w:type="spellEnd"/>
            <w:r w:rsidRPr="00256BA2">
              <w:rPr>
                <w:szCs w:val="18"/>
                <w:lang w:val="en-US"/>
              </w:rPr>
              <w:t xml:space="preserve"> </w:t>
            </w:r>
            <w:proofErr w:type="spellStart"/>
            <w:r w:rsidRPr="00256BA2">
              <w:rPr>
                <w:szCs w:val="18"/>
                <w:lang w:val="en-US"/>
              </w:rPr>
              <w:t>passen</w:t>
            </w:r>
            <w:proofErr w:type="spellEnd"/>
            <w:r w:rsidRPr="00256BA2">
              <w:rPr>
                <w:szCs w:val="18"/>
                <w:lang w:val="en-US"/>
              </w:rPr>
              <w:t xml:space="preserve"> </w:t>
            </w:r>
            <w:hyperlink w:history="1" r:id="rId33">
              <w:r w:rsidRPr="00256BA2">
                <w:rPr>
                  <w:rStyle w:val="Hyperlink"/>
                  <w:szCs w:val="18"/>
                  <w:lang w:val="en-US"/>
                </w:rPr>
                <w:t>COM (2021) 710</w:t>
              </w:r>
            </w:hyperlink>
          </w:p>
        </w:tc>
      </w:tr>
      <w:tr w:rsidRPr="00256BA2" w:rsidR="006E5214" w:rsidTr="00B20232" w14:paraId="0B83DB79"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6E5214" w:rsidP="00B20232" w:rsidRDefault="006E5214" w14:paraId="2C355E86" w14:textId="77777777">
            <w:pPr>
              <w:spacing w:after="240"/>
              <w:rPr>
                <w:szCs w:val="18"/>
              </w:rPr>
            </w:pPr>
          </w:p>
        </w:tc>
        <w:tc>
          <w:tcPr>
            <w:tcW w:w="1035" w:type="dxa"/>
          </w:tcPr>
          <w:p w:rsidRPr="00256BA2" w:rsidR="006E5214" w:rsidP="00B20232" w:rsidRDefault="006E5214" w14:paraId="16781259" w14:textId="77777777">
            <w:pPr>
              <w:spacing w:after="240"/>
              <w:rPr>
                <w:szCs w:val="18"/>
              </w:rPr>
            </w:pPr>
            <w:r w:rsidRPr="00256BA2">
              <w:rPr>
                <w:szCs w:val="18"/>
              </w:rPr>
              <w:t>Voorstel</w:t>
            </w:r>
          </w:p>
        </w:tc>
        <w:tc>
          <w:tcPr>
            <w:tcW w:w="6529" w:type="dxa"/>
          </w:tcPr>
          <w:p w:rsidRPr="00256BA2" w:rsidR="006E5214" w:rsidP="00B20232" w:rsidRDefault="00FD032E" w14:paraId="1764A7BE" w14:textId="128C40D5">
            <w:pPr>
              <w:spacing w:after="240"/>
              <w:rPr>
                <w:szCs w:val="18"/>
              </w:rPr>
            </w:pPr>
            <w:r w:rsidRPr="00256BA2">
              <w:rPr>
                <w:szCs w:val="18"/>
              </w:rPr>
              <w:t>Voor kennisgeving aannemen.</w:t>
            </w:r>
          </w:p>
        </w:tc>
      </w:tr>
      <w:tr w:rsidRPr="00256BA2" w:rsidR="006E5214" w:rsidTr="00B20232" w14:paraId="21F854C2"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6E5214" w:rsidP="00B20232" w:rsidRDefault="006E5214" w14:paraId="5C877451" w14:textId="77777777">
            <w:pPr>
              <w:spacing w:after="240"/>
              <w:rPr>
                <w:color w:val="595959" w:themeColor="text1" w:themeTint="A6"/>
                <w:szCs w:val="18"/>
              </w:rPr>
            </w:pPr>
          </w:p>
        </w:tc>
        <w:tc>
          <w:tcPr>
            <w:tcW w:w="1035" w:type="dxa"/>
          </w:tcPr>
          <w:p w:rsidRPr="00256BA2" w:rsidR="006E5214" w:rsidP="00B20232" w:rsidRDefault="006E5214" w14:paraId="53862C94" w14:textId="77777777">
            <w:pPr>
              <w:spacing w:after="240"/>
              <w:rPr>
                <w:color w:val="595959" w:themeColor="text1" w:themeTint="A6"/>
                <w:szCs w:val="18"/>
              </w:rPr>
            </w:pPr>
            <w:r w:rsidRPr="00256BA2">
              <w:rPr>
                <w:color w:val="595959" w:themeColor="text1" w:themeTint="A6"/>
                <w:szCs w:val="18"/>
              </w:rPr>
              <w:t>Noot</w:t>
            </w:r>
          </w:p>
        </w:tc>
        <w:tc>
          <w:tcPr>
            <w:tcW w:w="6529" w:type="dxa"/>
          </w:tcPr>
          <w:p w:rsidRPr="00256BA2" w:rsidR="006E5214" w:rsidP="00FD032E" w:rsidRDefault="00FD032E" w14:paraId="5D690BD8" w14:textId="3A9C6296">
            <w:pPr>
              <w:spacing w:after="240"/>
              <w:rPr>
                <w:color w:val="595959" w:themeColor="text1" w:themeTint="A6"/>
                <w:szCs w:val="18"/>
              </w:rPr>
            </w:pPr>
            <w:r w:rsidRPr="00256BA2">
              <w:rPr>
                <w:color w:val="595959" w:themeColor="text1" w:themeTint="A6"/>
                <w:szCs w:val="18"/>
              </w:rPr>
              <w:t xml:space="preserve">De Raad kan op voorstel van de Commissie met eenparigheid van stemmen elke lidstaat machtigen bijzondere, van de bepalingen van </w:t>
            </w:r>
            <w:r w:rsidRPr="00256BA2">
              <w:rPr>
                <w:color w:val="595959" w:themeColor="text1" w:themeTint="A6"/>
                <w:szCs w:val="18"/>
              </w:rPr>
              <w:lastRenderedPageBreak/>
              <w:t xml:space="preserve">de btw-richtlijn afwijkende, maatregelen te treffen, teneinde de belastinginning te vereenvoudigen of bepaalde vormen van belastingfraude of -ontwijking te voorkomen. Dit betreft een voorstel voor een uitvoeringsbesluit naar aanleiding van een verzoek van Hongarije om een maatregel te mogen blijven toepassen die afwijkt van de btw-richtlijn, zodat het belastingplichtigen met een jaaromzet van niet meer dan de tegenwaarde van 48 000 EUR in de nationale munteenheid van de btw kan vrijstellen. </w:t>
            </w:r>
          </w:p>
        </w:tc>
      </w:tr>
    </w:tbl>
    <w:p w:rsidRPr="00256BA2" w:rsidR="006E5214" w:rsidP="002A4BD8" w:rsidRDefault="006E5214" w14:paraId="33CC8AC5" w14:textId="721F4945">
      <w:pPr>
        <w:rPr>
          <w:szCs w:val="18"/>
        </w:rPr>
      </w:pPr>
    </w:p>
    <w:tbl>
      <w:tblPr>
        <w:tblStyle w:val="Tabelraster8"/>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256BA2" w:rsidR="005F0171" w:rsidTr="0010415C" w14:paraId="5FA15A34"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56BA2" w:rsidR="005F0171" w:rsidP="005F0171" w:rsidRDefault="005F0171" w14:paraId="1971AAFC" w14:textId="77777777">
            <w:pPr>
              <w:numPr>
                <w:ilvl w:val="0"/>
                <w:numId w:val="10"/>
              </w:numPr>
              <w:spacing w:after="240"/>
              <w:ind w:left="312"/>
              <w:contextualSpacing/>
              <w:rPr>
                <w:color w:val="595959" w:themeColor="text1" w:themeTint="A6"/>
                <w:szCs w:val="18"/>
              </w:rPr>
            </w:pPr>
          </w:p>
        </w:tc>
        <w:tc>
          <w:tcPr>
            <w:tcW w:w="1035" w:type="dxa"/>
          </w:tcPr>
          <w:p w:rsidRPr="00256BA2" w:rsidR="005F0171" w:rsidP="005F0171" w:rsidRDefault="005F0171" w14:paraId="38B9326E" w14:textId="77777777">
            <w:pPr>
              <w:spacing w:after="240"/>
              <w:rPr>
                <w:color w:val="595959" w:themeColor="text1" w:themeTint="A6"/>
                <w:szCs w:val="18"/>
              </w:rPr>
            </w:pPr>
            <w:r w:rsidRPr="00256BA2">
              <w:rPr>
                <w:color w:val="595959" w:themeColor="text1" w:themeTint="A6"/>
                <w:szCs w:val="18"/>
              </w:rPr>
              <w:t>Titel</w:t>
            </w:r>
          </w:p>
        </w:tc>
        <w:tc>
          <w:tcPr>
            <w:tcW w:w="6529" w:type="dxa"/>
          </w:tcPr>
          <w:tbl>
            <w:tblPr>
              <w:tblW w:w="0" w:type="dxa"/>
              <w:tblLayout w:type="fixed"/>
              <w:tblCellMar>
                <w:left w:w="0" w:type="dxa"/>
                <w:right w:w="0" w:type="dxa"/>
              </w:tblCellMar>
              <w:tblLook w:val="04A0" w:firstRow="1" w:lastRow="0" w:firstColumn="1" w:lastColumn="0" w:noHBand="0" w:noVBand="1"/>
            </w:tblPr>
            <w:tblGrid>
              <w:gridCol w:w="6378"/>
            </w:tblGrid>
            <w:tr w:rsidRPr="00256BA2" w:rsidR="005F0171" w:rsidTr="005F0171" w14:paraId="538A266C" w14:textId="77777777">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256BA2" w:rsidR="005F0171" w:rsidP="005F0171" w:rsidRDefault="005F0171" w14:paraId="6B2708D1" w14:textId="77777777">
                  <w:pPr>
                    <w:spacing w:after="240"/>
                    <w:rPr>
                      <w:rFonts w:cs="Calibri"/>
                      <w:szCs w:val="18"/>
                      <w:lang w:val="en-US" w:eastAsia="nl-NL"/>
                    </w:rPr>
                  </w:pPr>
                  <w:proofErr w:type="spellStart"/>
                  <w:r w:rsidRPr="00256BA2">
                    <w:rPr>
                      <w:rFonts w:cs="Calibri"/>
                      <w:szCs w:val="18"/>
                      <w:lang w:val="en-US"/>
                    </w:rPr>
                    <w:t>Voorstel</w:t>
                  </w:r>
                  <w:proofErr w:type="spellEnd"/>
                  <w:r w:rsidRPr="00256BA2">
                    <w:rPr>
                      <w:rFonts w:cs="Calibri"/>
                      <w:szCs w:val="18"/>
                      <w:lang w:val="en-US"/>
                    </w:rPr>
                    <w:t xml:space="preserve"> </w:t>
                  </w:r>
                  <w:proofErr w:type="spellStart"/>
                  <w:r w:rsidRPr="00256BA2">
                    <w:rPr>
                      <w:rFonts w:cs="Calibri"/>
                      <w:szCs w:val="18"/>
                      <w:lang w:val="en-US"/>
                    </w:rPr>
                    <w:t>voor</w:t>
                  </w:r>
                  <w:proofErr w:type="spellEnd"/>
                  <w:r w:rsidRPr="00256BA2">
                    <w:rPr>
                      <w:rFonts w:cs="Calibri"/>
                      <w:szCs w:val="18"/>
                      <w:lang w:val="en-US"/>
                    </w:rPr>
                    <w:t xml:space="preserve"> </w:t>
                  </w:r>
                  <w:proofErr w:type="spellStart"/>
                  <w:r w:rsidRPr="00256BA2">
                    <w:rPr>
                      <w:rFonts w:cs="Calibri"/>
                      <w:szCs w:val="18"/>
                      <w:lang w:val="en-US"/>
                    </w:rPr>
                    <w:t>een</w:t>
                  </w:r>
                  <w:proofErr w:type="spellEnd"/>
                  <w:r w:rsidRPr="00256BA2">
                    <w:rPr>
                      <w:rFonts w:cs="Calibri"/>
                      <w:szCs w:val="18"/>
                      <w:lang w:val="en-US"/>
                    </w:rPr>
                    <w:t xml:space="preserve"> UITVOERINGSBESLUIT VAN DE RAAD tot </w:t>
                  </w:r>
                  <w:proofErr w:type="spellStart"/>
                  <w:r w:rsidRPr="00256BA2">
                    <w:rPr>
                      <w:rFonts w:cs="Calibri"/>
                      <w:szCs w:val="18"/>
                      <w:lang w:val="en-US"/>
                    </w:rPr>
                    <w:t>wijziging</w:t>
                  </w:r>
                  <w:proofErr w:type="spellEnd"/>
                  <w:r w:rsidRPr="00256BA2">
                    <w:rPr>
                      <w:rFonts w:cs="Calibri"/>
                      <w:szCs w:val="18"/>
                      <w:lang w:val="en-US"/>
                    </w:rPr>
                    <w:t xml:space="preserve"> van </w:t>
                  </w:r>
                  <w:proofErr w:type="spellStart"/>
                  <w:r w:rsidRPr="00256BA2">
                    <w:rPr>
                      <w:rFonts w:cs="Calibri"/>
                      <w:szCs w:val="18"/>
                      <w:lang w:val="en-US"/>
                    </w:rPr>
                    <w:t>Uitvoeringsbesluit</w:t>
                  </w:r>
                  <w:proofErr w:type="spellEnd"/>
                  <w:r w:rsidRPr="00256BA2">
                    <w:rPr>
                      <w:rFonts w:cs="Calibri"/>
                      <w:szCs w:val="18"/>
                      <w:lang w:val="en-US"/>
                    </w:rPr>
                    <w:t xml:space="preserve"> 2013/53/EU van de </w:t>
                  </w:r>
                  <w:proofErr w:type="spellStart"/>
                  <w:r w:rsidRPr="00256BA2">
                    <w:rPr>
                      <w:rFonts w:cs="Calibri"/>
                      <w:szCs w:val="18"/>
                      <w:lang w:val="en-US"/>
                    </w:rPr>
                    <w:t>Raad</w:t>
                  </w:r>
                  <w:proofErr w:type="spellEnd"/>
                  <w:r w:rsidRPr="00256BA2">
                    <w:rPr>
                      <w:rFonts w:cs="Calibri"/>
                      <w:szCs w:val="18"/>
                      <w:lang w:val="en-US"/>
                    </w:rPr>
                    <w:t xml:space="preserve"> </w:t>
                  </w:r>
                  <w:proofErr w:type="spellStart"/>
                  <w:r w:rsidRPr="00256BA2">
                    <w:rPr>
                      <w:rFonts w:cs="Calibri"/>
                      <w:szCs w:val="18"/>
                      <w:lang w:val="en-US"/>
                    </w:rPr>
                    <w:t>waarbij</w:t>
                  </w:r>
                  <w:proofErr w:type="spellEnd"/>
                  <w:r w:rsidRPr="00256BA2">
                    <w:rPr>
                      <w:rFonts w:cs="Calibri"/>
                      <w:szCs w:val="18"/>
                      <w:lang w:val="en-US"/>
                    </w:rPr>
                    <w:t xml:space="preserve"> het </w:t>
                  </w:r>
                  <w:proofErr w:type="spellStart"/>
                  <w:r w:rsidRPr="00256BA2">
                    <w:rPr>
                      <w:rFonts w:cs="Calibri"/>
                      <w:szCs w:val="18"/>
                      <w:lang w:val="en-US"/>
                    </w:rPr>
                    <w:t>Koninkrijk</w:t>
                  </w:r>
                  <w:proofErr w:type="spellEnd"/>
                  <w:r w:rsidRPr="00256BA2">
                    <w:rPr>
                      <w:rFonts w:cs="Calibri"/>
                      <w:szCs w:val="18"/>
                      <w:lang w:val="en-US"/>
                    </w:rPr>
                    <w:t xml:space="preserve"> </w:t>
                  </w:r>
                  <w:proofErr w:type="spellStart"/>
                  <w:r w:rsidRPr="00256BA2">
                    <w:rPr>
                      <w:rFonts w:cs="Calibri"/>
                      <w:szCs w:val="18"/>
                      <w:lang w:val="en-US"/>
                    </w:rPr>
                    <w:t>België</w:t>
                  </w:r>
                  <w:proofErr w:type="spellEnd"/>
                  <w:r w:rsidRPr="00256BA2">
                    <w:rPr>
                      <w:rFonts w:cs="Calibri"/>
                      <w:szCs w:val="18"/>
                      <w:lang w:val="en-US"/>
                    </w:rPr>
                    <w:t xml:space="preserve"> </w:t>
                  </w:r>
                  <w:proofErr w:type="spellStart"/>
                  <w:r w:rsidRPr="00256BA2">
                    <w:rPr>
                      <w:rFonts w:cs="Calibri"/>
                      <w:szCs w:val="18"/>
                      <w:lang w:val="en-US"/>
                    </w:rPr>
                    <w:t>wordt</w:t>
                  </w:r>
                  <w:proofErr w:type="spellEnd"/>
                  <w:r w:rsidRPr="00256BA2">
                    <w:rPr>
                      <w:rFonts w:cs="Calibri"/>
                      <w:szCs w:val="18"/>
                      <w:lang w:val="en-US"/>
                    </w:rPr>
                    <w:t xml:space="preserve"> </w:t>
                  </w:r>
                  <w:proofErr w:type="spellStart"/>
                  <w:r w:rsidRPr="00256BA2">
                    <w:rPr>
                      <w:rFonts w:cs="Calibri"/>
                      <w:szCs w:val="18"/>
                      <w:lang w:val="en-US"/>
                    </w:rPr>
                    <w:t>gemachtigd</w:t>
                  </w:r>
                  <w:proofErr w:type="spellEnd"/>
                  <w:r w:rsidRPr="00256BA2">
                    <w:rPr>
                      <w:rFonts w:cs="Calibri"/>
                      <w:szCs w:val="18"/>
                      <w:lang w:val="en-US"/>
                    </w:rPr>
                    <w:t xml:space="preserve"> de </w:t>
                  </w:r>
                  <w:proofErr w:type="spellStart"/>
                  <w:r w:rsidRPr="00256BA2">
                    <w:rPr>
                      <w:rFonts w:cs="Calibri"/>
                      <w:szCs w:val="18"/>
                      <w:lang w:val="en-US"/>
                    </w:rPr>
                    <w:t>bijzondere</w:t>
                  </w:r>
                  <w:proofErr w:type="spellEnd"/>
                  <w:r w:rsidRPr="00256BA2">
                    <w:rPr>
                      <w:rFonts w:cs="Calibri"/>
                      <w:szCs w:val="18"/>
                      <w:lang w:val="en-US"/>
                    </w:rPr>
                    <w:t xml:space="preserve"> </w:t>
                  </w:r>
                  <w:proofErr w:type="spellStart"/>
                  <w:r w:rsidRPr="00256BA2">
                    <w:rPr>
                      <w:rFonts w:cs="Calibri"/>
                      <w:szCs w:val="18"/>
                      <w:lang w:val="en-US"/>
                    </w:rPr>
                    <w:t>maatregel</w:t>
                  </w:r>
                  <w:proofErr w:type="spellEnd"/>
                  <w:r w:rsidRPr="00256BA2">
                    <w:rPr>
                      <w:rFonts w:cs="Calibri"/>
                      <w:szCs w:val="18"/>
                      <w:lang w:val="en-US"/>
                    </w:rPr>
                    <w:t xml:space="preserve"> die </w:t>
                  </w:r>
                  <w:proofErr w:type="spellStart"/>
                  <w:r w:rsidRPr="00256BA2">
                    <w:rPr>
                      <w:rFonts w:cs="Calibri"/>
                      <w:szCs w:val="18"/>
                      <w:lang w:val="en-US"/>
                    </w:rPr>
                    <w:t>afwijkt</w:t>
                  </w:r>
                  <w:proofErr w:type="spellEnd"/>
                  <w:r w:rsidRPr="00256BA2">
                    <w:rPr>
                      <w:rFonts w:cs="Calibri"/>
                      <w:szCs w:val="18"/>
                      <w:lang w:val="en-US"/>
                    </w:rPr>
                    <w:t xml:space="preserve"> van </w:t>
                  </w:r>
                  <w:proofErr w:type="spellStart"/>
                  <w:r w:rsidRPr="00256BA2">
                    <w:rPr>
                      <w:rFonts w:cs="Calibri"/>
                      <w:szCs w:val="18"/>
                      <w:lang w:val="en-US"/>
                    </w:rPr>
                    <w:t>artikel</w:t>
                  </w:r>
                  <w:proofErr w:type="spellEnd"/>
                  <w:r w:rsidRPr="00256BA2">
                    <w:rPr>
                      <w:rFonts w:cs="Calibri"/>
                      <w:szCs w:val="18"/>
                      <w:lang w:val="en-US"/>
                    </w:rPr>
                    <w:t xml:space="preserve"> 285 van </w:t>
                  </w:r>
                  <w:proofErr w:type="spellStart"/>
                  <w:r w:rsidRPr="00256BA2">
                    <w:rPr>
                      <w:rFonts w:cs="Calibri"/>
                      <w:szCs w:val="18"/>
                      <w:lang w:val="en-US"/>
                    </w:rPr>
                    <w:t>Richtlijn</w:t>
                  </w:r>
                  <w:proofErr w:type="spellEnd"/>
                  <w:r w:rsidRPr="00256BA2">
                    <w:rPr>
                      <w:rFonts w:cs="Calibri"/>
                      <w:szCs w:val="18"/>
                      <w:lang w:val="en-US"/>
                    </w:rPr>
                    <w:t xml:space="preserve"> 2006/112/EG </w:t>
                  </w:r>
                  <w:proofErr w:type="spellStart"/>
                  <w:r w:rsidRPr="00256BA2">
                    <w:rPr>
                      <w:rFonts w:cs="Calibri"/>
                      <w:szCs w:val="18"/>
                      <w:lang w:val="en-US"/>
                    </w:rPr>
                    <w:t>gedurende</w:t>
                  </w:r>
                  <w:proofErr w:type="spellEnd"/>
                  <w:r w:rsidRPr="00256BA2">
                    <w:rPr>
                      <w:rFonts w:cs="Calibri"/>
                      <w:szCs w:val="18"/>
                      <w:lang w:val="en-US"/>
                    </w:rPr>
                    <w:t xml:space="preserve"> </w:t>
                  </w:r>
                  <w:proofErr w:type="spellStart"/>
                  <w:r w:rsidRPr="00256BA2">
                    <w:rPr>
                      <w:rFonts w:cs="Calibri"/>
                      <w:szCs w:val="18"/>
                      <w:lang w:val="en-US"/>
                    </w:rPr>
                    <w:t>een</w:t>
                  </w:r>
                  <w:proofErr w:type="spellEnd"/>
                  <w:r w:rsidRPr="00256BA2">
                    <w:rPr>
                      <w:rFonts w:cs="Calibri"/>
                      <w:szCs w:val="18"/>
                      <w:lang w:val="en-US"/>
                    </w:rPr>
                    <w:t xml:space="preserve"> </w:t>
                  </w:r>
                  <w:proofErr w:type="spellStart"/>
                  <w:r w:rsidRPr="00256BA2">
                    <w:rPr>
                      <w:rFonts w:cs="Calibri"/>
                      <w:szCs w:val="18"/>
                      <w:lang w:val="en-US"/>
                    </w:rPr>
                    <w:t>nieuwe</w:t>
                  </w:r>
                  <w:proofErr w:type="spellEnd"/>
                  <w:r w:rsidRPr="00256BA2">
                    <w:rPr>
                      <w:rFonts w:cs="Calibri"/>
                      <w:szCs w:val="18"/>
                      <w:lang w:val="en-US"/>
                    </w:rPr>
                    <w:t xml:space="preserve"> </w:t>
                  </w:r>
                  <w:proofErr w:type="spellStart"/>
                  <w:r w:rsidRPr="00256BA2">
                    <w:rPr>
                      <w:rFonts w:cs="Calibri"/>
                      <w:szCs w:val="18"/>
                      <w:lang w:val="en-US"/>
                    </w:rPr>
                    <w:t>periode</w:t>
                  </w:r>
                  <w:proofErr w:type="spellEnd"/>
                  <w:r w:rsidRPr="00256BA2">
                    <w:rPr>
                      <w:rFonts w:cs="Calibri"/>
                      <w:szCs w:val="18"/>
                      <w:lang w:val="en-US"/>
                    </w:rPr>
                    <w:t xml:space="preserve"> toe </w:t>
                  </w:r>
                  <w:proofErr w:type="spellStart"/>
                  <w:r w:rsidRPr="00256BA2">
                    <w:rPr>
                      <w:rFonts w:cs="Calibri"/>
                      <w:szCs w:val="18"/>
                      <w:lang w:val="en-US"/>
                    </w:rPr>
                    <w:t>te</w:t>
                  </w:r>
                  <w:proofErr w:type="spellEnd"/>
                  <w:r w:rsidRPr="00256BA2">
                    <w:rPr>
                      <w:rFonts w:cs="Calibri"/>
                      <w:szCs w:val="18"/>
                      <w:lang w:val="en-US"/>
                    </w:rPr>
                    <w:t xml:space="preserve"> </w:t>
                  </w:r>
                  <w:proofErr w:type="spellStart"/>
                  <w:r w:rsidRPr="00256BA2">
                    <w:rPr>
                      <w:rFonts w:cs="Calibri"/>
                      <w:szCs w:val="18"/>
                      <w:lang w:val="en-US"/>
                    </w:rPr>
                    <w:t>passen</w:t>
                  </w:r>
                  <w:proofErr w:type="spellEnd"/>
                  <w:r w:rsidRPr="00256BA2">
                    <w:rPr>
                      <w:rFonts w:cs="Calibri"/>
                      <w:szCs w:val="18"/>
                      <w:lang w:val="en-US"/>
                    </w:rPr>
                    <w:t xml:space="preserve"> </w:t>
                  </w:r>
                  <w:hyperlink w:history="1" r:id="rId34">
                    <w:r w:rsidRPr="00256BA2">
                      <w:rPr>
                        <w:rStyle w:val="Hyperlink"/>
                        <w:rFonts w:cs="Calibri"/>
                        <w:szCs w:val="18"/>
                        <w:lang w:val="en-US"/>
                      </w:rPr>
                      <w:t>COM (2021) 711</w:t>
                    </w:r>
                  </w:hyperlink>
                </w:p>
              </w:tc>
            </w:tr>
          </w:tbl>
          <w:p w:rsidRPr="00256BA2" w:rsidR="005F0171" w:rsidP="005F0171" w:rsidRDefault="005F0171" w14:paraId="33D0783C" w14:textId="77777777">
            <w:pPr>
              <w:spacing w:after="240"/>
              <w:rPr>
                <w:b/>
                <w:color w:val="595959" w:themeColor="text1" w:themeTint="A6"/>
                <w:szCs w:val="18"/>
              </w:rPr>
            </w:pPr>
          </w:p>
        </w:tc>
      </w:tr>
      <w:tr w:rsidRPr="00256BA2" w:rsidR="005F0171" w:rsidTr="0010415C" w14:paraId="4D3A6C3D"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5F0171" w:rsidP="005F0171" w:rsidRDefault="005F0171" w14:paraId="4C0E76E0" w14:textId="77777777">
            <w:pPr>
              <w:spacing w:after="240"/>
              <w:rPr>
                <w:szCs w:val="18"/>
              </w:rPr>
            </w:pPr>
          </w:p>
        </w:tc>
        <w:tc>
          <w:tcPr>
            <w:tcW w:w="1035" w:type="dxa"/>
          </w:tcPr>
          <w:p w:rsidRPr="00256BA2" w:rsidR="005F0171" w:rsidP="005F0171" w:rsidRDefault="005F0171" w14:paraId="61F33E1F" w14:textId="77777777">
            <w:pPr>
              <w:spacing w:after="240"/>
              <w:rPr>
                <w:szCs w:val="18"/>
              </w:rPr>
            </w:pPr>
            <w:r w:rsidRPr="00256BA2">
              <w:rPr>
                <w:szCs w:val="18"/>
              </w:rPr>
              <w:t>Voorstel</w:t>
            </w:r>
          </w:p>
        </w:tc>
        <w:tc>
          <w:tcPr>
            <w:tcW w:w="6529" w:type="dxa"/>
          </w:tcPr>
          <w:p w:rsidRPr="00256BA2" w:rsidR="005F0171" w:rsidP="005F0171" w:rsidRDefault="00FD032E" w14:paraId="4BA327CB" w14:textId="078A07D2">
            <w:pPr>
              <w:spacing w:after="240"/>
              <w:rPr>
                <w:szCs w:val="18"/>
              </w:rPr>
            </w:pPr>
            <w:r w:rsidRPr="00256BA2">
              <w:rPr>
                <w:szCs w:val="18"/>
              </w:rPr>
              <w:t>Voor kennisgeving aannemen.</w:t>
            </w:r>
          </w:p>
        </w:tc>
      </w:tr>
      <w:tr w:rsidRPr="00256BA2" w:rsidR="005F0171" w:rsidTr="0010415C" w14:paraId="1DA5C7C2"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5F0171" w:rsidP="005F0171" w:rsidRDefault="005F0171" w14:paraId="555743AA" w14:textId="77777777">
            <w:pPr>
              <w:spacing w:after="240"/>
              <w:rPr>
                <w:color w:val="595959" w:themeColor="text1" w:themeTint="A6"/>
                <w:szCs w:val="18"/>
              </w:rPr>
            </w:pPr>
          </w:p>
        </w:tc>
        <w:tc>
          <w:tcPr>
            <w:tcW w:w="1035" w:type="dxa"/>
          </w:tcPr>
          <w:p w:rsidRPr="00256BA2" w:rsidR="005F0171" w:rsidP="005F0171" w:rsidRDefault="005F0171" w14:paraId="0FCBB2FE" w14:textId="77777777">
            <w:pPr>
              <w:spacing w:after="240"/>
              <w:rPr>
                <w:color w:val="595959" w:themeColor="text1" w:themeTint="A6"/>
                <w:szCs w:val="18"/>
              </w:rPr>
            </w:pPr>
            <w:r w:rsidRPr="00256BA2">
              <w:rPr>
                <w:color w:val="595959" w:themeColor="text1" w:themeTint="A6"/>
                <w:szCs w:val="18"/>
              </w:rPr>
              <w:t>Noot</w:t>
            </w:r>
          </w:p>
        </w:tc>
        <w:tc>
          <w:tcPr>
            <w:tcW w:w="6529" w:type="dxa"/>
          </w:tcPr>
          <w:p w:rsidRPr="00256BA2" w:rsidR="005F0171" w:rsidP="00FD032E" w:rsidRDefault="00FD032E" w14:paraId="149E72C6" w14:textId="78533F99">
            <w:pPr>
              <w:spacing w:after="240"/>
              <w:rPr>
                <w:color w:val="595959" w:themeColor="text1" w:themeTint="A6"/>
                <w:szCs w:val="18"/>
              </w:rPr>
            </w:pPr>
            <w:r w:rsidRPr="00256BA2">
              <w:rPr>
                <w:color w:val="595959" w:themeColor="text1" w:themeTint="A6"/>
                <w:szCs w:val="18"/>
              </w:rPr>
              <w:t xml:space="preserve">Dit betreft een vergelijkbaar voorstel voor een uitvoeringsbesluit naar aanleiding van een verzoek van België om een maatregel te mogen blijven toepassen die afwijkt van de btw-richtlijn, zodat het belastingplichtigen met een jaaromzet van niet meer dan 25 000 EUR van de btw kan vrijstellen. </w:t>
            </w:r>
          </w:p>
        </w:tc>
      </w:tr>
    </w:tbl>
    <w:p w:rsidRPr="00256BA2" w:rsidR="005F0171" w:rsidP="002A4BD8" w:rsidRDefault="005F0171" w14:paraId="4D1348AC" w14:textId="35CA59FD">
      <w:pPr>
        <w:rPr>
          <w:szCs w:val="18"/>
        </w:rPr>
      </w:pPr>
    </w:p>
    <w:tbl>
      <w:tblPr>
        <w:tblStyle w:val="Tabelraster13"/>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256BA2" w:rsidR="005F0171" w:rsidTr="0010415C" w14:paraId="2CF2FA9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56BA2" w:rsidR="005F0171" w:rsidP="005F0171" w:rsidRDefault="005F0171" w14:paraId="77D7DF19" w14:textId="77777777">
            <w:pPr>
              <w:numPr>
                <w:ilvl w:val="0"/>
                <w:numId w:val="10"/>
              </w:numPr>
              <w:spacing w:after="240"/>
              <w:ind w:left="312"/>
              <w:contextualSpacing/>
              <w:rPr>
                <w:color w:val="595959" w:themeColor="text1" w:themeTint="A6"/>
                <w:szCs w:val="18"/>
              </w:rPr>
            </w:pPr>
          </w:p>
        </w:tc>
        <w:tc>
          <w:tcPr>
            <w:tcW w:w="1035" w:type="dxa"/>
          </w:tcPr>
          <w:p w:rsidRPr="00256BA2" w:rsidR="005F0171" w:rsidP="005F0171" w:rsidRDefault="005F0171" w14:paraId="2F96C283" w14:textId="77777777">
            <w:pPr>
              <w:spacing w:after="240"/>
              <w:rPr>
                <w:color w:val="595959" w:themeColor="text1" w:themeTint="A6"/>
                <w:szCs w:val="18"/>
              </w:rPr>
            </w:pPr>
            <w:r w:rsidRPr="00256BA2">
              <w:rPr>
                <w:color w:val="595959" w:themeColor="text1" w:themeTint="A6"/>
                <w:szCs w:val="18"/>
              </w:rPr>
              <w:t>Titel</w:t>
            </w:r>
          </w:p>
        </w:tc>
        <w:tc>
          <w:tcPr>
            <w:tcW w:w="6529" w:type="dxa"/>
          </w:tcPr>
          <w:p w:rsidRPr="00256BA2" w:rsidR="005F0171" w:rsidP="005F0171" w:rsidRDefault="003502DA" w14:paraId="45B0DBF4" w14:textId="2FF04E3B">
            <w:pPr>
              <w:spacing w:after="240"/>
              <w:rPr>
                <w:b/>
                <w:color w:val="595959" w:themeColor="text1" w:themeTint="A6"/>
                <w:szCs w:val="18"/>
              </w:rPr>
            </w:pPr>
            <w:proofErr w:type="spellStart"/>
            <w:r w:rsidRPr="003502DA">
              <w:rPr>
                <w:rFonts w:cs="Calibri"/>
                <w:szCs w:val="18"/>
                <w:lang w:val="en-US"/>
              </w:rPr>
              <w:t>Voorstel</w:t>
            </w:r>
            <w:proofErr w:type="spellEnd"/>
            <w:r w:rsidRPr="003502DA">
              <w:rPr>
                <w:rFonts w:cs="Calibri"/>
                <w:szCs w:val="18"/>
                <w:lang w:val="en-US"/>
              </w:rPr>
              <w:t xml:space="preserve"> </w:t>
            </w:r>
            <w:proofErr w:type="spellStart"/>
            <w:r w:rsidRPr="003502DA">
              <w:rPr>
                <w:rFonts w:cs="Calibri"/>
                <w:szCs w:val="18"/>
                <w:lang w:val="en-US"/>
              </w:rPr>
              <w:t>voor</w:t>
            </w:r>
            <w:proofErr w:type="spellEnd"/>
            <w:r w:rsidRPr="003502DA">
              <w:rPr>
                <w:rFonts w:cs="Calibri"/>
                <w:szCs w:val="18"/>
                <w:lang w:val="en-US"/>
              </w:rPr>
              <w:t xml:space="preserve"> </w:t>
            </w:r>
            <w:proofErr w:type="spellStart"/>
            <w:r w:rsidRPr="003502DA">
              <w:rPr>
                <w:rFonts w:cs="Calibri"/>
                <w:szCs w:val="18"/>
                <w:lang w:val="en-US"/>
              </w:rPr>
              <w:t>een</w:t>
            </w:r>
            <w:proofErr w:type="spellEnd"/>
            <w:r w:rsidRPr="003502DA">
              <w:rPr>
                <w:rFonts w:cs="Calibri"/>
                <w:szCs w:val="18"/>
                <w:lang w:val="en-US"/>
              </w:rPr>
              <w:t xml:space="preserve"> UITVOERINGSBESLUIT VAN DE RAAD tot </w:t>
            </w:r>
            <w:proofErr w:type="spellStart"/>
            <w:r w:rsidRPr="003502DA">
              <w:rPr>
                <w:rFonts w:cs="Calibri"/>
                <w:szCs w:val="18"/>
                <w:lang w:val="en-US"/>
              </w:rPr>
              <w:t>wijziging</w:t>
            </w:r>
            <w:proofErr w:type="spellEnd"/>
            <w:r w:rsidRPr="003502DA">
              <w:rPr>
                <w:rFonts w:cs="Calibri"/>
                <w:szCs w:val="18"/>
                <w:lang w:val="en-US"/>
              </w:rPr>
              <w:t xml:space="preserve"> van </w:t>
            </w:r>
            <w:proofErr w:type="spellStart"/>
            <w:r w:rsidRPr="003502DA">
              <w:rPr>
                <w:rFonts w:cs="Calibri"/>
                <w:szCs w:val="18"/>
                <w:lang w:val="en-US"/>
              </w:rPr>
              <w:t>Uitvoeringsbesluit</w:t>
            </w:r>
            <w:proofErr w:type="spellEnd"/>
            <w:r w:rsidRPr="003502DA">
              <w:rPr>
                <w:rFonts w:cs="Calibri"/>
                <w:szCs w:val="18"/>
                <w:lang w:val="en-US"/>
              </w:rPr>
              <w:t xml:space="preserve"> 2009/1008/EU </w:t>
            </w:r>
            <w:proofErr w:type="spellStart"/>
            <w:r w:rsidRPr="003502DA">
              <w:rPr>
                <w:rFonts w:cs="Calibri"/>
                <w:szCs w:val="18"/>
                <w:lang w:val="en-US"/>
              </w:rPr>
              <w:t>waarbij</w:t>
            </w:r>
            <w:proofErr w:type="spellEnd"/>
            <w:r w:rsidRPr="003502DA">
              <w:rPr>
                <w:rFonts w:cs="Calibri"/>
                <w:szCs w:val="18"/>
                <w:lang w:val="en-US"/>
              </w:rPr>
              <w:t xml:space="preserve"> de </w:t>
            </w:r>
            <w:proofErr w:type="spellStart"/>
            <w:r w:rsidRPr="003502DA">
              <w:rPr>
                <w:rFonts w:cs="Calibri"/>
                <w:szCs w:val="18"/>
                <w:lang w:val="en-US"/>
              </w:rPr>
              <w:t>Republiek</w:t>
            </w:r>
            <w:proofErr w:type="spellEnd"/>
            <w:r w:rsidRPr="003502DA">
              <w:rPr>
                <w:rFonts w:cs="Calibri"/>
                <w:szCs w:val="18"/>
                <w:lang w:val="en-US"/>
              </w:rPr>
              <w:t xml:space="preserve"> </w:t>
            </w:r>
            <w:proofErr w:type="spellStart"/>
            <w:r w:rsidRPr="003502DA">
              <w:rPr>
                <w:rFonts w:cs="Calibri"/>
                <w:szCs w:val="18"/>
                <w:lang w:val="en-US"/>
              </w:rPr>
              <w:t>Letland</w:t>
            </w:r>
            <w:proofErr w:type="spellEnd"/>
            <w:r w:rsidRPr="003502DA">
              <w:rPr>
                <w:rFonts w:cs="Calibri"/>
                <w:szCs w:val="18"/>
                <w:lang w:val="en-US"/>
              </w:rPr>
              <w:t xml:space="preserve"> </w:t>
            </w:r>
            <w:proofErr w:type="spellStart"/>
            <w:r w:rsidRPr="003502DA">
              <w:rPr>
                <w:rFonts w:cs="Calibri"/>
                <w:szCs w:val="18"/>
                <w:lang w:val="en-US"/>
              </w:rPr>
              <w:t>wordt</w:t>
            </w:r>
            <w:proofErr w:type="spellEnd"/>
            <w:r w:rsidRPr="003502DA">
              <w:rPr>
                <w:rFonts w:cs="Calibri"/>
                <w:szCs w:val="18"/>
                <w:lang w:val="en-US"/>
              </w:rPr>
              <w:t xml:space="preserve"> </w:t>
            </w:r>
            <w:proofErr w:type="spellStart"/>
            <w:r w:rsidRPr="003502DA">
              <w:rPr>
                <w:rFonts w:cs="Calibri"/>
                <w:szCs w:val="18"/>
                <w:lang w:val="en-US"/>
              </w:rPr>
              <w:t>gemachtigd</w:t>
            </w:r>
            <w:proofErr w:type="spellEnd"/>
            <w:r w:rsidRPr="003502DA">
              <w:rPr>
                <w:rFonts w:cs="Calibri"/>
                <w:szCs w:val="18"/>
                <w:lang w:val="en-US"/>
              </w:rPr>
              <w:t xml:space="preserve"> </w:t>
            </w:r>
            <w:proofErr w:type="spellStart"/>
            <w:r w:rsidRPr="003502DA">
              <w:rPr>
                <w:rFonts w:cs="Calibri"/>
                <w:szCs w:val="18"/>
                <w:lang w:val="en-US"/>
              </w:rPr>
              <w:t>een</w:t>
            </w:r>
            <w:proofErr w:type="spellEnd"/>
            <w:r w:rsidRPr="003502DA">
              <w:rPr>
                <w:rFonts w:cs="Calibri"/>
                <w:szCs w:val="18"/>
                <w:lang w:val="en-US"/>
              </w:rPr>
              <w:t xml:space="preserve"> </w:t>
            </w:r>
            <w:proofErr w:type="spellStart"/>
            <w:r w:rsidRPr="003502DA">
              <w:rPr>
                <w:rFonts w:cs="Calibri"/>
                <w:szCs w:val="18"/>
                <w:lang w:val="en-US"/>
              </w:rPr>
              <w:t>maatregel</w:t>
            </w:r>
            <w:proofErr w:type="spellEnd"/>
            <w:r w:rsidRPr="003502DA">
              <w:rPr>
                <w:rFonts w:cs="Calibri"/>
                <w:szCs w:val="18"/>
                <w:lang w:val="en-US"/>
              </w:rPr>
              <w:t xml:space="preserve"> </w:t>
            </w:r>
            <w:proofErr w:type="spellStart"/>
            <w:r w:rsidRPr="003502DA">
              <w:rPr>
                <w:rFonts w:cs="Calibri"/>
                <w:szCs w:val="18"/>
                <w:lang w:val="en-US"/>
              </w:rPr>
              <w:t>te</w:t>
            </w:r>
            <w:proofErr w:type="spellEnd"/>
            <w:r w:rsidRPr="003502DA">
              <w:rPr>
                <w:rFonts w:cs="Calibri"/>
                <w:szCs w:val="18"/>
                <w:lang w:val="en-US"/>
              </w:rPr>
              <w:t xml:space="preserve"> </w:t>
            </w:r>
            <w:proofErr w:type="spellStart"/>
            <w:r w:rsidRPr="003502DA">
              <w:rPr>
                <w:rFonts w:cs="Calibri"/>
                <w:szCs w:val="18"/>
                <w:lang w:val="en-US"/>
              </w:rPr>
              <w:t>blijven</w:t>
            </w:r>
            <w:proofErr w:type="spellEnd"/>
            <w:r w:rsidRPr="003502DA">
              <w:rPr>
                <w:rFonts w:cs="Calibri"/>
                <w:szCs w:val="18"/>
                <w:lang w:val="en-US"/>
              </w:rPr>
              <w:t xml:space="preserve"> </w:t>
            </w:r>
            <w:proofErr w:type="spellStart"/>
            <w:r w:rsidRPr="003502DA">
              <w:rPr>
                <w:rFonts w:cs="Calibri"/>
                <w:szCs w:val="18"/>
                <w:lang w:val="en-US"/>
              </w:rPr>
              <w:t>toepassen</w:t>
            </w:r>
            <w:proofErr w:type="spellEnd"/>
            <w:r w:rsidRPr="003502DA">
              <w:rPr>
                <w:rFonts w:cs="Calibri"/>
                <w:szCs w:val="18"/>
                <w:lang w:val="en-US"/>
              </w:rPr>
              <w:t xml:space="preserve"> die </w:t>
            </w:r>
            <w:proofErr w:type="spellStart"/>
            <w:r w:rsidRPr="003502DA">
              <w:rPr>
                <w:rFonts w:cs="Calibri"/>
                <w:szCs w:val="18"/>
                <w:lang w:val="en-US"/>
              </w:rPr>
              <w:t>afwijkt</w:t>
            </w:r>
            <w:proofErr w:type="spellEnd"/>
            <w:r w:rsidRPr="003502DA">
              <w:rPr>
                <w:rFonts w:cs="Calibri"/>
                <w:szCs w:val="18"/>
                <w:lang w:val="en-US"/>
              </w:rPr>
              <w:t xml:space="preserve"> van </w:t>
            </w:r>
            <w:proofErr w:type="spellStart"/>
            <w:r w:rsidRPr="003502DA">
              <w:rPr>
                <w:rFonts w:cs="Calibri"/>
                <w:szCs w:val="18"/>
                <w:lang w:val="en-US"/>
              </w:rPr>
              <w:t>artikel</w:t>
            </w:r>
            <w:proofErr w:type="spellEnd"/>
            <w:r w:rsidRPr="003502DA">
              <w:rPr>
                <w:rFonts w:cs="Calibri"/>
                <w:szCs w:val="18"/>
                <w:lang w:val="en-US"/>
              </w:rPr>
              <w:t xml:space="preserve"> 193 van </w:t>
            </w:r>
            <w:proofErr w:type="spellStart"/>
            <w:r w:rsidRPr="003502DA">
              <w:rPr>
                <w:rFonts w:cs="Calibri"/>
                <w:szCs w:val="18"/>
                <w:lang w:val="en-US"/>
              </w:rPr>
              <w:t>Richtlijn</w:t>
            </w:r>
            <w:proofErr w:type="spellEnd"/>
            <w:r w:rsidRPr="003502DA">
              <w:rPr>
                <w:rFonts w:cs="Calibri"/>
                <w:szCs w:val="18"/>
                <w:lang w:val="en-US"/>
              </w:rPr>
              <w:t xml:space="preserve"> 2006/112/EG </w:t>
            </w:r>
            <w:proofErr w:type="spellStart"/>
            <w:r w:rsidRPr="003502DA">
              <w:rPr>
                <w:rFonts w:cs="Calibri"/>
                <w:szCs w:val="18"/>
                <w:lang w:val="en-US"/>
              </w:rPr>
              <w:t>betreffende</w:t>
            </w:r>
            <w:proofErr w:type="spellEnd"/>
            <w:r w:rsidRPr="003502DA">
              <w:rPr>
                <w:rFonts w:cs="Calibri"/>
                <w:szCs w:val="18"/>
                <w:lang w:val="en-US"/>
              </w:rPr>
              <w:t xml:space="preserve"> het </w:t>
            </w:r>
            <w:proofErr w:type="spellStart"/>
            <w:r w:rsidRPr="003502DA">
              <w:rPr>
                <w:rFonts w:cs="Calibri"/>
                <w:szCs w:val="18"/>
                <w:lang w:val="en-US"/>
              </w:rPr>
              <w:t>gemeenschappelijke</w:t>
            </w:r>
            <w:proofErr w:type="spellEnd"/>
            <w:r w:rsidRPr="003502DA">
              <w:rPr>
                <w:rFonts w:cs="Calibri"/>
                <w:szCs w:val="18"/>
                <w:lang w:val="en-US"/>
              </w:rPr>
              <w:t xml:space="preserve"> </w:t>
            </w:r>
            <w:proofErr w:type="spellStart"/>
            <w:r w:rsidRPr="003502DA">
              <w:rPr>
                <w:rFonts w:cs="Calibri"/>
                <w:szCs w:val="18"/>
                <w:lang w:val="en-US"/>
              </w:rPr>
              <w:t>stelsel</w:t>
            </w:r>
            <w:proofErr w:type="spellEnd"/>
            <w:r w:rsidRPr="003502DA">
              <w:rPr>
                <w:rFonts w:cs="Calibri"/>
                <w:szCs w:val="18"/>
                <w:lang w:val="en-US"/>
              </w:rPr>
              <w:t xml:space="preserve"> van </w:t>
            </w:r>
            <w:proofErr w:type="spellStart"/>
            <w:r w:rsidRPr="003502DA">
              <w:rPr>
                <w:rFonts w:cs="Calibri"/>
                <w:szCs w:val="18"/>
                <w:lang w:val="en-US"/>
              </w:rPr>
              <w:t>belasting</w:t>
            </w:r>
            <w:proofErr w:type="spellEnd"/>
            <w:r w:rsidRPr="003502DA">
              <w:rPr>
                <w:rFonts w:cs="Calibri"/>
                <w:szCs w:val="18"/>
                <w:lang w:val="en-US"/>
              </w:rPr>
              <w:t xml:space="preserve"> over de </w:t>
            </w:r>
            <w:proofErr w:type="spellStart"/>
            <w:r w:rsidRPr="003502DA">
              <w:rPr>
                <w:rFonts w:cs="Calibri"/>
                <w:szCs w:val="18"/>
                <w:lang w:val="en-US"/>
              </w:rPr>
              <w:t>toegevoegde</w:t>
            </w:r>
            <w:proofErr w:type="spellEnd"/>
            <w:r w:rsidRPr="003502DA">
              <w:rPr>
                <w:rFonts w:cs="Calibri"/>
                <w:szCs w:val="18"/>
                <w:lang w:val="en-US"/>
              </w:rPr>
              <w:t xml:space="preserve"> </w:t>
            </w:r>
            <w:proofErr w:type="spellStart"/>
            <w:r w:rsidRPr="003502DA">
              <w:rPr>
                <w:rFonts w:cs="Calibri"/>
                <w:szCs w:val="18"/>
                <w:lang w:val="en-US"/>
              </w:rPr>
              <w:t>waarde</w:t>
            </w:r>
            <w:proofErr w:type="spellEnd"/>
            <w:r w:rsidRPr="003502DA">
              <w:rPr>
                <w:b/>
                <w:color w:val="595959" w:themeColor="text1" w:themeTint="A6"/>
                <w:szCs w:val="18"/>
                <w:lang w:val="en-US"/>
              </w:rPr>
              <w:t xml:space="preserve"> </w:t>
            </w:r>
            <w:hyperlink w:history="1" r:id="rId35">
              <w:r w:rsidRPr="003502DA">
                <w:rPr>
                  <w:rStyle w:val="Hyperlink"/>
                  <w:szCs w:val="18"/>
                  <w:lang w:val="en-US"/>
                </w:rPr>
                <w:t>COM (2021) 736</w:t>
              </w:r>
            </w:hyperlink>
          </w:p>
        </w:tc>
      </w:tr>
      <w:tr w:rsidRPr="00256BA2" w:rsidR="005F0171" w:rsidTr="0010415C" w14:paraId="6D5F2326"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5F0171" w:rsidP="005F0171" w:rsidRDefault="005F0171" w14:paraId="0084D36B" w14:textId="77777777">
            <w:pPr>
              <w:spacing w:after="240"/>
              <w:rPr>
                <w:szCs w:val="18"/>
              </w:rPr>
            </w:pPr>
          </w:p>
        </w:tc>
        <w:tc>
          <w:tcPr>
            <w:tcW w:w="1035" w:type="dxa"/>
          </w:tcPr>
          <w:p w:rsidRPr="00256BA2" w:rsidR="005F0171" w:rsidP="005F0171" w:rsidRDefault="005F0171" w14:paraId="02AF71D0" w14:textId="77777777">
            <w:pPr>
              <w:spacing w:after="240"/>
              <w:rPr>
                <w:szCs w:val="18"/>
              </w:rPr>
            </w:pPr>
            <w:r w:rsidRPr="00256BA2">
              <w:rPr>
                <w:szCs w:val="18"/>
              </w:rPr>
              <w:t>Voorstel</w:t>
            </w:r>
          </w:p>
        </w:tc>
        <w:tc>
          <w:tcPr>
            <w:tcW w:w="6529" w:type="dxa"/>
          </w:tcPr>
          <w:p w:rsidRPr="00256BA2" w:rsidR="005F0171" w:rsidP="005F0171" w:rsidRDefault="00BA6ACC" w14:paraId="1FADE60C" w14:textId="675EF2F4">
            <w:pPr>
              <w:spacing w:after="240"/>
              <w:rPr>
                <w:szCs w:val="18"/>
              </w:rPr>
            </w:pPr>
            <w:r>
              <w:rPr>
                <w:szCs w:val="18"/>
              </w:rPr>
              <w:t>Voor</w:t>
            </w:r>
            <w:r w:rsidR="003502DA">
              <w:rPr>
                <w:szCs w:val="18"/>
              </w:rPr>
              <w:t xml:space="preserve"> kennisgeving aannemen</w:t>
            </w:r>
          </w:p>
        </w:tc>
      </w:tr>
      <w:tr w:rsidRPr="00256BA2" w:rsidR="005F0171" w:rsidTr="0010415C" w14:paraId="7FA0F387"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5F0171" w:rsidP="005F0171" w:rsidRDefault="005F0171" w14:paraId="75D4509D" w14:textId="77777777">
            <w:pPr>
              <w:spacing w:after="240"/>
              <w:rPr>
                <w:color w:val="595959" w:themeColor="text1" w:themeTint="A6"/>
                <w:szCs w:val="18"/>
              </w:rPr>
            </w:pPr>
          </w:p>
        </w:tc>
        <w:tc>
          <w:tcPr>
            <w:tcW w:w="1035" w:type="dxa"/>
          </w:tcPr>
          <w:p w:rsidRPr="00256BA2" w:rsidR="005F0171" w:rsidP="005F0171" w:rsidRDefault="005F0171" w14:paraId="6D259D87" w14:textId="77777777">
            <w:pPr>
              <w:spacing w:after="240"/>
              <w:rPr>
                <w:color w:val="595959" w:themeColor="text1" w:themeTint="A6"/>
                <w:szCs w:val="18"/>
              </w:rPr>
            </w:pPr>
            <w:r w:rsidRPr="00256BA2">
              <w:rPr>
                <w:color w:val="595959" w:themeColor="text1" w:themeTint="A6"/>
                <w:szCs w:val="18"/>
              </w:rPr>
              <w:t>Noot</w:t>
            </w:r>
          </w:p>
        </w:tc>
        <w:tc>
          <w:tcPr>
            <w:tcW w:w="6529" w:type="dxa"/>
          </w:tcPr>
          <w:p w:rsidRPr="00256BA2" w:rsidR="005F0171" w:rsidP="003502DA" w:rsidRDefault="003502DA" w14:paraId="5719460B" w14:textId="18517064">
            <w:pPr>
              <w:spacing w:after="240"/>
              <w:rPr>
                <w:color w:val="595959" w:themeColor="text1" w:themeTint="A6"/>
                <w:szCs w:val="18"/>
              </w:rPr>
            </w:pPr>
            <w:r w:rsidRPr="00256BA2">
              <w:rPr>
                <w:color w:val="595959" w:themeColor="text1" w:themeTint="A6"/>
                <w:szCs w:val="18"/>
              </w:rPr>
              <w:t xml:space="preserve">Dit betreft een </w:t>
            </w:r>
            <w:r>
              <w:rPr>
                <w:color w:val="595959" w:themeColor="text1" w:themeTint="A6"/>
                <w:szCs w:val="18"/>
              </w:rPr>
              <w:t>v</w:t>
            </w:r>
            <w:r w:rsidRPr="00256BA2">
              <w:rPr>
                <w:color w:val="595959" w:themeColor="text1" w:themeTint="A6"/>
                <w:szCs w:val="18"/>
              </w:rPr>
              <w:t xml:space="preserve">oorstel voor een uitvoeringsbesluit naar aanleiding van een verzoek van </w:t>
            </w:r>
            <w:r>
              <w:rPr>
                <w:color w:val="595959" w:themeColor="text1" w:themeTint="A6"/>
                <w:szCs w:val="18"/>
              </w:rPr>
              <w:t>Letland</w:t>
            </w:r>
            <w:r w:rsidRPr="00256BA2">
              <w:rPr>
                <w:color w:val="595959" w:themeColor="text1" w:themeTint="A6"/>
                <w:szCs w:val="18"/>
              </w:rPr>
              <w:t xml:space="preserve"> om een maatregel te mogen blijven toepassen die afwijkt van de btw-richtlijn, </w:t>
            </w:r>
            <w:r>
              <w:rPr>
                <w:color w:val="595959" w:themeColor="text1" w:themeTint="A6"/>
                <w:szCs w:val="18"/>
              </w:rPr>
              <w:t xml:space="preserve">zodat Letland de </w:t>
            </w:r>
            <w:r w:rsidRPr="003502DA">
              <w:rPr>
                <w:color w:val="595959" w:themeColor="text1" w:themeTint="A6"/>
                <w:szCs w:val="18"/>
              </w:rPr>
              <w:t xml:space="preserve">verleggingsregeling </w:t>
            </w:r>
            <w:r>
              <w:rPr>
                <w:color w:val="595959" w:themeColor="text1" w:themeTint="A6"/>
                <w:szCs w:val="18"/>
              </w:rPr>
              <w:t>mag</w:t>
            </w:r>
            <w:r w:rsidRPr="003502DA">
              <w:rPr>
                <w:color w:val="595959" w:themeColor="text1" w:themeTint="A6"/>
                <w:szCs w:val="18"/>
              </w:rPr>
              <w:t xml:space="preserve"> blijven toepassen op houttransacties, hetgeen betekent dat de afnemer van de goederen of diensten in kwestie tot voldoening van de btw wordt gehouden.</w:t>
            </w:r>
          </w:p>
        </w:tc>
      </w:tr>
    </w:tbl>
    <w:p w:rsidRPr="00256BA2" w:rsidR="005F0171" w:rsidP="002A4BD8" w:rsidRDefault="005F0171" w14:paraId="3FCEB7D2" w14:textId="68C17D6A">
      <w:pPr>
        <w:rPr>
          <w:szCs w:val="18"/>
        </w:rPr>
      </w:pPr>
    </w:p>
    <w:tbl>
      <w:tblPr>
        <w:tblStyle w:val="Tabelraster14"/>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256BA2" w:rsidR="005F0171" w:rsidTr="0010415C" w14:paraId="262039A2"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56BA2" w:rsidR="005F0171" w:rsidP="005F0171" w:rsidRDefault="005F0171" w14:paraId="786EC8EE" w14:textId="77777777">
            <w:pPr>
              <w:numPr>
                <w:ilvl w:val="0"/>
                <w:numId w:val="10"/>
              </w:numPr>
              <w:spacing w:after="240"/>
              <w:ind w:left="312"/>
              <w:contextualSpacing/>
              <w:rPr>
                <w:color w:val="595959" w:themeColor="text1" w:themeTint="A6"/>
                <w:szCs w:val="18"/>
              </w:rPr>
            </w:pPr>
          </w:p>
        </w:tc>
        <w:tc>
          <w:tcPr>
            <w:tcW w:w="1035" w:type="dxa"/>
          </w:tcPr>
          <w:p w:rsidRPr="00256BA2" w:rsidR="005F0171" w:rsidP="005F0171" w:rsidRDefault="005F0171" w14:paraId="4D1F43E7" w14:textId="77777777">
            <w:pPr>
              <w:spacing w:after="240"/>
              <w:rPr>
                <w:color w:val="595959" w:themeColor="text1" w:themeTint="A6"/>
                <w:szCs w:val="18"/>
              </w:rPr>
            </w:pPr>
            <w:r w:rsidRPr="00256BA2">
              <w:rPr>
                <w:color w:val="595959" w:themeColor="text1" w:themeTint="A6"/>
                <w:szCs w:val="18"/>
              </w:rPr>
              <w:t>Titel</w:t>
            </w:r>
          </w:p>
        </w:tc>
        <w:tc>
          <w:tcPr>
            <w:tcW w:w="6529" w:type="dxa"/>
          </w:tcPr>
          <w:p w:rsidRPr="003502DA" w:rsidR="005F0171" w:rsidP="005F0171" w:rsidRDefault="003502DA" w14:paraId="437CCF0F" w14:textId="3EA75F33">
            <w:pPr>
              <w:spacing w:after="240"/>
              <w:rPr>
                <w:b/>
                <w:color w:val="595959" w:themeColor="text1" w:themeTint="A6"/>
                <w:szCs w:val="18"/>
              </w:rPr>
            </w:pPr>
            <w:proofErr w:type="spellStart"/>
            <w:r w:rsidRPr="003502DA">
              <w:rPr>
                <w:lang w:val="en-US"/>
              </w:rPr>
              <w:t>Voorstel</w:t>
            </w:r>
            <w:proofErr w:type="spellEnd"/>
            <w:r w:rsidRPr="003502DA">
              <w:rPr>
                <w:lang w:val="en-US"/>
              </w:rPr>
              <w:t xml:space="preserve"> </w:t>
            </w:r>
            <w:proofErr w:type="spellStart"/>
            <w:r w:rsidRPr="003502DA">
              <w:rPr>
                <w:lang w:val="en-US"/>
              </w:rPr>
              <w:t>voor</w:t>
            </w:r>
            <w:proofErr w:type="spellEnd"/>
            <w:r w:rsidRPr="003502DA">
              <w:rPr>
                <w:lang w:val="en-US"/>
              </w:rPr>
              <w:t xml:space="preserve"> </w:t>
            </w:r>
            <w:proofErr w:type="spellStart"/>
            <w:r w:rsidRPr="003502DA">
              <w:rPr>
                <w:lang w:val="en-US"/>
              </w:rPr>
              <w:t>een</w:t>
            </w:r>
            <w:proofErr w:type="spellEnd"/>
            <w:r w:rsidRPr="003502DA">
              <w:rPr>
                <w:lang w:val="en-US"/>
              </w:rPr>
              <w:t xml:space="preserve"> UITVOERINGSBESLUIT VAN DE RAAD </w:t>
            </w:r>
            <w:proofErr w:type="spellStart"/>
            <w:r w:rsidRPr="003502DA">
              <w:rPr>
                <w:lang w:val="en-US"/>
              </w:rPr>
              <w:t>waarbij</w:t>
            </w:r>
            <w:proofErr w:type="spellEnd"/>
            <w:r w:rsidRPr="003502DA">
              <w:rPr>
                <w:lang w:val="en-US"/>
              </w:rPr>
              <w:t xml:space="preserve"> </w:t>
            </w:r>
            <w:proofErr w:type="spellStart"/>
            <w:r w:rsidRPr="003502DA">
              <w:rPr>
                <w:lang w:val="en-US"/>
              </w:rPr>
              <w:t>Frankrijk</w:t>
            </w:r>
            <w:proofErr w:type="spellEnd"/>
            <w:r w:rsidRPr="003502DA">
              <w:rPr>
                <w:lang w:val="en-US"/>
              </w:rPr>
              <w:t xml:space="preserve"> </w:t>
            </w:r>
            <w:proofErr w:type="spellStart"/>
            <w:r w:rsidRPr="003502DA">
              <w:rPr>
                <w:lang w:val="en-US"/>
              </w:rPr>
              <w:t>wordt</w:t>
            </w:r>
            <w:proofErr w:type="spellEnd"/>
            <w:r w:rsidRPr="003502DA">
              <w:rPr>
                <w:lang w:val="en-US"/>
              </w:rPr>
              <w:t xml:space="preserve"> </w:t>
            </w:r>
            <w:proofErr w:type="spellStart"/>
            <w:r w:rsidRPr="003502DA">
              <w:rPr>
                <w:lang w:val="en-US"/>
              </w:rPr>
              <w:t>gemachtigd</w:t>
            </w:r>
            <w:proofErr w:type="spellEnd"/>
            <w:r w:rsidRPr="003502DA">
              <w:rPr>
                <w:lang w:val="en-US"/>
              </w:rPr>
              <w:t xml:space="preserve"> </w:t>
            </w:r>
            <w:proofErr w:type="spellStart"/>
            <w:r w:rsidRPr="003502DA">
              <w:rPr>
                <w:lang w:val="en-US"/>
              </w:rPr>
              <w:t>een</w:t>
            </w:r>
            <w:proofErr w:type="spellEnd"/>
            <w:r w:rsidRPr="003502DA">
              <w:rPr>
                <w:lang w:val="en-US"/>
              </w:rPr>
              <w:t xml:space="preserve"> </w:t>
            </w:r>
            <w:proofErr w:type="spellStart"/>
            <w:r w:rsidRPr="003502DA">
              <w:rPr>
                <w:lang w:val="en-US"/>
              </w:rPr>
              <w:t>bijzondere</w:t>
            </w:r>
            <w:proofErr w:type="spellEnd"/>
            <w:r w:rsidRPr="003502DA">
              <w:rPr>
                <w:lang w:val="en-US"/>
              </w:rPr>
              <w:t xml:space="preserve"> </w:t>
            </w:r>
            <w:proofErr w:type="spellStart"/>
            <w:r w:rsidRPr="003502DA">
              <w:rPr>
                <w:lang w:val="en-US"/>
              </w:rPr>
              <w:t>maatregel</w:t>
            </w:r>
            <w:proofErr w:type="spellEnd"/>
            <w:r w:rsidRPr="003502DA">
              <w:rPr>
                <w:lang w:val="en-US"/>
              </w:rPr>
              <w:t xml:space="preserve"> toe </w:t>
            </w:r>
            <w:proofErr w:type="spellStart"/>
            <w:r w:rsidRPr="003502DA">
              <w:rPr>
                <w:lang w:val="en-US"/>
              </w:rPr>
              <w:t>te</w:t>
            </w:r>
            <w:proofErr w:type="spellEnd"/>
            <w:r w:rsidRPr="003502DA">
              <w:rPr>
                <w:lang w:val="en-US"/>
              </w:rPr>
              <w:t xml:space="preserve"> </w:t>
            </w:r>
            <w:proofErr w:type="spellStart"/>
            <w:r w:rsidRPr="003502DA">
              <w:rPr>
                <w:lang w:val="en-US"/>
              </w:rPr>
              <w:t>passen</w:t>
            </w:r>
            <w:proofErr w:type="spellEnd"/>
            <w:r w:rsidRPr="003502DA">
              <w:rPr>
                <w:lang w:val="en-US"/>
              </w:rPr>
              <w:t xml:space="preserve"> die </w:t>
            </w:r>
            <w:proofErr w:type="spellStart"/>
            <w:r w:rsidRPr="003502DA">
              <w:rPr>
                <w:lang w:val="en-US"/>
              </w:rPr>
              <w:t>afwijkt</w:t>
            </w:r>
            <w:proofErr w:type="spellEnd"/>
            <w:r w:rsidRPr="003502DA">
              <w:rPr>
                <w:lang w:val="en-US"/>
              </w:rPr>
              <w:t xml:space="preserve"> van de </w:t>
            </w:r>
            <w:proofErr w:type="spellStart"/>
            <w:r w:rsidRPr="003502DA">
              <w:rPr>
                <w:lang w:val="en-US"/>
              </w:rPr>
              <w:t>artikelen</w:t>
            </w:r>
            <w:proofErr w:type="spellEnd"/>
            <w:r w:rsidRPr="003502DA">
              <w:rPr>
                <w:lang w:val="en-US"/>
              </w:rPr>
              <w:t xml:space="preserve"> 218 en 232 van </w:t>
            </w:r>
            <w:proofErr w:type="spellStart"/>
            <w:r w:rsidRPr="003502DA">
              <w:rPr>
                <w:lang w:val="en-US"/>
              </w:rPr>
              <w:t>Richtlijn</w:t>
            </w:r>
            <w:proofErr w:type="spellEnd"/>
            <w:r w:rsidRPr="003502DA">
              <w:rPr>
                <w:lang w:val="en-US"/>
              </w:rPr>
              <w:t xml:space="preserve"> 2006/112/EG </w:t>
            </w:r>
            <w:proofErr w:type="spellStart"/>
            <w:r w:rsidRPr="003502DA">
              <w:rPr>
                <w:lang w:val="en-US"/>
              </w:rPr>
              <w:t>betreffende</w:t>
            </w:r>
            <w:proofErr w:type="spellEnd"/>
            <w:r w:rsidRPr="003502DA">
              <w:rPr>
                <w:lang w:val="en-US"/>
              </w:rPr>
              <w:t xml:space="preserve"> het </w:t>
            </w:r>
            <w:proofErr w:type="spellStart"/>
            <w:r w:rsidRPr="003502DA">
              <w:rPr>
                <w:lang w:val="en-US"/>
              </w:rPr>
              <w:t>gemeenschappelijke</w:t>
            </w:r>
            <w:proofErr w:type="spellEnd"/>
            <w:r w:rsidRPr="003502DA">
              <w:rPr>
                <w:lang w:val="en-US"/>
              </w:rPr>
              <w:t xml:space="preserve"> </w:t>
            </w:r>
            <w:proofErr w:type="spellStart"/>
            <w:r w:rsidRPr="003502DA">
              <w:rPr>
                <w:lang w:val="en-US"/>
              </w:rPr>
              <w:t>stelsel</w:t>
            </w:r>
            <w:proofErr w:type="spellEnd"/>
            <w:r w:rsidRPr="003502DA">
              <w:rPr>
                <w:lang w:val="en-US"/>
              </w:rPr>
              <w:t xml:space="preserve"> van </w:t>
            </w:r>
            <w:proofErr w:type="spellStart"/>
            <w:r w:rsidRPr="003502DA">
              <w:rPr>
                <w:lang w:val="en-US"/>
              </w:rPr>
              <w:t>belasting</w:t>
            </w:r>
            <w:proofErr w:type="spellEnd"/>
            <w:r w:rsidRPr="003502DA">
              <w:rPr>
                <w:lang w:val="en-US"/>
              </w:rPr>
              <w:t xml:space="preserve"> over de </w:t>
            </w:r>
            <w:proofErr w:type="spellStart"/>
            <w:r w:rsidRPr="003502DA">
              <w:rPr>
                <w:lang w:val="en-US"/>
              </w:rPr>
              <w:t>toegevoegde</w:t>
            </w:r>
            <w:proofErr w:type="spellEnd"/>
            <w:r w:rsidRPr="003502DA">
              <w:rPr>
                <w:lang w:val="en-US"/>
              </w:rPr>
              <w:t xml:space="preserve"> </w:t>
            </w:r>
            <w:proofErr w:type="spellStart"/>
            <w:r w:rsidRPr="003502DA">
              <w:rPr>
                <w:lang w:val="en-US"/>
              </w:rPr>
              <w:t>waarde</w:t>
            </w:r>
            <w:proofErr w:type="spellEnd"/>
            <w:r w:rsidRPr="003502DA">
              <w:rPr>
                <w:lang w:val="en-US"/>
              </w:rPr>
              <w:t xml:space="preserve"> </w:t>
            </w:r>
            <w:hyperlink w:history="1" r:id="rId36">
              <w:r w:rsidRPr="003502DA">
                <w:rPr>
                  <w:rStyle w:val="Hyperlink"/>
                  <w:lang w:val="en-US"/>
                </w:rPr>
                <w:t>COM (2021) 735</w:t>
              </w:r>
            </w:hyperlink>
          </w:p>
        </w:tc>
      </w:tr>
      <w:tr w:rsidRPr="00256BA2" w:rsidR="005F0171" w:rsidTr="0010415C" w14:paraId="6B32E23B"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5F0171" w:rsidP="005F0171" w:rsidRDefault="005F0171" w14:paraId="3D4FC4C2" w14:textId="77777777">
            <w:pPr>
              <w:spacing w:after="240"/>
              <w:rPr>
                <w:szCs w:val="18"/>
              </w:rPr>
            </w:pPr>
          </w:p>
        </w:tc>
        <w:tc>
          <w:tcPr>
            <w:tcW w:w="1035" w:type="dxa"/>
          </w:tcPr>
          <w:p w:rsidRPr="00256BA2" w:rsidR="005F0171" w:rsidP="005F0171" w:rsidRDefault="005F0171" w14:paraId="383C1633" w14:textId="77777777">
            <w:pPr>
              <w:spacing w:after="240"/>
              <w:rPr>
                <w:szCs w:val="18"/>
              </w:rPr>
            </w:pPr>
            <w:r w:rsidRPr="00256BA2">
              <w:rPr>
                <w:szCs w:val="18"/>
              </w:rPr>
              <w:t>Voorstel</w:t>
            </w:r>
          </w:p>
        </w:tc>
        <w:tc>
          <w:tcPr>
            <w:tcW w:w="6529" w:type="dxa"/>
          </w:tcPr>
          <w:p w:rsidRPr="00256BA2" w:rsidR="005F0171" w:rsidP="005F0171" w:rsidRDefault="00BA6ACC" w14:paraId="742C868E" w14:textId="5D1E1288">
            <w:pPr>
              <w:spacing w:after="240"/>
              <w:rPr>
                <w:szCs w:val="18"/>
              </w:rPr>
            </w:pPr>
            <w:r>
              <w:rPr>
                <w:szCs w:val="18"/>
              </w:rPr>
              <w:t>Voor</w:t>
            </w:r>
            <w:r w:rsidR="003502DA">
              <w:rPr>
                <w:szCs w:val="18"/>
              </w:rPr>
              <w:t xml:space="preserve"> kennisgeving aannemen</w:t>
            </w:r>
          </w:p>
        </w:tc>
      </w:tr>
      <w:tr w:rsidRPr="00256BA2" w:rsidR="005F0171" w:rsidTr="0010415C" w14:paraId="66F6B599"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5F0171" w:rsidP="005F0171" w:rsidRDefault="005F0171" w14:paraId="1A1DD9F6" w14:textId="77777777">
            <w:pPr>
              <w:spacing w:after="240"/>
              <w:rPr>
                <w:color w:val="595959" w:themeColor="text1" w:themeTint="A6"/>
                <w:szCs w:val="18"/>
              </w:rPr>
            </w:pPr>
          </w:p>
        </w:tc>
        <w:tc>
          <w:tcPr>
            <w:tcW w:w="1035" w:type="dxa"/>
          </w:tcPr>
          <w:p w:rsidRPr="00256BA2" w:rsidR="005F0171" w:rsidP="005F0171" w:rsidRDefault="005F0171" w14:paraId="063F74D5" w14:textId="77777777">
            <w:pPr>
              <w:spacing w:after="240"/>
              <w:rPr>
                <w:color w:val="595959" w:themeColor="text1" w:themeTint="A6"/>
                <w:szCs w:val="18"/>
              </w:rPr>
            </w:pPr>
            <w:r w:rsidRPr="00256BA2">
              <w:rPr>
                <w:color w:val="595959" w:themeColor="text1" w:themeTint="A6"/>
                <w:szCs w:val="18"/>
              </w:rPr>
              <w:t>Noot</w:t>
            </w:r>
          </w:p>
        </w:tc>
        <w:tc>
          <w:tcPr>
            <w:tcW w:w="6529" w:type="dxa"/>
          </w:tcPr>
          <w:p w:rsidRPr="00256BA2" w:rsidR="005F0171" w:rsidP="00CD5F8A" w:rsidRDefault="003502DA" w14:paraId="4B71C746" w14:textId="6378597F">
            <w:pPr>
              <w:spacing w:after="240"/>
              <w:rPr>
                <w:color w:val="595959" w:themeColor="text1" w:themeTint="A6"/>
                <w:szCs w:val="18"/>
              </w:rPr>
            </w:pPr>
            <w:r w:rsidRPr="00256BA2">
              <w:rPr>
                <w:color w:val="595959" w:themeColor="text1" w:themeTint="A6"/>
                <w:szCs w:val="18"/>
              </w:rPr>
              <w:t xml:space="preserve">Dit betreft een voorstel voor een uitvoeringsbesluit naar aanleiding van een verzoek van </w:t>
            </w:r>
            <w:r>
              <w:rPr>
                <w:color w:val="595959" w:themeColor="text1" w:themeTint="A6"/>
                <w:szCs w:val="18"/>
              </w:rPr>
              <w:t>Frankrijk</w:t>
            </w:r>
            <w:r w:rsidRPr="00256BA2">
              <w:rPr>
                <w:color w:val="595959" w:themeColor="text1" w:themeTint="A6"/>
                <w:szCs w:val="18"/>
              </w:rPr>
              <w:t xml:space="preserve"> om een maatregel te mogen blijven toepassen die afwijkt van de btw-richtlijn, </w:t>
            </w:r>
            <w:r w:rsidRPr="003502DA">
              <w:rPr>
                <w:color w:val="595959" w:themeColor="text1" w:themeTint="A6"/>
                <w:szCs w:val="18"/>
              </w:rPr>
              <w:t xml:space="preserve">om alle op Frans </w:t>
            </w:r>
            <w:r w:rsidRPr="003502DA">
              <w:rPr>
                <w:color w:val="595959" w:themeColor="text1" w:themeTint="A6"/>
                <w:szCs w:val="18"/>
              </w:rPr>
              <w:lastRenderedPageBreak/>
              <w:t>grondgebied gevestigde belastingplichtigen te kunnen verplichten elektronisch te factureren</w:t>
            </w:r>
            <w:r w:rsidRPr="00256BA2">
              <w:rPr>
                <w:color w:val="595959" w:themeColor="text1" w:themeTint="A6"/>
                <w:szCs w:val="18"/>
              </w:rPr>
              <w:t>.</w:t>
            </w:r>
          </w:p>
        </w:tc>
      </w:tr>
    </w:tbl>
    <w:p w:rsidR="003502DA" w:rsidP="002A4BD8" w:rsidRDefault="003502DA" w14:paraId="3AB6CE87" w14:textId="5A10D058">
      <w:pPr>
        <w:rPr>
          <w:szCs w:val="18"/>
        </w:rPr>
      </w:pPr>
    </w:p>
    <w:tbl>
      <w:tblPr>
        <w:tblStyle w:val="Tabelraster14"/>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256BA2" w:rsidR="003502DA" w:rsidTr="006D6CFE" w14:paraId="3206BFB6"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56BA2" w:rsidR="003502DA" w:rsidP="006D6CFE" w:rsidRDefault="003502DA" w14:paraId="132B18C9" w14:textId="77777777">
            <w:pPr>
              <w:numPr>
                <w:ilvl w:val="0"/>
                <w:numId w:val="10"/>
              </w:numPr>
              <w:spacing w:after="240"/>
              <w:ind w:left="312"/>
              <w:contextualSpacing/>
              <w:rPr>
                <w:color w:val="595959" w:themeColor="text1" w:themeTint="A6"/>
                <w:szCs w:val="18"/>
              </w:rPr>
            </w:pPr>
          </w:p>
        </w:tc>
        <w:tc>
          <w:tcPr>
            <w:tcW w:w="1035" w:type="dxa"/>
          </w:tcPr>
          <w:p w:rsidRPr="003502DA" w:rsidR="003502DA" w:rsidP="006D6CFE" w:rsidRDefault="003502DA" w14:paraId="776287B8" w14:textId="77777777">
            <w:pPr>
              <w:spacing w:after="240"/>
              <w:rPr>
                <w:color w:val="595959" w:themeColor="text1" w:themeTint="A6"/>
                <w:szCs w:val="18"/>
              </w:rPr>
            </w:pPr>
            <w:r w:rsidRPr="003502DA">
              <w:rPr>
                <w:color w:val="595959" w:themeColor="text1" w:themeTint="A6"/>
                <w:szCs w:val="18"/>
              </w:rPr>
              <w:t>Titel</w:t>
            </w:r>
          </w:p>
        </w:tc>
        <w:tc>
          <w:tcPr>
            <w:tcW w:w="6529" w:type="dxa"/>
          </w:tcPr>
          <w:p w:rsidRPr="003502DA" w:rsidR="003502DA" w:rsidP="006D6CFE" w:rsidRDefault="003502DA" w14:paraId="19FDA099" w14:textId="39D396D3">
            <w:pPr>
              <w:spacing w:after="240"/>
              <w:rPr>
                <w:b/>
                <w:color w:val="595959" w:themeColor="text1" w:themeTint="A6"/>
                <w:szCs w:val="18"/>
              </w:rPr>
            </w:pPr>
            <w:r w:rsidRPr="003502DA">
              <w:rPr>
                <w:lang w:val="en-US"/>
              </w:rPr>
              <w:t xml:space="preserve">VERSLAG VAN DE COMMISSIE AAN HET EUROPEES PARLEMENT EN DE RAAD </w:t>
            </w:r>
            <w:proofErr w:type="spellStart"/>
            <w:r w:rsidRPr="003502DA">
              <w:rPr>
                <w:lang w:val="en-US"/>
              </w:rPr>
              <w:t>betreffende</w:t>
            </w:r>
            <w:proofErr w:type="spellEnd"/>
            <w:r w:rsidRPr="003502DA">
              <w:rPr>
                <w:lang w:val="en-US"/>
              </w:rPr>
              <w:t xml:space="preserve"> de </w:t>
            </w:r>
            <w:proofErr w:type="spellStart"/>
            <w:r w:rsidRPr="003502DA">
              <w:rPr>
                <w:lang w:val="en-US"/>
              </w:rPr>
              <w:t>naleving</w:t>
            </w:r>
            <w:proofErr w:type="spellEnd"/>
            <w:r w:rsidRPr="003502DA">
              <w:rPr>
                <w:lang w:val="en-US"/>
              </w:rPr>
              <w:t xml:space="preserve"> door de </w:t>
            </w:r>
            <w:proofErr w:type="spellStart"/>
            <w:r w:rsidRPr="003502DA">
              <w:rPr>
                <w:lang w:val="en-US"/>
              </w:rPr>
              <w:t>Europese</w:t>
            </w:r>
            <w:proofErr w:type="spellEnd"/>
            <w:r w:rsidRPr="003502DA">
              <w:rPr>
                <w:lang w:val="en-US"/>
              </w:rPr>
              <w:t xml:space="preserve"> </w:t>
            </w:r>
            <w:proofErr w:type="spellStart"/>
            <w:r w:rsidRPr="003502DA">
              <w:rPr>
                <w:lang w:val="en-US"/>
              </w:rPr>
              <w:t>Bankautoriteit</w:t>
            </w:r>
            <w:proofErr w:type="spellEnd"/>
            <w:r w:rsidRPr="003502DA">
              <w:rPr>
                <w:lang w:val="en-US"/>
              </w:rPr>
              <w:t xml:space="preserve"> van de </w:t>
            </w:r>
            <w:proofErr w:type="spellStart"/>
            <w:r w:rsidRPr="003502DA">
              <w:rPr>
                <w:lang w:val="en-US"/>
              </w:rPr>
              <w:t>vereisten</w:t>
            </w:r>
            <w:proofErr w:type="spellEnd"/>
            <w:r w:rsidRPr="003502DA">
              <w:rPr>
                <w:lang w:val="en-US"/>
              </w:rPr>
              <w:t xml:space="preserve"> in </w:t>
            </w:r>
            <w:proofErr w:type="spellStart"/>
            <w:r w:rsidRPr="003502DA">
              <w:rPr>
                <w:lang w:val="en-US"/>
              </w:rPr>
              <w:t>verband</w:t>
            </w:r>
            <w:proofErr w:type="spellEnd"/>
            <w:r w:rsidRPr="003502DA">
              <w:rPr>
                <w:lang w:val="en-US"/>
              </w:rPr>
              <w:t xml:space="preserve"> met de </w:t>
            </w:r>
            <w:proofErr w:type="spellStart"/>
            <w:r w:rsidRPr="003502DA">
              <w:rPr>
                <w:lang w:val="en-US"/>
              </w:rPr>
              <w:t>locatie</w:t>
            </w:r>
            <w:proofErr w:type="spellEnd"/>
            <w:r w:rsidRPr="003502DA">
              <w:rPr>
                <w:lang w:val="en-US"/>
              </w:rPr>
              <w:t xml:space="preserve"> van </w:t>
            </w:r>
            <w:proofErr w:type="spellStart"/>
            <w:r w:rsidRPr="003502DA">
              <w:rPr>
                <w:lang w:val="en-US"/>
              </w:rPr>
              <w:t>haar</w:t>
            </w:r>
            <w:proofErr w:type="spellEnd"/>
            <w:r w:rsidRPr="003502DA">
              <w:rPr>
                <w:lang w:val="en-US"/>
              </w:rPr>
              <w:t xml:space="preserve"> </w:t>
            </w:r>
            <w:proofErr w:type="spellStart"/>
            <w:r w:rsidRPr="003502DA">
              <w:rPr>
                <w:lang w:val="en-US"/>
              </w:rPr>
              <w:t>zetel</w:t>
            </w:r>
            <w:proofErr w:type="spellEnd"/>
            <w:r w:rsidRPr="003502DA">
              <w:rPr>
                <w:lang w:val="en-US"/>
              </w:rPr>
              <w:t xml:space="preserve"> </w:t>
            </w:r>
            <w:hyperlink w:history="1" r:id="rId37">
              <w:r w:rsidRPr="003502DA">
                <w:rPr>
                  <w:rStyle w:val="Hyperlink"/>
                  <w:lang w:val="en-US"/>
                </w:rPr>
                <w:t>COM (2021) 771</w:t>
              </w:r>
            </w:hyperlink>
          </w:p>
        </w:tc>
      </w:tr>
      <w:tr w:rsidRPr="00256BA2" w:rsidR="003502DA" w:rsidTr="006D6CFE" w14:paraId="4995D04D"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3502DA" w:rsidP="006D6CFE" w:rsidRDefault="003502DA" w14:paraId="47F57073" w14:textId="77777777">
            <w:pPr>
              <w:spacing w:after="240"/>
              <w:rPr>
                <w:szCs w:val="18"/>
              </w:rPr>
            </w:pPr>
          </w:p>
        </w:tc>
        <w:tc>
          <w:tcPr>
            <w:tcW w:w="1035" w:type="dxa"/>
          </w:tcPr>
          <w:p w:rsidRPr="00256BA2" w:rsidR="003502DA" w:rsidP="006D6CFE" w:rsidRDefault="003502DA" w14:paraId="2DE7C29F" w14:textId="77777777">
            <w:pPr>
              <w:spacing w:after="240"/>
              <w:rPr>
                <w:szCs w:val="18"/>
              </w:rPr>
            </w:pPr>
            <w:r w:rsidRPr="00256BA2">
              <w:rPr>
                <w:szCs w:val="18"/>
              </w:rPr>
              <w:t>Voorstel</w:t>
            </w:r>
          </w:p>
        </w:tc>
        <w:tc>
          <w:tcPr>
            <w:tcW w:w="6529" w:type="dxa"/>
          </w:tcPr>
          <w:p w:rsidRPr="00256BA2" w:rsidR="003502DA" w:rsidP="006D6CFE" w:rsidRDefault="00BA6ACC" w14:paraId="2F22153F" w14:textId="50E958BB">
            <w:pPr>
              <w:spacing w:after="240"/>
              <w:rPr>
                <w:szCs w:val="18"/>
              </w:rPr>
            </w:pPr>
            <w:r>
              <w:rPr>
                <w:szCs w:val="18"/>
              </w:rPr>
              <w:t>Voor</w:t>
            </w:r>
            <w:bookmarkStart w:name="_GoBack" w:id="0"/>
            <w:bookmarkEnd w:id="0"/>
            <w:r w:rsidR="003502DA">
              <w:rPr>
                <w:szCs w:val="18"/>
              </w:rPr>
              <w:t xml:space="preserve"> kennisgeving aannemen</w:t>
            </w:r>
          </w:p>
        </w:tc>
      </w:tr>
      <w:tr w:rsidRPr="00256BA2" w:rsidR="003502DA" w:rsidTr="006D6CFE" w14:paraId="4FDDAE7F" w14:textId="77777777">
        <w:tc>
          <w:tcPr>
            <w:tcW w:w="421" w:type="dxa"/>
            <w:vMerge/>
            <w:tcBorders>
              <w:top w:val="nil"/>
              <w:bottom w:val="single" w:color="D9D9D9" w:themeColor="background1" w:themeShade="D9" w:sz="4" w:space="0"/>
            </w:tcBorders>
            <w:shd w:val="clear" w:color="auto" w:fill="F2F2F2" w:themeFill="background1" w:themeFillShade="F2"/>
          </w:tcPr>
          <w:p w:rsidRPr="00256BA2" w:rsidR="003502DA" w:rsidP="006D6CFE" w:rsidRDefault="003502DA" w14:paraId="1364FF94" w14:textId="77777777">
            <w:pPr>
              <w:spacing w:after="240"/>
              <w:rPr>
                <w:color w:val="595959" w:themeColor="text1" w:themeTint="A6"/>
                <w:szCs w:val="18"/>
              </w:rPr>
            </w:pPr>
          </w:p>
        </w:tc>
        <w:tc>
          <w:tcPr>
            <w:tcW w:w="1035" w:type="dxa"/>
          </w:tcPr>
          <w:p w:rsidRPr="00256BA2" w:rsidR="003502DA" w:rsidP="006D6CFE" w:rsidRDefault="003502DA" w14:paraId="24AD8FEF" w14:textId="77777777">
            <w:pPr>
              <w:spacing w:after="240"/>
              <w:rPr>
                <w:color w:val="595959" w:themeColor="text1" w:themeTint="A6"/>
                <w:szCs w:val="18"/>
              </w:rPr>
            </w:pPr>
            <w:r w:rsidRPr="00256BA2">
              <w:rPr>
                <w:color w:val="595959" w:themeColor="text1" w:themeTint="A6"/>
                <w:szCs w:val="18"/>
              </w:rPr>
              <w:t>Noot</w:t>
            </w:r>
          </w:p>
        </w:tc>
        <w:tc>
          <w:tcPr>
            <w:tcW w:w="6529" w:type="dxa"/>
          </w:tcPr>
          <w:p w:rsidRPr="00256BA2" w:rsidR="003502DA" w:rsidP="00CD5F8A" w:rsidRDefault="00CD5F8A" w14:paraId="31777C06" w14:textId="573B849A">
            <w:pPr>
              <w:spacing w:after="240"/>
              <w:rPr>
                <w:color w:val="595959" w:themeColor="text1" w:themeTint="A6"/>
                <w:szCs w:val="18"/>
              </w:rPr>
            </w:pPr>
            <w:r>
              <w:rPr>
                <w:color w:val="595959" w:themeColor="text1" w:themeTint="A6"/>
                <w:szCs w:val="18"/>
              </w:rPr>
              <w:t xml:space="preserve">Na de </w:t>
            </w:r>
            <w:proofErr w:type="spellStart"/>
            <w:r>
              <w:rPr>
                <w:color w:val="595959" w:themeColor="text1" w:themeTint="A6"/>
                <w:szCs w:val="18"/>
              </w:rPr>
              <w:t>Brexit</w:t>
            </w:r>
            <w:proofErr w:type="spellEnd"/>
            <w:r>
              <w:rPr>
                <w:color w:val="595959" w:themeColor="text1" w:themeTint="A6"/>
                <w:szCs w:val="18"/>
              </w:rPr>
              <w:t xml:space="preserve"> is </w:t>
            </w:r>
            <w:r w:rsidRPr="00CD5F8A">
              <w:rPr>
                <w:color w:val="595959" w:themeColor="text1" w:themeTint="A6"/>
                <w:szCs w:val="18"/>
              </w:rPr>
              <w:t>Parijs gekozen als nieuwe zetel van de Europese Bankautoriteit (EBA)</w:t>
            </w:r>
            <w:r>
              <w:rPr>
                <w:color w:val="595959" w:themeColor="text1" w:themeTint="A6"/>
                <w:szCs w:val="18"/>
              </w:rPr>
              <w:t>. Hiervoor is de</w:t>
            </w:r>
            <w:r w:rsidRPr="00CD5F8A">
              <w:rPr>
                <w:color w:val="595959" w:themeColor="text1" w:themeTint="A6"/>
                <w:szCs w:val="18"/>
              </w:rPr>
              <w:t xml:space="preserve"> EBA-verordening</w:t>
            </w:r>
            <w:r>
              <w:rPr>
                <w:color w:val="595959" w:themeColor="text1" w:themeTint="A6"/>
                <w:szCs w:val="18"/>
              </w:rPr>
              <w:t xml:space="preserve"> gewijzigd, waarbij o</w:t>
            </w:r>
            <w:r w:rsidRPr="00CD5F8A">
              <w:rPr>
                <w:color w:val="595959" w:themeColor="text1" w:themeTint="A6"/>
                <w:szCs w:val="18"/>
              </w:rPr>
              <w:t>ok nieuwe vereisten voor de EBA ingevoerd</w:t>
            </w:r>
            <w:r>
              <w:rPr>
                <w:color w:val="595959" w:themeColor="text1" w:themeTint="A6"/>
                <w:szCs w:val="18"/>
              </w:rPr>
              <w:t xml:space="preserve"> zijn</w:t>
            </w:r>
            <w:r w:rsidRPr="00CD5F8A">
              <w:rPr>
                <w:color w:val="595959" w:themeColor="text1" w:themeTint="A6"/>
                <w:szCs w:val="18"/>
              </w:rPr>
              <w:t xml:space="preserve"> met betrekking tot de locatie voor haar zetel en een verplichting voor de Commissie</w:t>
            </w:r>
            <w:r>
              <w:rPr>
                <w:color w:val="595959" w:themeColor="text1" w:themeTint="A6"/>
                <w:szCs w:val="18"/>
              </w:rPr>
              <w:t xml:space="preserve"> om hier jaarlijks over te rapporteren. Dit is het derde verslag in het kader van deze rapportageverplichting. De EC concludeert dat </w:t>
            </w:r>
            <w:r w:rsidRPr="00CD5F8A">
              <w:rPr>
                <w:color w:val="595959" w:themeColor="text1" w:themeTint="A6"/>
                <w:szCs w:val="18"/>
              </w:rPr>
              <w:t>de uitoefening van de taken en bevoegdheden van de EBA, de opzet van haar beheersstructuur, de werking van haar centrale organisatie en de financiering van haar activiteiten geen nadelige gevolgen hebben ondervonden van de verhuizing van de zetel van de EBA naar Parijs</w:t>
            </w:r>
            <w:r>
              <w:rPr>
                <w:color w:val="595959" w:themeColor="text1" w:themeTint="A6"/>
                <w:szCs w:val="18"/>
              </w:rPr>
              <w:t>.</w:t>
            </w:r>
          </w:p>
        </w:tc>
      </w:tr>
    </w:tbl>
    <w:p w:rsidRPr="00256BA2" w:rsidR="003502DA" w:rsidP="002A4BD8" w:rsidRDefault="003502DA" w14:paraId="52159C81" w14:textId="77777777">
      <w:pPr>
        <w:rPr>
          <w:szCs w:val="18"/>
        </w:rPr>
      </w:pPr>
    </w:p>
    <w:sectPr w:rsidRPr="00256BA2" w:rsidR="003502DA" w:rsidSect="00BF62AD">
      <w:headerReference w:type="default" r:id="rId38"/>
      <w:footerReference w:type="default" r:id="rId39"/>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E47C7" w14:textId="77777777" w:rsidR="00050D24" w:rsidRDefault="00050D24">
      <w:r>
        <w:separator/>
      </w:r>
    </w:p>
  </w:endnote>
  <w:endnote w:type="continuationSeparator" w:id="0">
    <w:p w14:paraId="6411253A" w14:textId="77777777" w:rsidR="00050D24" w:rsidRDefault="0005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FCFED" w14:textId="77777777" w:rsidR="00A42CDC" w:rsidRDefault="00F407B0">
    <w:pPr>
      <w:pStyle w:val="Voettekst"/>
    </w:pPr>
    <w:r>
      <w:rPr>
        <w:noProof/>
        <w:lang w:eastAsia="nl-NL"/>
      </w:rPr>
      <mc:AlternateContent>
        <mc:Choice Requires="wps">
          <w:drawing>
            <wp:anchor distT="0" distB="0" distL="0" distR="0" simplePos="0" relativeHeight="251661312"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203BAA7E" w:rsidR="00A42CDC" w:rsidRDefault="00F407B0">
                          <w:pPr>
                            <w:pStyle w:val="Huisstijl-Paginanummer"/>
                          </w:pPr>
                          <w:r>
                            <w:fldChar w:fldCharType="begin"/>
                          </w:r>
                          <w:r>
                            <w:instrText xml:space="preserve"> PAGE  \* Arabic  \* MERGEFORMAT </w:instrText>
                          </w:r>
                          <w:r>
                            <w:fldChar w:fldCharType="separate"/>
                          </w:r>
                          <w:r w:rsidR="00BA6ACC">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0058EF62" w14:textId="203BAA7E" w:rsidR="00A42CDC" w:rsidRDefault="00F407B0">
                    <w:pPr>
                      <w:pStyle w:val="Huisstijl-Paginanummer"/>
                    </w:pPr>
                    <w:r>
                      <w:fldChar w:fldCharType="begin"/>
                    </w:r>
                    <w:r>
                      <w:instrText xml:space="preserve"> PAGE  \* Arabic  \* MERGEFORMAT </w:instrText>
                    </w:r>
                    <w:r>
                      <w:fldChar w:fldCharType="separate"/>
                    </w:r>
                    <w:r w:rsidR="00BA6ACC">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5168"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0E447657" w:rsidR="00A42CDC" w:rsidRDefault="00F407B0">
                          <w:pPr>
                            <w:pStyle w:val="Huisstijl-Paginanummer"/>
                          </w:pPr>
                          <w:r>
                            <w:fldChar w:fldCharType="begin"/>
                          </w:r>
                          <w:r>
                            <w:instrText xml:space="preserve"> PAGE  \* Arabic  \* MERGEFORMAT </w:instrText>
                          </w:r>
                          <w:r>
                            <w:fldChar w:fldCharType="separate"/>
                          </w:r>
                          <w:r w:rsidR="00BA6ACC">
                            <w:rPr>
                              <w:noProof/>
                            </w:rPr>
                            <w:t>9</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B88B957" w14:textId="0E447657" w:rsidR="00A42CDC" w:rsidRDefault="00F407B0">
                    <w:pPr>
                      <w:pStyle w:val="Huisstijl-Paginanummer"/>
                    </w:pPr>
                    <w:r>
                      <w:fldChar w:fldCharType="begin"/>
                    </w:r>
                    <w:r>
                      <w:instrText xml:space="preserve"> PAGE  \* Arabic  \* MERGEFORMAT </w:instrText>
                    </w:r>
                    <w:r>
                      <w:fldChar w:fldCharType="separate"/>
                    </w:r>
                    <w:r w:rsidR="00BA6ACC">
                      <w:rPr>
                        <w:noProof/>
                      </w:rPr>
                      <w:t>9</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89AA1" w14:textId="77777777" w:rsidR="00050D24" w:rsidRDefault="00050D24">
      <w:r>
        <w:separator/>
      </w:r>
    </w:p>
  </w:footnote>
  <w:footnote w:type="continuationSeparator" w:id="0">
    <w:p w14:paraId="7E9C8CFB" w14:textId="77777777" w:rsidR="00050D24" w:rsidRDefault="00050D24">
      <w:r>
        <w:continuationSeparator/>
      </w:r>
    </w:p>
  </w:footnote>
  <w:footnote w:id="1">
    <w:p w14:paraId="164D79BB" w14:textId="175D98E0" w:rsidR="00E5137B" w:rsidRDefault="00E5137B">
      <w:pPr>
        <w:pStyle w:val="Voetnoottekst"/>
      </w:pPr>
      <w:r>
        <w:rPr>
          <w:rStyle w:val="Voetnootmarkering"/>
        </w:rPr>
        <w:footnoteRef/>
      </w:r>
      <w:r>
        <w:t xml:space="preserve"> </w:t>
      </w:r>
      <w:r w:rsidRPr="00E5137B">
        <w:t xml:space="preserve">Voor een overzicht van behandelopties per type EU-voorstel, zie </w:t>
      </w:r>
      <w:hyperlink r:id="rId1" w:history="1">
        <w:r w:rsidRPr="00E5137B">
          <w:rPr>
            <w:rStyle w:val="Hyperlink"/>
          </w:rPr>
          <w:t>dit overzicht op Plein2</w:t>
        </w:r>
      </w:hyperlink>
      <w:r w:rsidRPr="00E5137B">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34FF" w14:textId="77777777" w:rsidR="00A42CDC" w:rsidRDefault="00A42CDC">
    <w:pPr>
      <w:pStyle w:val="Koptekst"/>
    </w:pPr>
    <w:r>
      <w:rPr>
        <w:noProof/>
        <w:lang w:eastAsia="nl-NL"/>
      </w:rPr>
      <w:drawing>
        <wp:anchor distT="0" distB="0" distL="114300" distR="114300" simplePos="0" relativeHeight="251659264"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7216"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651B"/>
    <w:rsid w:val="00087299"/>
    <w:rsid w:val="00094546"/>
    <w:rsid w:val="00094A9B"/>
    <w:rsid w:val="000A1C2B"/>
    <w:rsid w:val="000A23C5"/>
    <w:rsid w:val="000B2192"/>
    <w:rsid w:val="000B7C51"/>
    <w:rsid w:val="000C43D2"/>
    <w:rsid w:val="000C44F1"/>
    <w:rsid w:val="000C757C"/>
    <w:rsid w:val="000C7A3D"/>
    <w:rsid w:val="000D1563"/>
    <w:rsid w:val="000D3187"/>
    <w:rsid w:val="000E267D"/>
    <w:rsid w:val="000E56B6"/>
    <w:rsid w:val="000E5890"/>
    <w:rsid w:val="000E59AA"/>
    <w:rsid w:val="000E6653"/>
    <w:rsid w:val="000E69FD"/>
    <w:rsid w:val="000E7491"/>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0FC2"/>
    <w:rsid w:val="00161D1B"/>
    <w:rsid w:val="001706B1"/>
    <w:rsid w:val="00170AFB"/>
    <w:rsid w:val="001715CC"/>
    <w:rsid w:val="0017367F"/>
    <w:rsid w:val="00173ED7"/>
    <w:rsid w:val="00187402"/>
    <w:rsid w:val="0018775E"/>
    <w:rsid w:val="00192F0E"/>
    <w:rsid w:val="00193DF4"/>
    <w:rsid w:val="001959F4"/>
    <w:rsid w:val="001A3995"/>
    <w:rsid w:val="001A4097"/>
    <w:rsid w:val="001B2F65"/>
    <w:rsid w:val="001B4BB1"/>
    <w:rsid w:val="001B7CAE"/>
    <w:rsid w:val="001C14DB"/>
    <w:rsid w:val="001C3467"/>
    <w:rsid w:val="001D08B2"/>
    <w:rsid w:val="001D3CD3"/>
    <w:rsid w:val="001D7B39"/>
    <w:rsid w:val="001E143A"/>
    <w:rsid w:val="001E1C84"/>
    <w:rsid w:val="001E39BA"/>
    <w:rsid w:val="001F1517"/>
    <w:rsid w:val="001F4221"/>
    <w:rsid w:val="001F7012"/>
    <w:rsid w:val="002048D9"/>
    <w:rsid w:val="00206E75"/>
    <w:rsid w:val="00210705"/>
    <w:rsid w:val="00211391"/>
    <w:rsid w:val="00216C27"/>
    <w:rsid w:val="00221D6B"/>
    <w:rsid w:val="0022374D"/>
    <w:rsid w:val="00224294"/>
    <w:rsid w:val="00227D85"/>
    <w:rsid w:val="00235B3D"/>
    <w:rsid w:val="00241DE4"/>
    <w:rsid w:val="00245D08"/>
    <w:rsid w:val="00251996"/>
    <w:rsid w:val="002538C7"/>
    <w:rsid w:val="00256BA2"/>
    <w:rsid w:val="00262A1B"/>
    <w:rsid w:val="00266365"/>
    <w:rsid w:val="00271075"/>
    <w:rsid w:val="0028208B"/>
    <w:rsid w:val="002826C8"/>
    <w:rsid w:val="0028291D"/>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0FAF"/>
    <w:rsid w:val="00331729"/>
    <w:rsid w:val="00331CCE"/>
    <w:rsid w:val="0033344D"/>
    <w:rsid w:val="003354DB"/>
    <w:rsid w:val="003410ED"/>
    <w:rsid w:val="00346125"/>
    <w:rsid w:val="003502DA"/>
    <w:rsid w:val="00352A08"/>
    <w:rsid w:val="00354E7B"/>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A69A5"/>
    <w:rsid w:val="003B1D02"/>
    <w:rsid w:val="003B254F"/>
    <w:rsid w:val="003B2964"/>
    <w:rsid w:val="003B4119"/>
    <w:rsid w:val="003B484E"/>
    <w:rsid w:val="003B67E0"/>
    <w:rsid w:val="003C0D63"/>
    <w:rsid w:val="003C2832"/>
    <w:rsid w:val="003D22ED"/>
    <w:rsid w:val="003D450D"/>
    <w:rsid w:val="003D5554"/>
    <w:rsid w:val="003D660C"/>
    <w:rsid w:val="003E3FAF"/>
    <w:rsid w:val="003E6EA2"/>
    <w:rsid w:val="003F628A"/>
    <w:rsid w:val="00403FAF"/>
    <w:rsid w:val="00405747"/>
    <w:rsid w:val="0041042A"/>
    <w:rsid w:val="00411808"/>
    <w:rsid w:val="0041634B"/>
    <w:rsid w:val="00416E67"/>
    <w:rsid w:val="00417D86"/>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4554"/>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2038"/>
    <w:rsid w:val="005E300D"/>
    <w:rsid w:val="005E7B45"/>
    <w:rsid w:val="005F0171"/>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36908"/>
    <w:rsid w:val="007401AE"/>
    <w:rsid w:val="007417AC"/>
    <w:rsid w:val="007439D7"/>
    <w:rsid w:val="00745D31"/>
    <w:rsid w:val="0075406D"/>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51B1"/>
    <w:rsid w:val="00826C29"/>
    <w:rsid w:val="00834690"/>
    <w:rsid w:val="0083576C"/>
    <w:rsid w:val="00840FA0"/>
    <w:rsid w:val="00843FBB"/>
    <w:rsid w:val="008454D2"/>
    <w:rsid w:val="00845DEC"/>
    <w:rsid w:val="0085294F"/>
    <w:rsid w:val="00866593"/>
    <w:rsid w:val="00870719"/>
    <w:rsid w:val="008918A0"/>
    <w:rsid w:val="00892314"/>
    <w:rsid w:val="0089371C"/>
    <w:rsid w:val="00894C13"/>
    <w:rsid w:val="008A4075"/>
    <w:rsid w:val="008A5C07"/>
    <w:rsid w:val="008A5F82"/>
    <w:rsid w:val="008A7A69"/>
    <w:rsid w:val="008B33EB"/>
    <w:rsid w:val="008B3ABC"/>
    <w:rsid w:val="008B4B43"/>
    <w:rsid w:val="008B5E4B"/>
    <w:rsid w:val="008B7783"/>
    <w:rsid w:val="008C43A5"/>
    <w:rsid w:val="008C4443"/>
    <w:rsid w:val="008D2D4B"/>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6E9"/>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2FE8"/>
    <w:rsid w:val="00A5726F"/>
    <w:rsid w:val="00A57E41"/>
    <w:rsid w:val="00A657BB"/>
    <w:rsid w:val="00A77085"/>
    <w:rsid w:val="00A80CBB"/>
    <w:rsid w:val="00A828E3"/>
    <w:rsid w:val="00A95091"/>
    <w:rsid w:val="00A95780"/>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723B"/>
    <w:rsid w:val="00B30327"/>
    <w:rsid w:val="00B306FA"/>
    <w:rsid w:val="00B34C2F"/>
    <w:rsid w:val="00B53C93"/>
    <w:rsid w:val="00B54A2B"/>
    <w:rsid w:val="00B55826"/>
    <w:rsid w:val="00B56147"/>
    <w:rsid w:val="00B60251"/>
    <w:rsid w:val="00B6249C"/>
    <w:rsid w:val="00B71A9C"/>
    <w:rsid w:val="00B757E9"/>
    <w:rsid w:val="00B860F9"/>
    <w:rsid w:val="00B90C6F"/>
    <w:rsid w:val="00B90CB7"/>
    <w:rsid w:val="00B91483"/>
    <w:rsid w:val="00B914C1"/>
    <w:rsid w:val="00B92EE7"/>
    <w:rsid w:val="00B930A7"/>
    <w:rsid w:val="00B96878"/>
    <w:rsid w:val="00B96AD5"/>
    <w:rsid w:val="00BA41EB"/>
    <w:rsid w:val="00BA6ACC"/>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185F"/>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83071"/>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5F8A"/>
    <w:rsid w:val="00CD6193"/>
    <w:rsid w:val="00CD730D"/>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774F"/>
    <w:rsid w:val="00D64CF8"/>
    <w:rsid w:val="00D64F93"/>
    <w:rsid w:val="00D6591C"/>
    <w:rsid w:val="00D67F7F"/>
    <w:rsid w:val="00D7255C"/>
    <w:rsid w:val="00D72CC9"/>
    <w:rsid w:val="00D75535"/>
    <w:rsid w:val="00D826BD"/>
    <w:rsid w:val="00DA5144"/>
    <w:rsid w:val="00DB2B90"/>
    <w:rsid w:val="00DB3F6B"/>
    <w:rsid w:val="00DB464F"/>
    <w:rsid w:val="00DB6B9D"/>
    <w:rsid w:val="00DC0EBD"/>
    <w:rsid w:val="00DC1442"/>
    <w:rsid w:val="00DC165E"/>
    <w:rsid w:val="00DD48C5"/>
    <w:rsid w:val="00DD5412"/>
    <w:rsid w:val="00DD564F"/>
    <w:rsid w:val="00DD6D95"/>
    <w:rsid w:val="00DE2897"/>
    <w:rsid w:val="00DE32DE"/>
    <w:rsid w:val="00DE51BD"/>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15890"/>
    <w:rsid w:val="00E20B2E"/>
    <w:rsid w:val="00E23B52"/>
    <w:rsid w:val="00E23D3A"/>
    <w:rsid w:val="00E246A4"/>
    <w:rsid w:val="00E2607E"/>
    <w:rsid w:val="00E265FC"/>
    <w:rsid w:val="00E269CC"/>
    <w:rsid w:val="00E306AF"/>
    <w:rsid w:val="00E3590E"/>
    <w:rsid w:val="00E37DB4"/>
    <w:rsid w:val="00E407E1"/>
    <w:rsid w:val="00E41C82"/>
    <w:rsid w:val="00E4200D"/>
    <w:rsid w:val="00E42FB9"/>
    <w:rsid w:val="00E452DF"/>
    <w:rsid w:val="00E4701A"/>
    <w:rsid w:val="00E5137B"/>
    <w:rsid w:val="00E53C1E"/>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1FD"/>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032E"/>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table" w:customStyle="1" w:styleId="Tabelraster1">
    <w:name w:val="Tabelraster1"/>
    <w:basedOn w:val="Standaardtabel"/>
    <w:next w:val="Tabelraster"/>
    <w:uiPriority w:val="59"/>
    <w:rsid w:val="00B62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B62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B62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59"/>
    <w:rsid w:val="00B62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B62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rsid w:val="00B62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rsid w:val="005F0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
    <w:name w:val="Tabelraster8"/>
    <w:basedOn w:val="Standaardtabel"/>
    <w:next w:val="Tabelraster"/>
    <w:uiPriority w:val="59"/>
    <w:rsid w:val="005F0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59"/>
    <w:rsid w:val="005F0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59"/>
    <w:rsid w:val="005F0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rsid w:val="005F0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59"/>
    <w:rsid w:val="005F0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59"/>
    <w:rsid w:val="005F0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59"/>
    <w:rsid w:val="005F0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28061">
      <w:bodyDiv w:val="1"/>
      <w:marLeft w:val="0"/>
      <w:marRight w:val="0"/>
      <w:marTop w:val="0"/>
      <w:marBottom w:val="0"/>
      <w:divBdr>
        <w:top w:val="none" w:sz="0" w:space="0" w:color="auto"/>
        <w:left w:val="none" w:sz="0" w:space="0" w:color="auto"/>
        <w:bottom w:val="none" w:sz="0" w:space="0" w:color="auto"/>
        <w:right w:val="none" w:sz="0" w:space="0" w:color="auto"/>
      </w:divBdr>
    </w:div>
    <w:div w:id="100926783">
      <w:bodyDiv w:val="1"/>
      <w:marLeft w:val="0"/>
      <w:marRight w:val="0"/>
      <w:marTop w:val="0"/>
      <w:marBottom w:val="0"/>
      <w:divBdr>
        <w:top w:val="none" w:sz="0" w:space="0" w:color="auto"/>
        <w:left w:val="none" w:sz="0" w:space="0" w:color="auto"/>
        <w:bottom w:val="none" w:sz="0" w:space="0" w:color="auto"/>
        <w:right w:val="none" w:sz="0" w:space="0" w:color="auto"/>
      </w:divBdr>
    </w:div>
    <w:div w:id="111944912">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195777475">
      <w:bodyDiv w:val="1"/>
      <w:marLeft w:val="0"/>
      <w:marRight w:val="0"/>
      <w:marTop w:val="0"/>
      <w:marBottom w:val="0"/>
      <w:divBdr>
        <w:top w:val="none" w:sz="0" w:space="0" w:color="auto"/>
        <w:left w:val="none" w:sz="0" w:space="0" w:color="auto"/>
        <w:bottom w:val="none" w:sz="0" w:space="0" w:color="auto"/>
        <w:right w:val="none" w:sz="0" w:space="0" w:color="auto"/>
      </w:divBdr>
    </w:div>
    <w:div w:id="270556529">
      <w:bodyDiv w:val="1"/>
      <w:marLeft w:val="0"/>
      <w:marRight w:val="0"/>
      <w:marTop w:val="0"/>
      <w:marBottom w:val="0"/>
      <w:divBdr>
        <w:top w:val="none" w:sz="0" w:space="0" w:color="auto"/>
        <w:left w:val="none" w:sz="0" w:space="0" w:color="auto"/>
        <w:bottom w:val="none" w:sz="0" w:space="0" w:color="auto"/>
        <w:right w:val="none" w:sz="0" w:space="0" w:color="auto"/>
      </w:divBdr>
    </w:div>
    <w:div w:id="273750507">
      <w:bodyDiv w:val="1"/>
      <w:marLeft w:val="0"/>
      <w:marRight w:val="0"/>
      <w:marTop w:val="0"/>
      <w:marBottom w:val="0"/>
      <w:divBdr>
        <w:top w:val="none" w:sz="0" w:space="0" w:color="auto"/>
        <w:left w:val="none" w:sz="0" w:space="0" w:color="auto"/>
        <w:bottom w:val="none" w:sz="0" w:space="0" w:color="auto"/>
        <w:right w:val="none" w:sz="0" w:space="0" w:color="auto"/>
      </w:divBdr>
    </w:div>
    <w:div w:id="341200976">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398023205">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58691319">
      <w:bodyDiv w:val="1"/>
      <w:marLeft w:val="0"/>
      <w:marRight w:val="0"/>
      <w:marTop w:val="0"/>
      <w:marBottom w:val="0"/>
      <w:divBdr>
        <w:top w:val="none" w:sz="0" w:space="0" w:color="auto"/>
        <w:left w:val="none" w:sz="0" w:space="0" w:color="auto"/>
        <w:bottom w:val="none" w:sz="0" w:space="0" w:color="auto"/>
        <w:right w:val="none" w:sz="0" w:space="0" w:color="auto"/>
      </w:divBdr>
    </w:div>
    <w:div w:id="466629446">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29995544">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8215746">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73773">
      <w:bodyDiv w:val="1"/>
      <w:marLeft w:val="0"/>
      <w:marRight w:val="0"/>
      <w:marTop w:val="0"/>
      <w:marBottom w:val="0"/>
      <w:divBdr>
        <w:top w:val="none" w:sz="0" w:space="0" w:color="auto"/>
        <w:left w:val="none" w:sz="0" w:space="0" w:color="auto"/>
        <w:bottom w:val="none" w:sz="0" w:space="0" w:color="auto"/>
        <w:right w:val="none" w:sz="0" w:space="0" w:color="auto"/>
      </w:divBdr>
    </w:div>
    <w:div w:id="864557289">
      <w:bodyDiv w:val="1"/>
      <w:marLeft w:val="0"/>
      <w:marRight w:val="0"/>
      <w:marTop w:val="0"/>
      <w:marBottom w:val="0"/>
      <w:divBdr>
        <w:top w:val="none" w:sz="0" w:space="0" w:color="auto"/>
        <w:left w:val="none" w:sz="0" w:space="0" w:color="auto"/>
        <w:bottom w:val="none" w:sz="0" w:space="0" w:color="auto"/>
        <w:right w:val="none" w:sz="0" w:space="0" w:color="auto"/>
      </w:divBdr>
    </w:div>
    <w:div w:id="908348562">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30644636">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00834419">
      <w:bodyDiv w:val="1"/>
      <w:marLeft w:val="0"/>
      <w:marRight w:val="0"/>
      <w:marTop w:val="0"/>
      <w:marBottom w:val="0"/>
      <w:divBdr>
        <w:top w:val="none" w:sz="0" w:space="0" w:color="auto"/>
        <w:left w:val="none" w:sz="0" w:space="0" w:color="auto"/>
        <w:bottom w:val="none" w:sz="0" w:space="0" w:color="auto"/>
        <w:right w:val="none" w:sz="0" w:space="0" w:color="auto"/>
      </w:divBdr>
    </w:div>
    <w:div w:id="1185704536">
      <w:bodyDiv w:val="1"/>
      <w:marLeft w:val="0"/>
      <w:marRight w:val="0"/>
      <w:marTop w:val="0"/>
      <w:marBottom w:val="0"/>
      <w:divBdr>
        <w:top w:val="none" w:sz="0" w:space="0" w:color="auto"/>
        <w:left w:val="none" w:sz="0" w:space="0" w:color="auto"/>
        <w:bottom w:val="none" w:sz="0" w:space="0" w:color="auto"/>
        <w:right w:val="none" w:sz="0" w:space="0" w:color="auto"/>
      </w:divBdr>
    </w:div>
    <w:div w:id="1205144220">
      <w:bodyDiv w:val="1"/>
      <w:marLeft w:val="0"/>
      <w:marRight w:val="0"/>
      <w:marTop w:val="0"/>
      <w:marBottom w:val="0"/>
      <w:divBdr>
        <w:top w:val="none" w:sz="0" w:space="0" w:color="auto"/>
        <w:left w:val="none" w:sz="0" w:space="0" w:color="auto"/>
        <w:bottom w:val="none" w:sz="0" w:space="0" w:color="auto"/>
        <w:right w:val="none" w:sz="0" w:space="0" w:color="auto"/>
      </w:divBdr>
    </w:div>
    <w:div w:id="1257637418">
      <w:bodyDiv w:val="1"/>
      <w:marLeft w:val="0"/>
      <w:marRight w:val="0"/>
      <w:marTop w:val="0"/>
      <w:marBottom w:val="0"/>
      <w:divBdr>
        <w:top w:val="none" w:sz="0" w:space="0" w:color="auto"/>
        <w:left w:val="none" w:sz="0" w:space="0" w:color="auto"/>
        <w:bottom w:val="none" w:sz="0" w:space="0" w:color="auto"/>
        <w:right w:val="none" w:sz="0" w:space="0" w:color="auto"/>
      </w:divBdr>
    </w:div>
    <w:div w:id="1275819681">
      <w:bodyDiv w:val="1"/>
      <w:marLeft w:val="0"/>
      <w:marRight w:val="0"/>
      <w:marTop w:val="0"/>
      <w:marBottom w:val="0"/>
      <w:divBdr>
        <w:top w:val="none" w:sz="0" w:space="0" w:color="auto"/>
        <w:left w:val="none" w:sz="0" w:space="0" w:color="auto"/>
        <w:bottom w:val="none" w:sz="0" w:space="0" w:color="auto"/>
        <w:right w:val="none" w:sz="0" w:space="0" w:color="auto"/>
      </w:divBdr>
    </w:div>
    <w:div w:id="1437823848">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08902807">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82985587">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2465484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52637802">
      <w:bodyDiv w:val="1"/>
      <w:marLeft w:val="0"/>
      <w:marRight w:val="0"/>
      <w:marTop w:val="0"/>
      <w:marBottom w:val="0"/>
      <w:divBdr>
        <w:top w:val="none" w:sz="0" w:space="0" w:color="auto"/>
        <w:left w:val="none" w:sz="0" w:space="0" w:color="auto"/>
        <w:bottom w:val="none" w:sz="0" w:space="0" w:color="auto"/>
        <w:right w:val="none" w:sz="0" w:space="0" w:color="auto"/>
      </w:divBdr>
    </w:div>
    <w:div w:id="165367581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17243597">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20800832">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903982926">
      <w:bodyDiv w:val="1"/>
      <w:marLeft w:val="0"/>
      <w:marRight w:val="0"/>
      <w:marTop w:val="0"/>
      <w:marBottom w:val="0"/>
      <w:divBdr>
        <w:top w:val="none" w:sz="0" w:space="0" w:color="auto"/>
        <w:left w:val="none" w:sz="0" w:space="0" w:color="auto"/>
        <w:bottom w:val="none" w:sz="0" w:space="0" w:color="auto"/>
        <w:right w:val="none" w:sz="0" w:space="0" w:color="auto"/>
      </w:divBdr>
    </w:div>
    <w:div w:id="2036425391">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s://eur-lex.europa.eu/legal-content/NL/TXT/?uri=CELEX%3A52021PC0723&amp;qid=1638187308343" TargetMode="External" Id="rId18" /><Relationship Type="http://schemas.openxmlformats.org/officeDocument/2006/relationships/hyperlink" Target="https://eur-lex.europa.eu/legal-content/NL/TXT/?uri=CELEX%3A52021DC0742&amp;qid=1638176822604" TargetMode="External" Id="rId26" /><Relationship Type="http://schemas.openxmlformats.org/officeDocument/2006/relationships/footer" Target="footer2.xml" Id="rId39" /><Relationship Type="http://schemas.openxmlformats.org/officeDocument/2006/relationships/hyperlink" Target="https://eur-lex.europa.eu/legal-content/NL/TXT/?uri=CELEX%3A52021DC0720&amp;qid=1638183949668" TargetMode="External" Id="rId21" /><Relationship Type="http://schemas.openxmlformats.org/officeDocument/2006/relationships/hyperlink" Target="https://eur-lex.europa.eu/legal-content/NL/TXT/?uri=CELEX%3A52021PC0711&amp;qid=1638179138476" TargetMode="External" Id="rId34"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eur-lex.europa.eu/legal-content/NL/TXT/?uri=CELEX%3A52021PC0724&amp;qid=1638185248456" TargetMode="External" Id="rId17" /><Relationship Type="http://schemas.openxmlformats.org/officeDocument/2006/relationships/hyperlink" Target="https://ec.europa.eu/info/law/better-regulation/have-your-say/initiatives/13090-Hypothecair-krediet-evaluatie-van-de-EU-regels_nl" TargetMode="External" Id="rId25" /><Relationship Type="http://schemas.openxmlformats.org/officeDocument/2006/relationships/hyperlink" Target="https://eur-lex.europa.eu/legal-content/NL/TXT/?uri=CELEX%3A52021PC0710&amp;qid=1638178146122" TargetMode="External" Id="rId33" /><Relationship Type="http://schemas.openxmlformats.org/officeDocument/2006/relationships/header" Target="header2.xml" Id="rId38" /><Relationship Type="http://schemas.openxmlformats.org/officeDocument/2006/relationships/hyperlink" Target="https://eur-lex.europa.eu/legal-content/NL/TXT/?uri=CELEX%3A52021PC0721&amp;qid=1638179043198" TargetMode="External" Id="rId16" /><Relationship Type="http://schemas.openxmlformats.org/officeDocument/2006/relationships/hyperlink" Target="https://eur-lex.europa.eu/legal-content/NL/TXT/?uri=CELEX%3A52021PC0722&amp;qid=1638185368647" TargetMode="External" Id="rId20" /><Relationship Type="http://schemas.openxmlformats.org/officeDocument/2006/relationships/hyperlink" Target="https://eur-lex.europa.eu/legal-content/NL/TXT/?uri=CELEX%3A52021DC0740&amp;qid=1638180388741" TargetMode="External" Id="rId29" /><Relationship Type="http://schemas.openxmlformats.org/officeDocument/2006/relationships/theme" Target="theme/theme1.xml" Id="rId4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ec.europa.eu/info/law/better-regulation/have-your-say/initiatives/13238-Wet-inzake-beursnotering-publieke-kapitaalmarkten-aantrekkelijker-maken-voor-EU-bedrijven-en-toegang-tot-kapitaal-vergemakkelijken-voor-het-mkb_nl" TargetMode="External" Id="rId24" /><Relationship Type="http://schemas.openxmlformats.org/officeDocument/2006/relationships/hyperlink" Target="https://eur-lex.europa.eu/legal-content/NL/TXT/?uri=CELEX%3A52021DC0714&amp;qid=1638177258284" TargetMode="External" Id="rId32" /><Relationship Type="http://schemas.openxmlformats.org/officeDocument/2006/relationships/hyperlink" Target="https://eur-lex.europa.eu/legal-content/NL/TXT/?uri=CELEX%3A52021DC0771&amp;qid=1638950754347" TargetMode="External" Id="rId37" /><Relationship Type="http://schemas.openxmlformats.org/officeDocument/2006/relationships/fontTable" Target="fontTable.xml" Id="rId40" /><Relationship Type="http://schemas.openxmlformats.org/officeDocument/2006/relationships/hyperlink" Target="https://eur-lex.europa.eu/legal-content/NL/TXT/?uri=CELEX%3A52021PC0727&amp;qid=1638192030767" TargetMode="External" Id="rId15" /><Relationship Type="http://schemas.openxmlformats.org/officeDocument/2006/relationships/hyperlink" Target="https://ec.europa.eu/info/law/better-regulation/have-your-say/initiatives/13128-Bedrijfsrapportage-verbetering-van-kwaliteit-en-handhaving_nl" TargetMode="External" Id="rId23" /><Relationship Type="http://schemas.openxmlformats.org/officeDocument/2006/relationships/hyperlink" Target="https://eur-lex.europa.eu/legal-content/NL/TXT/?uri=CELEX%3A52021DC0741&amp;qid=1638179924700" TargetMode="External" Id="rId28" /><Relationship Type="http://schemas.openxmlformats.org/officeDocument/2006/relationships/hyperlink" Target="https://eur-lex.europa.eu/legal-content/NL/TXT/?uri=CELEX%3A52021PC0735&amp;qid=1638868299492" TargetMode="External" Id="rId36" /><Relationship Type="http://schemas.openxmlformats.org/officeDocument/2006/relationships/footnotes" Target="footnotes.xml" Id="rId10" /><Relationship Type="http://schemas.openxmlformats.org/officeDocument/2006/relationships/hyperlink" Target="https://eur-lex.europa.eu/legal-content/NL/TXT/?uri=CELEX%3A52021PC0725&amp;qid=1638182873347" TargetMode="External" Id="rId19" /><Relationship Type="http://schemas.openxmlformats.org/officeDocument/2006/relationships/hyperlink" Target="https://eur-lex.europa.eu/legal-content/NL/TXT/?uri=CELEX%3A52021DC0916&amp;qid=1638179304681" TargetMode="External" Id="rId31" /><Relationship Type="http://schemas.openxmlformats.org/officeDocument/2006/relationships/webSettings" Target="webSettings.xml" Id="rId9" /><Relationship Type="http://schemas.openxmlformats.org/officeDocument/2006/relationships/hyperlink" Target="https://eur-lex.europa.eu/legal-content/NL/TXT/?uri=COM%3A2021%3A726%3AFIN&amp;qid=1638176632560" TargetMode="External" Id="rId14" /><Relationship Type="http://schemas.openxmlformats.org/officeDocument/2006/relationships/hyperlink" Target="https://eur-lex.europa.eu/legal-content/NL/TXT/?uri=CELEX%3A52021DC0738&amp;qid=1638187186963" TargetMode="External" Id="rId22" /><Relationship Type="http://schemas.openxmlformats.org/officeDocument/2006/relationships/hyperlink" Target="https://eur-lex.europa.eu/legal-content/NL/TXT/?uri=CELEX%3A52021DC0900&amp;qid=1638178446945" TargetMode="External" Id="rId27" /><Relationship Type="http://schemas.openxmlformats.org/officeDocument/2006/relationships/hyperlink" Target="https://eur-lex.europa.eu/legal-content/NL/TXT/?uri=CELEX%3A52021DC0915&amp;qid=1638178693261" TargetMode="External" Id="rId30" /><Relationship Type="http://schemas.openxmlformats.org/officeDocument/2006/relationships/hyperlink" Target="https://eur-lex.europa.eu/legal-content/NL/TXT/?uri=CELEX%3A52021PC0736&amp;qid=1638868142465" TargetMode="External" Id="rId35"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2596</ap:Words>
  <ap:Characters>18671</ap:Characters>
  <ap:DocSecurity>4</ap:DocSecurity>
  <ap:Lines>155</ap:Lines>
  <ap:Paragraphs>42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21225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2021-12-09T18:16:00.0000000Z</dcterms:created>
  <dcterms:modified xsi:type="dcterms:W3CDTF">2021-12-09T18:16:00.0000000Z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0x01010026E01B0BEF88304AA3AE3E5D8A7C37D7</vt:lpwstr>
  </property>
</Properties>
</file>