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Pr="002B3C7E" w:rsidR="00A828E3" w:rsidRDefault="00E02D08">
      <w:pPr>
        <w:pStyle w:val="PlatteTekst"/>
        <w:rPr>
          <w:szCs w:val="18"/>
        </w:rPr>
        <w:sectPr w:rsidRPr="002B3C7E" w:rsidR="00A828E3" w:rsidSect="00BF62AD">
          <w:headerReference w:type="default" r:id="rId12"/>
          <w:footerReference w:type="default" r:id="rId13"/>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2CB2803F" wp14:anchorId="6E7F8231">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A44007">
                            <w:pPr>
                              <w:pStyle w:val="Huisstijl-Agendatitel"/>
                              <w:ind w:left="0" w:firstLine="0"/>
                              <w:jc w:val="right"/>
                            </w:pPr>
                            <w:r>
                              <w:t>9</w:t>
                            </w:r>
                            <w:r w:rsidR="003F6CF0">
                              <w:t xml:space="preserve"> </w:t>
                            </w:r>
                            <w:r>
                              <w:t>december</w:t>
                            </w:r>
                            <w:r w:rsidR="00E02D08">
                              <w:t xml:space="preserve"> 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7F8231">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Commissie J&amp;V</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A44007">
                      <w:pPr>
                        <w:pStyle w:val="Huisstijl-Agendatitel"/>
                        <w:ind w:left="0" w:firstLine="0"/>
                        <w:jc w:val="right"/>
                      </w:pPr>
                      <w:r>
                        <w:t>9</w:t>
                      </w:r>
                      <w:r w:rsidR="003F6CF0">
                        <w:t xml:space="preserve"> </w:t>
                      </w:r>
                      <w:r>
                        <w:t>december</w:t>
                      </w:r>
                      <w:r w:rsidR="00E02D08">
                        <w:t xml:space="preserve"> 2021</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2068A451" wp14:anchorId="56EEC0D6">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56EEC0D6">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Europese Commi</w:t>
      </w:r>
      <w:r w:rsidR="004D485A">
        <w:rPr>
          <w:sz w:val="16"/>
          <w:szCs w:val="18"/>
        </w:rPr>
        <w:t>ssie heeft in de periode tussen</w:t>
      </w:r>
      <w:r w:rsidR="00A44007">
        <w:rPr>
          <w:b/>
          <w:sz w:val="16"/>
          <w:szCs w:val="18"/>
        </w:rPr>
        <w:t xml:space="preserve"> 26</w:t>
      </w:r>
      <w:r w:rsidR="004D485A">
        <w:rPr>
          <w:b/>
          <w:sz w:val="16"/>
          <w:szCs w:val="18"/>
        </w:rPr>
        <w:t xml:space="preserve"> november</w:t>
      </w:r>
      <w:r w:rsidRPr="000F410C">
        <w:rPr>
          <w:b/>
          <w:sz w:val="16"/>
          <w:szCs w:val="18"/>
        </w:rPr>
        <w:t xml:space="preserve"> </w:t>
      </w:r>
      <w:r w:rsidR="008266D0">
        <w:rPr>
          <w:b/>
          <w:sz w:val="16"/>
          <w:szCs w:val="18"/>
        </w:rPr>
        <w:t xml:space="preserve">en </w:t>
      </w:r>
      <w:r w:rsidR="00A44007">
        <w:rPr>
          <w:b/>
          <w:sz w:val="16"/>
          <w:szCs w:val="18"/>
        </w:rPr>
        <w:t>9 december</w:t>
      </w:r>
      <w:r w:rsidR="008266D0">
        <w:rPr>
          <w:b/>
          <w:sz w:val="16"/>
          <w:szCs w:val="18"/>
        </w:rPr>
        <w:t xml:space="preserve"> </w:t>
      </w:r>
      <w:r w:rsidRPr="000F410C">
        <w:rPr>
          <w:b/>
          <w:sz w:val="16"/>
          <w:szCs w:val="18"/>
        </w:rPr>
        <w:t>2021</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3F6CF0"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3F6CF0" w:rsidP="003F6CF0" w:rsidRDefault="003F6CF0">
      <w:pPr>
        <w:pStyle w:val="Lijstalinea"/>
        <w:rPr>
          <w:b/>
          <w:szCs w:val="18"/>
        </w:rPr>
      </w:pPr>
    </w:p>
    <w:tbl>
      <w:tblPr>
        <w:tblStyle w:val="Tabelraster"/>
        <w:tblW w:w="8599"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649"/>
        <w:gridCol w:w="6529"/>
      </w:tblGrid>
      <w:tr w:rsidRPr="00C371E6" w:rsidR="00C371E6" w:rsidTr="00C371E6">
        <w:tc>
          <w:tcPr>
            <w:tcW w:w="421" w:type="dxa"/>
            <w:vMerge w:val="restart"/>
            <w:shd w:val="clear" w:color="auto" w:fill="F2F2F2" w:themeFill="background1" w:themeFillShade="F2"/>
          </w:tcPr>
          <w:p w:rsidR="00C371E6" w:rsidP="006A170E" w:rsidRDefault="00C371E6">
            <w:pPr>
              <w:spacing w:after="240"/>
              <w:rPr>
                <w:color w:val="595959" w:themeColor="text1" w:themeTint="A6"/>
                <w:szCs w:val="18"/>
              </w:rPr>
            </w:pPr>
            <w:r>
              <w:rPr>
                <w:color w:val="595959" w:themeColor="text1" w:themeTint="A6"/>
                <w:szCs w:val="18"/>
              </w:rPr>
              <w:t>1.</w:t>
            </w:r>
          </w:p>
          <w:p w:rsidR="00C371E6" w:rsidP="006A170E" w:rsidRDefault="00C371E6">
            <w:pPr>
              <w:spacing w:after="240"/>
              <w:rPr>
                <w:color w:val="595959" w:themeColor="text1" w:themeTint="A6"/>
                <w:szCs w:val="18"/>
              </w:rPr>
            </w:pPr>
          </w:p>
          <w:p w:rsidR="00C371E6" w:rsidP="006A170E" w:rsidRDefault="00C371E6">
            <w:pPr>
              <w:spacing w:after="240"/>
              <w:rPr>
                <w:color w:val="595959" w:themeColor="text1" w:themeTint="A6"/>
                <w:szCs w:val="18"/>
              </w:rPr>
            </w:pPr>
          </w:p>
        </w:tc>
        <w:tc>
          <w:tcPr>
            <w:tcW w:w="1649" w:type="dxa"/>
          </w:tcPr>
          <w:p w:rsidRPr="00D75535" w:rsidR="00C371E6" w:rsidP="006A170E" w:rsidRDefault="00C371E6">
            <w:pPr>
              <w:spacing w:after="240"/>
              <w:rPr>
                <w:color w:val="595959" w:themeColor="text1" w:themeTint="A6"/>
                <w:szCs w:val="18"/>
              </w:rPr>
            </w:pPr>
            <w:r w:rsidRPr="00D75535">
              <w:rPr>
                <w:color w:val="595959" w:themeColor="text1" w:themeTint="A6"/>
                <w:szCs w:val="18"/>
              </w:rPr>
              <w:t>Titel</w:t>
            </w:r>
          </w:p>
        </w:tc>
        <w:tc>
          <w:tcPr>
            <w:tcW w:w="6529" w:type="dxa"/>
          </w:tcPr>
          <w:p w:rsidRPr="00C371E6" w:rsidR="00C371E6" w:rsidP="006A170E" w:rsidRDefault="00C371E6">
            <w:pPr>
              <w:rPr>
                <w:color w:val="595959" w:themeColor="text1" w:themeTint="A6"/>
                <w:szCs w:val="18"/>
              </w:rPr>
            </w:pPr>
            <w:proofErr w:type="spellStart"/>
            <w:r w:rsidRPr="00C371E6">
              <w:rPr>
                <w:color w:val="595959" w:themeColor="text1" w:themeTint="A6"/>
                <w:szCs w:val="18"/>
              </w:rPr>
              <w:t>Proposal</w:t>
            </w:r>
            <w:proofErr w:type="spellEnd"/>
            <w:r w:rsidRPr="00C371E6">
              <w:rPr>
                <w:color w:val="595959" w:themeColor="text1" w:themeTint="A6"/>
                <w:szCs w:val="18"/>
              </w:rPr>
              <w:t xml:space="preserve"> </w:t>
            </w:r>
            <w:proofErr w:type="spellStart"/>
            <w:r w:rsidRPr="00C371E6">
              <w:rPr>
                <w:color w:val="595959" w:themeColor="text1" w:themeTint="A6"/>
                <w:szCs w:val="18"/>
              </w:rPr>
              <w:t>for</w:t>
            </w:r>
            <w:proofErr w:type="spellEnd"/>
            <w:r w:rsidRPr="00C371E6">
              <w:rPr>
                <w:color w:val="595959" w:themeColor="text1" w:themeTint="A6"/>
                <w:szCs w:val="18"/>
              </w:rPr>
              <w:t xml:space="preserve"> a REGULATION OF THE EUROPEAN PARLIAMENT AND OF THE COUNCIL on </w:t>
            </w:r>
            <w:proofErr w:type="spellStart"/>
            <w:r w:rsidRPr="00C371E6">
              <w:rPr>
                <w:color w:val="595959" w:themeColor="text1" w:themeTint="A6"/>
                <w:szCs w:val="18"/>
              </w:rPr>
              <w:t>measures</w:t>
            </w:r>
            <w:proofErr w:type="spellEnd"/>
            <w:r w:rsidRPr="00C371E6">
              <w:rPr>
                <w:color w:val="595959" w:themeColor="text1" w:themeTint="A6"/>
                <w:szCs w:val="18"/>
              </w:rPr>
              <w:t xml:space="preserve"> </w:t>
            </w:r>
            <w:proofErr w:type="spellStart"/>
            <w:r w:rsidRPr="00C371E6">
              <w:rPr>
                <w:color w:val="595959" w:themeColor="text1" w:themeTint="A6"/>
                <w:szCs w:val="18"/>
              </w:rPr>
              <w:t>against</w:t>
            </w:r>
            <w:proofErr w:type="spellEnd"/>
            <w:r w:rsidRPr="00C371E6">
              <w:rPr>
                <w:color w:val="595959" w:themeColor="text1" w:themeTint="A6"/>
                <w:szCs w:val="18"/>
              </w:rPr>
              <w:t xml:space="preserve"> transport operators </w:t>
            </w:r>
            <w:proofErr w:type="spellStart"/>
            <w:r w:rsidRPr="00C371E6">
              <w:rPr>
                <w:color w:val="595959" w:themeColor="text1" w:themeTint="A6"/>
                <w:szCs w:val="18"/>
              </w:rPr>
              <w:t>that</w:t>
            </w:r>
            <w:proofErr w:type="spellEnd"/>
            <w:r w:rsidRPr="00C371E6">
              <w:rPr>
                <w:color w:val="595959" w:themeColor="text1" w:themeTint="A6"/>
                <w:szCs w:val="18"/>
              </w:rPr>
              <w:t xml:space="preserve"> </w:t>
            </w:r>
            <w:proofErr w:type="spellStart"/>
            <w:r w:rsidRPr="00C371E6">
              <w:rPr>
                <w:color w:val="595959" w:themeColor="text1" w:themeTint="A6"/>
                <w:szCs w:val="18"/>
              </w:rPr>
              <w:t>facilitate</w:t>
            </w:r>
            <w:proofErr w:type="spellEnd"/>
            <w:r w:rsidRPr="00C371E6">
              <w:rPr>
                <w:color w:val="595959" w:themeColor="text1" w:themeTint="A6"/>
                <w:szCs w:val="18"/>
              </w:rPr>
              <w:t xml:space="preserve"> or </w:t>
            </w:r>
            <w:proofErr w:type="spellStart"/>
            <w:r w:rsidRPr="00C371E6">
              <w:rPr>
                <w:color w:val="595959" w:themeColor="text1" w:themeTint="A6"/>
                <w:szCs w:val="18"/>
              </w:rPr>
              <w:t>engage</w:t>
            </w:r>
            <w:proofErr w:type="spellEnd"/>
            <w:r w:rsidRPr="00C371E6">
              <w:rPr>
                <w:color w:val="595959" w:themeColor="text1" w:themeTint="A6"/>
                <w:szCs w:val="18"/>
              </w:rPr>
              <w:t xml:space="preserve"> in </w:t>
            </w:r>
            <w:proofErr w:type="spellStart"/>
            <w:r w:rsidRPr="00C371E6">
              <w:rPr>
                <w:color w:val="595959" w:themeColor="text1" w:themeTint="A6"/>
                <w:szCs w:val="18"/>
              </w:rPr>
              <w:t>trafficking</w:t>
            </w:r>
            <w:proofErr w:type="spellEnd"/>
            <w:r w:rsidRPr="00C371E6">
              <w:rPr>
                <w:color w:val="595959" w:themeColor="text1" w:themeTint="A6"/>
                <w:szCs w:val="18"/>
              </w:rPr>
              <w:t xml:space="preserve"> in persons or </w:t>
            </w:r>
            <w:proofErr w:type="spellStart"/>
            <w:r w:rsidRPr="00C371E6">
              <w:rPr>
                <w:color w:val="595959" w:themeColor="text1" w:themeTint="A6"/>
                <w:szCs w:val="18"/>
              </w:rPr>
              <w:t>smuggling</w:t>
            </w:r>
            <w:proofErr w:type="spellEnd"/>
            <w:r w:rsidRPr="00C371E6">
              <w:rPr>
                <w:color w:val="595959" w:themeColor="text1" w:themeTint="A6"/>
                <w:szCs w:val="18"/>
              </w:rPr>
              <w:t xml:space="preserve"> of </w:t>
            </w:r>
            <w:proofErr w:type="spellStart"/>
            <w:r w:rsidRPr="00C371E6">
              <w:rPr>
                <w:color w:val="595959" w:themeColor="text1" w:themeTint="A6"/>
                <w:szCs w:val="18"/>
              </w:rPr>
              <w:t>migrants</w:t>
            </w:r>
            <w:proofErr w:type="spellEnd"/>
            <w:r w:rsidRPr="00C371E6">
              <w:rPr>
                <w:color w:val="595959" w:themeColor="text1" w:themeTint="A6"/>
                <w:szCs w:val="18"/>
              </w:rPr>
              <w:t xml:space="preserve"> in </w:t>
            </w:r>
            <w:proofErr w:type="spellStart"/>
            <w:r w:rsidRPr="00C371E6">
              <w:rPr>
                <w:color w:val="595959" w:themeColor="text1" w:themeTint="A6"/>
                <w:szCs w:val="18"/>
              </w:rPr>
              <w:t>relation</w:t>
            </w:r>
            <w:proofErr w:type="spellEnd"/>
            <w:r w:rsidRPr="00C371E6">
              <w:rPr>
                <w:color w:val="595959" w:themeColor="text1" w:themeTint="A6"/>
                <w:szCs w:val="18"/>
              </w:rPr>
              <w:t xml:space="preserve"> </w:t>
            </w:r>
            <w:proofErr w:type="spellStart"/>
            <w:r w:rsidRPr="00C371E6">
              <w:rPr>
                <w:color w:val="595959" w:themeColor="text1" w:themeTint="A6"/>
                <w:szCs w:val="18"/>
              </w:rPr>
              <w:t>to</w:t>
            </w:r>
            <w:proofErr w:type="spellEnd"/>
            <w:r w:rsidRPr="00C371E6">
              <w:rPr>
                <w:color w:val="595959" w:themeColor="text1" w:themeTint="A6"/>
                <w:szCs w:val="18"/>
              </w:rPr>
              <w:t xml:space="preserve"> </w:t>
            </w:r>
            <w:proofErr w:type="spellStart"/>
            <w:r w:rsidRPr="00C371E6">
              <w:rPr>
                <w:color w:val="595959" w:themeColor="text1" w:themeTint="A6"/>
                <w:szCs w:val="18"/>
              </w:rPr>
              <w:t>illegal</w:t>
            </w:r>
            <w:proofErr w:type="spellEnd"/>
            <w:r w:rsidRPr="00C371E6">
              <w:rPr>
                <w:color w:val="595959" w:themeColor="text1" w:themeTint="A6"/>
                <w:szCs w:val="18"/>
              </w:rPr>
              <w:t xml:space="preserve"> entry </w:t>
            </w:r>
            <w:proofErr w:type="spellStart"/>
            <w:r w:rsidRPr="00C371E6">
              <w:rPr>
                <w:color w:val="595959" w:themeColor="text1" w:themeTint="A6"/>
                <w:szCs w:val="18"/>
              </w:rPr>
              <w:t>into</w:t>
            </w:r>
            <w:proofErr w:type="spellEnd"/>
            <w:r w:rsidRPr="00C371E6">
              <w:rPr>
                <w:color w:val="595959" w:themeColor="text1" w:themeTint="A6"/>
                <w:szCs w:val="18"/>
              </w:rPr>
              <w:t xml:space="preserve"> </w:t>
            </w:r>
            <w:proofErr w:type="spellStart"/>
            <w:r w:rsidRPr="00C371E6">
              <w:rPr>
                <w:color w:val="595959" w:themeColor="text1" w:themeTint="A6"/>
                <w:szCs w:val="18"/>
              </w:rPr>
              <w:t>the</w:t>
            </w:r>
            <w:proofErr w:type="spellEnd"/>
            <w:r w:rsidRPr="00C371E6">
              <w:rPr>
                <w:color w:val="595959" w:themeColor="text1" w:themeTint="A6"/>
                <w:szCs w:val="18"/>
              </w:rPr>
              <w:t xml:space="preserve"> </w:t>
            </w:r>
            <w:proofErr w:type="spellStart"/>
            <w:r w:rsidRPr="00C371E6">
              <w:rPr>
                <w:color w:val="595959" w:themeColor="text1" w:themeTint="A6"/>
                <w:szCs w:val="18"/>
              </w:rPr>
              <w:t>territory</w:t>
            </w:r>
            <w:proofErr w:type="spellEnd"/>
            <w:r w:rsidRPr="00C371E6">
              <w:rPr>
                <w:color w:val="595959" w:themeColor="text1" w:themeTint="A6"/>
                <w:szCs w:val="18"/>
              </w:rPr>
              <w:t xml:space="preserve"> of </w:t>
            </w:r>
            <w:proofErr w:type="spellStart"/>
            <w:r w:rsidRPr="00C371E6">
              <w:rPr>
                <w:color w:val="595959" w:themeColor="text1" w:themeTint="A6"/>
                <w:szCs w:val="18"/>
              </w:rPr>
              <w:t>the</w:t>
            </w:r>
            <w:proofErr w:type="spellEnd"/>
            <w:r w:rsidRPr="00C371E6">
              <w:rPr>
                <w:color w:val="595959" w:themeColor="text1" w:themeTint="A6"/>
                <w:szCs w:val="18"/>
              </w:rPr>
              <w:t xml:space="preserve"> European Union </w:t>
            </w:r>
            <w:hyperlink w:history="1" r:id="rId14">
              <w:r w:rsidRPr="00C371E6">
                <w:rPr>
                  <w:rStyle w:val="Hyperlink"/>
                  <w:szCs w:val="18"/>
                </w:rPr>
                <w:t>COM (2021) 753</w:t>
              </w:r>
            </w:hyperlink>
          </w:p>
        </w:tc>
      </w:tr>
      <w:tr w:rsidRPr="002A4BD8" w:rsidR="00306CA9" w:rsidTr="00C371E6">
        <w:tc>
          <w:tcPr>
            <w:tcW w:w="421" w:type="dxa"/>
            <w:vMerge/>
            <w:shd w:val="clear" w:color="auto" w:fill="F2F2F2" w:themeFill="background1" w:themeFillShade="F2"/>
          </w:tcPr>
          <w:p w:rsidRPr="002A4BD8" w:rsidR="00306CA9" w:rsidP="00306CA9" w:rsidRDefault="00306CA9">
            <w:pPr>
              <w:spacing w:after="240"/>
              <w:rPr>
                <w:szCs w:val="18"/>
              </w:rPr>
            </w:pPr>
          </w:p>
        </w:tc>
        <w:tc>
          <w:tcPr>
            <w:tcW w:w="1649" w:type="dxa"/>
          </w:tcPr>
          <w:p w:rsidRPr="002A4BD8" w:rsidR="00306CA9" w:rsidP="00306CA9" w:rsidRDefault="00306CA9">
            <w:pPr>
              <w:spacing w:after="240"/>
              <w:rPr>
                <w:szCs w:val="18"/>
              </w:rPr>
            </w:pPr>
            <w:r w:rsidRPr="002A4BD8">
              <w:rPr>
                <w:szCs w:val="18"/>
              </w:rPr>
              <w:t>Voorstel</w:t>
            </w:r>
          </w:p>
        </w:tc>
        <w:tc>
          <w:tcPr>
            <w:tcW w:w="6529" w:type="dxa"/>
          </w:tcPr>
          <w:p w:rsidRPr="002A4BD8" w:rsidR="00306CA9" w:rsidP="00306CA9" w:rsidRDefault="00306CA9">
            <w:pPr>
              <w:spacing w:after="240"/>
              <w:rPr>
                <w:szCs w:val="18"/>
              </w:rPr>
            </w:pPr>
            <w:r>
              <w:rPr>
                <w:szCs w:val="18"/>
              </w:rPr>
              <w:t xml:space="preserve">BNC-fiche afwachten en daarna besluiten over nadere behandeling. </w:t>
            </w:r>
          </w:p>
        </w:tc>
      </w:tr>
      <w:tr w:rsidRPr="00D75535" w:rsidR="00306CA9" w:rsidTr="00C371E6">
        <w:tc>
          <w:tcPr>
            <w:tcW w:w="421" w:type="dxa"/>
            <w:vMerge/>
            <w:shd w:val="clear" w:color="auto" w:fill="F2F2F2" w:themeFill="background1" w:themeFillShade="F2"/>
          </w:tcPr>
          <w:p w:rsidRPr="00D75535" w:rsidR="00306CA9" w:rsidP="00306CA9" w:rsidRDefault="00306CA9">
            <w:pPr>
              <w:spacing w:after="240"/>
              <w:rPr>
                <w:color w:val="595959" w:themeColor="text1" w:themeTint="A6"/>
                <w:szCs w:val="18"/>
              </w:rPr>
            </w:pPr>
          </w:p>
        </w:tc>
        <w:tc>
          <w:tcPr>
            <w:tcW w:w="1649" w:type="dxa"/>
          </w:tcPr>
          <w:p w:rsidRPr="00D75535" w:rsidR="00306CA9" w:rsidP="00306CA9" w:rsidRDefault="00306CA9">
            <w:pPr>
              <w:spacing w:after="240"/>
              <w:rPr>
                <w:color w:val="595959" w:themeColor="text1" w:themeTint="A6"/>
                <w:szCs w:val="18"/>
              </w:rPr>
            </w:pPr>
            <w:r w:rsidRPr="00D75535">
              <w:rPr>
                <w:color w:val="595959" w:themeColor="text1" w:themeTint="A6"/>
                <w:szCs w:val="18"/>
              </w:rPr>
              <w:t>Noot</w:t>
            </w:r>
          </w:p>
        </w:tc>
        <w:tc>
          <w:tcPr>
            <w:tcW w:w="6529" w:type="dxa"/>
          </w:tcPr>
          <w:p w:rsidRPr="00D75535" w:rsidR="00306CA9" w:rsidP="00306CA9" w:rsidRDefault="00306CA9">
            <w:pPr>
              <w:spacing w:after="240"/>
              <w:rPr>
                <w:color w:val="595959" w:themeColor="text1" w:themeTint="A6"/>
                <w:szCs w:val="18"/>
              </w:rPr>
            </w:pPr>
            <w:r>
              <w:rPr>
                <w:color w:val="595959" w:themeColor="text1" w:themeTint="A6"/>
                <w:szCs w:val="18"/>
              </w:rPr>
              <w:t>Vervoerders die betrokken zijn bij mensensmokkel- of handel kunnen met dit voorstel op een zwarte lijst worden geplaatst, waardoor ze niet meer kunnen opereren op EU-grondgebied of daarboven.</w:t>
            </w:r>
          </w:p>
        </w:tc>
      </w:tr>
    </w:tbl>
    <w:p w:rsidR="003F6CF0" w:rsidP="002A4BD8" w:rsidRDefault="003F6CF0">
      <w:pPr>
        <w:rPr>
          <w:szCs w:val="18"/>
        </w:rPr>
      </w:pPr>
    </w:p>
    <w:p w:rsidR="003252C4" w:rsidP="002A4BD8" w:rsidRDefault="003252C4">
      <w:pPr>
        <w:rPr>
          <w:szCs w:val="18"/>
        </w:rPr>
      </w:pPr>
    </w:p>
    <w:p w:rsidRPr="00820149" w:rsidR="00820149" w:rsidP="00820149" w:rsidRDefault="00D27FE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tbl>
      <w:tblPr>
        <w:tblStyle w:val="Tabelraster"/>
        <w:tblW w:w="8599"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649"/>
        <w:gridCol w:w="6529"/>
      </w:tblGrid>
      <w:tr w:rsidRPr="00C371E6" w:rsidR="00C371E6" w:rsidTr="00C371E6">
        <w:tc>
          <w:tcPr>
            <w:tcW w:w="421" w:type="dxa"/>
            <w:vMerge w:val="restart"/>
            <w:shd w:val="clear" w:color="auto" w:fill="F2F2F2" w:themeFill="background1" w:themeFillShade="F2"/>
          </w:tcPr>
          <w:p w:rsidRPr="00D75535" w:rsidR="00C371E6" w:rsidP="006A170E" w:rsidRDefault="00306CA9">
            <w:pPr>
              <w:spacing w:after="240"/>
              <w:rPr>
                <w:color w:val="595959" w:themeColor="text1" w:themeTint="A6"/>
                <w:szCs w:val="18"/>
              </w:rPr>
            </w:pPr>
            <w:r>
              <w:rPr>
                <w:color w:val="595959" w:themeColor="text1" w:themeTint="A6"/>
                <w:szCs w:val="18"/>
              </w:rPr>
              <w:t>2</w:t>
            </w:r>
            <w:r w:rsidR="00C371E6">
              <w:rPr>
                <w:color w:val="595959" w:themeColor="text1" w:themeTint="A6"/>
                <w:szCs w:val="18"/>
              </w:rPr>
              <w:t>.</w:t>
            </w:r>
          </w:p>
        </w:tc>
        <w:tc>
          <w:tcPr>
            <w:tcW w:w="1649" w:type="dxa"/>
          </w:tcPr>
          <w:p w:rsidRPr="00D75535" w:rsidR="00C371E6" w:rsidP="006A170E" w:rsidRDefault="00C371E6">
            <w:pPr>
              <w:spacing w:after="240"/>
              <w:rPr>
                <w:color w:val="595959" w:themeColor="text1" w:themeTint="A6"/>
                <w:szCs w:val="18"/>
              </w:rPr>
            </w:pPr>
            <w:r w:rsidRPr="00D75535">
              <w:rPr>
                <w:color w:val="595959" w:themeColor="text1" w:themeTint="A6"/>
                <w:szCs w:val="18"/>
              </w:rPr>
              <w:t>Titel</w:t>
            </w:r>
          </w:p>
        </w:tc>
        <w:tc>
          <w:tcPr>
            <w:tcW w:w="6529" w:type="dxa"/>
          </w:tcPr>
          <w:p w:rsidR="00C371E6" w:rsidP="006A170E" w:rsidRDefault="00C371E6">
            <w:pPr>
              <w:rPr>
                <w:rStyle w:val="Hyperlink"/>
                <w:szCs w:val="18"/>
              </w:rPr>
            </w:pPr>
            <w:r w:rsidRPr="00C371E6">
              <w:rPr>
                <w:color w:val="595959" w:themeColor="text1" w:themeTint="A6"/>
                <w:szCs w:val="18"/>
              </w:rPr>
              <w:t>Voorstel voor een BESLUIT VAN DE RAAD houdende machtiging van de lidstaten om, in het belang van de Europese Unie, het tweede aanvullend protocol bij het Verdrag inzake de bestrijding van strafbare feiten verbonden met elektronische netwerken, inzake nauwere samenwerking en verstrekking van elektronisch bewijsmateriaal</w:t>
            </w:r>
            <w:r>
              <w:rPr>
                <w:color w:val="595959" w:themeColor="text1" w:themeTint="A6"/>
                <w:szCs w:val="18"/>
              </w:rPr>
              <w:t xml:space="preserve"> te ondertekenen </w:t>
            </w:r>
            <w:hyperlink w:history="1" r:id="rId15">
              <w:r w:rsidRPr="00C371E6">
                <w:rPr>
                  <w:rStyle w:val="Hyperlink"/>
                  <w:szCs w:val="18"/>
                </w:rPr>
                <w:t>COM (2021) 718</w:t>
              </w:r>
            </w:hyperlink>
          </w:p>
          <w:p w:rsidR="00306CA9" w:rsidP="006A170E" w:rsidRDefault="00306CA9">
            <w:pPr>
              <w:rPr>
                <w:rStyle w:val="Hyperlink"/>
                <w:szCs w:val="18"/>
              </w:rPr>
            </w:pPr>
          </w:p>
          <w:p w:rsidR="00306CA9" w:rsidP="006A170E" w:rsidRDefault="00306CA9">
            <w:pPr>
              <w:rPr>
                <w:color w:val="595959" w:themeColor="text1" w:themeTint="A6"/>
                <w:szCs w:val="18"/>
              </w:rPr>
            </w:pPr>
            <w:r>
              <w:rPr>
                <w:color w:val="595959" w:themeColor="text1" w:themeTint="A6"/>
                <w:szCs w:val="18"/>
              </w:rPr>
              <w:t>En</w:t>
            </w:r>
          </w:p>
          <w:p w:rsidR="00306CA9" w:rsidP="006A170E" w:rsidRDefault="00306CA9">
            <w:pPr>
              <w:rPr>
                <w:color w:val="595959" w:themeColor="text1" w:themeTint="A6"/>
                <w:szCs w:val="18"/>
              </w:rPr>
            </w:pPr>
          </w:p>
          <w:p w:rsidRPr="00C371E6" w:rsidR="00306CA9" w:rsidP="006A170E" w:rsidRDefault="00306CA9">
            <w:pPr>
              <w:rPr>
                <w:color w:val="595959" w:themeColor="text1" w:themeTint="A6"/>
                <w:szCs w:val="18"/>
              </w:rPr>
            </w:pPr>
            <w:r w:rsidRPr="00C371E6">
              <w:rPr>
                <w:color w:val="595959" w:themeColor="text1" w:themeTint="A6"/>
                <w:szCs w:val="18"/>
              </w:rPr>
              <w:t xml:space="preserve">Voorstel voor een BESLUIT VAN DE RAAD houdende machtiging van de lidstaten om, in het belang van de Europese Unie, het tweede aanvullend protocol bij het Verdrag inzake de bestrijding van strafbare feiten verbonden met elektronische netwerken, inzake nauwere samenwerking en verstrekking van elektronisch bewijsmateriaal te ratificeren </w:t>
            </w:r>
            <w:hyperlink w:history="1" r:id="rId16">
              <w:r w:rsidRPr="00C371E6">
                <w:rPr>
                  <w:rStyle w:val="Hyperlink"/>
                  <w:szCs w:val="18"/>
                </w:rPr>
                <w:t>COM (2021) 719</w:t>
              </w:r>
            </w:hyperlink>
          </w:p>
        </w:tc>
      </w:tr>
      <w:tr w:rsidRPr="002A4BD8" w:rsidR="00C371E6" w:rsidTr="00C371E6">
        <w:tc>
          <w:tcPr>
            <w:tcW w:w="421" w:type="dxa"/>
            <w:vMerge/>
            <w:shd w:val="clear" w:color="auto" w:fill="F2F2F2" w:themeFill="background1" w:themeFillShade="F2"/>
          </w:tcPr>
          <w:p w:rsidRPr="002A4BD8" w:rsidR="00C371E6" w:rsidP="006A170E" w:rsidRDefault="00C371E6">
            <w:pPr>
              <w:spacing w:after="240"/>
              <w:rPr>
                <w:szCs w:val="18"/>
              </w:rPr>
            </w:pPr>
          </w:p>
        </w:tc>
        <w:tc>
          <w:tcPr>
            <w:tcW w:w="1649" w:type="dxa"/>
          </w:tcPr>
          <w:p w:rsidRPr="002A4BD8" w:rsidR="00C371E6" w:rsidP="006A170E" w:rsidRDefault="00C371E6">
            <w:pPr>
              <w:spacing w:after="240"/>
              <w:rPr>
                <w:szCs w:val="18"/>
              </w:rPr>
            </w:pPr>
            <w:r w:rsidRPr="002A4BD8">
              <w:rPr>
                <w:szCs w:val="18"/>
              </w:rPr>
              <w:t>Voorstel</w:t>
            </w:r>
          </w:p>
        </w:tc>
        <w:tc>
          <w:tcPr>
            <w:tcW w:w="6529" w:type="dxa"/>
          </w:tcPr>
          <w:p w:rsidRPr="002A4BD8" w:rsidR="00C371E6" w:rsidP="00306CA9" w:rsidRDefault="00306CA9">
            <w:pPr>
              <w:spacing w:after="240"/>
              <w:rPr>
                <w:szCs w:val="18"/>
              </w:rPr>
            </w:pPr>
            <w:r>
              <w:rPr>
                <w:szCs w:val="18"/>
              </w:rPr>
              <w:t>Voor kennisgeving aannemen</w:t>
            </w:r>
          </w:p>
        </w:tc>
      </w:tr>
      <w:tr w:rsidRPr="00D75535" w:rsidR="00C371E6" w:rsidTr="00C371E6">
        <w:tc>
          <w:tcPr>
            <w:tcW w:w="421" w:type="dxa"/>
            <w:vMerge/>
            <w:shd w:val="clear" w:color="auto" w:fill="F2F2F2" w:themeFill="background1" w:themeFillShade="F2"/>
          </w:tcPr>
          <w:p w:rsidRPr="00D75535" w:rsidR="00C371E6" w:rsidP="006A170E" w:rsidRDefault="00C371E6">
            <w:pPr>
              <w:spacing w:after="240"/>
              <w:rPr>
                <w:color w:val="595959" w:themeColor="text1" w:themeTint="A6"/>
                <w:szCs w:val="18"/>
              </w:rPr>
            </w:pPr>
          </w:p>
        </w:tc>
        <w:tc>
          <w:tcPr>
            <w:tcW w:w="1649" w:type="dxa"/>
          </w:tcPr>
          <w:p w:rsidRPr="00D75535" w:rsidR="00C371E6" w:rsidP="006A170E" w:rsidRDefault="00C371E6">
            <w:pPr>
              <w:spacing w:after="240"/>
              <w:rPr>
                <w:color w:val="595959" w:themeColor="text1" w:themeTint="A6"/>
                <w:szCs w:val="18"/>
              </w:rPr>
            </w:pPr>
            <w:r w:rsidRPr="00D75535">
              <w:rPr>
                <w:color w:val="595959" w:themeColor="text1" w:themeTint="A6"/>
                <w:szCs w:val="18"/>
              </w:rPr>
              <w:t>Noot</w:t>
            </w:r>
          </w:p>
        </w:tc>
        <w:tc>
          <w:tcPr>
            <w:tcW w:w="6529" w:type="dxa"/>
          </w:tcPr>
          <w:p w:rsidRPr="00D75535" w:rsidR="00C371E6" w:rsidP="006A170E" w:rsidRDefault="00306CA9">
            <w:pPr>
              <w:spacing w:after="240"/>
              <w:rPr>
                <w:color w:val="595959" w:themeColor="text1" w:themeTint="A6"/>
                <w:szCs w:val="18"/>
              </w:rPr>
            </w:pPr>
            <w:r w:rsidRPr="0042434D">
              <w:rPr>
                <w:color w:val="595959" w:themeColor="text1" w:themeTint="A6"/>
                <w:szCs w:val="18"/>
                <w:lang w:val="en-US"/>
              </w:rPr>
              <w:t xml:space="preserve">Het </w:t>
            </w:r>
            <w:proofErr w:type="spellStart"/>
            <w:r w:rsidRPr="0042434D">
              <w:rPr>
                <w:color w:val="595959" w:themeColor="text1" w:themeTint="A6"/>
                <w:szCs w:val="18"/>
                <w:lang w:val="en-US"/>
              </w:rPr>
              <w:t>betreft</w:t>
            </w:r>
            <w:proofErr w:type="spellEnd"/>
            <w:r w:rsidRPr="0042434D">
              <w:rPr>
                <w:color w:val="595959" w:themeColor="text1" w:themeTint="A6"/>
                <w:szCs w:val="18"/>
                <w:lang w:val="en-US"/>
              </w:rPr>
              <w:t xml:space="preserve"> twee </w:t>
            </w:r>
            <w:proofErr w:type="spellStart"/>
            <w:r w:rsidRPr="0042434D">
              <w:rPr>
                <w:color w:val="595959" w:themeColor="text1" w:themeTint="A6"/>
                <w:szCs w:val="18"/>
                <w:lang w:val="en-US"/>
              </w:rPr>
              <w:t>voorstellen</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voor</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Raadsbesluiten</w:t>
            </w:r>
            <w:proofErr w:type="spellEnd"/>
            <w:r w:rsidRPr="0042434D">
              <w:rPr>
                <w:color w:val="595959" w:themeColor="text1" w:themeTint="A6"/>
                <w:szCs w:val="18"/>
                <w:lang w:val="en-US"/>
              </w:rPr>
              <w:t xml:space="preserve"> om de </w:t>
            </w:r>
            <w:proofErr w:type="spellStart"/>
            <w:r w:rsidRPr="0042434D">
              <w:rPr>
                <w:color w:val="595959" w:themeColor="text1" w:themeTint="A6"/>
                <w:szCs w:val="18"/>
                <w:lang w:val="en-US"/>
              </w:rPr>
              <w:t>lidstaten</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te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machtigen</w:t>
            </w:r>
            <w:proofErr w:type="spellEnd"/>
            <w:r w:rsidRPr="0042434D">
              <w:rPr>
                <w:color w:val="595959" w:themeColor="text1" w:themeTint="A6"/>
                <w:szCs w:val="18"/>
                <w:lang w:val="en-US"/>
              </w:rPr>
              <w:t xml:space="preserve"> in het </w:t>
            </w:r>
            <w:proofErr w:type="spellStart"/>
            <w:r w:rsidRPr="0042434D">
              <w:rPr>
                <w:color w:val="595959" w:themeColor="text1" w:themeTint="A6"/>
                <w:szCs w:val="18"/>
                <w:lang w:val="en-US"/>
              </w:rPr>
              <w:t>belang</w:t>
            </w:r>
            <w:proofErr w:type="spellEnd"/>
            <w:r w:rsidRPr="0042434D">
              <w:rPr>
                <w:color w:val="595959" w:themeColor="text1" w:themeTint="A6"/>
                <w:szCs w:val="18"/>
                <w:lang w:val="en-US"/>
              </w:rPr>
              <w:t xml:space="preserve"> van de </w:t>
            </w:r>
            <w:proofErr w:type="spellStart"/>
            <w:r w:rsidRPr="0042434D">
              <w:rPr>
                <w:color w:val="595959" w:themeColor="text1" w:themeTint="A6"/>
                <w:szCs w:val="18"/>
                <w:lang w:val="en-US"/>
              </w:rPr>
              <w:t>Unie</w:t>
            </w:r>
            <w:proofErr w:type="spellEnd"/>
            <w:r w:rsidRPr="0042434D">
              <w:rPr>
                <w:color w:val="595959" w:themeColor="text1" w:themeTint="A6"/>
                <w:szCs w:val="18"/>
                <w:lang w:val="en-US"/>
              </w:rPr>
              <w:t xml:space="preserve"> in </w:t>
            </w:r>
            <w:proofErr w:type="spellStart"/>
            <w:r w:rsidRPr="0042434D">
              <w:rPr>
                <w:color w:val="595959" w:themeColor="text1" w:themeTint="A6"/>
                <w:szCs w:val="18"/>
                <w:lang w:val="en-US"/>
              </w:rPr>
              <w:t>te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stemmen</w:t>
            </w:r>
            <w:proofErr w:type="spellEnd"/>
            <w:r w:rsidRPr="0042434D">
              <w:rPr>
                <w:color w:val="595959" w:themeColor="text1" w:themeTint="A6"/>
                <w:szCs w:val="18"/>
                <w:lang w:val="en-US"/>
              </w:rPr>
              <w:t xml:space="preserve"> met het in het </w:t>
            </w:r>
            <w:proofErr w:type="spellStart"/>
            <w:r w:rsidRPr="0042434D">
              <w:rPr>
                <w:color w:val="595959" w:themeColor="text1" w:themeTint="A6"/>
                <w:szCs w:val="18"/>
                <w:lang w:val="en-US"/>
              </w:rPr>
              <w:t>kader</w:t>
            </w:r>
            <w:proofErr w:type="spellEnd"/>
            <w:r w:rsidRPr="0042434D">
              <w:rPr>
                <w:color w:val="595959" w:themeColor="text1" w:themeTint="A6"/>
                <w:szCs w:val="18"/>
                <w:lang w:val="en-US"/>
              </w:rPr>
              <w:t xml:space="preserve"> van de </w:t>
            </w:r>
            <w:proofErr w:type="spellStart"/>
            <w:r w:rsidRPr="0042434D">
              <w:rPr>
                <w:color w:val="595959" w:themeColor="text1" w:themeTint="A6"/>
                <w:szCs w:val="18"/>
                <w:lang w:val="en-US"/>
              </w:rPr>
              <w:t>Raad</w:t>
            </w:r>
            <w:proofErr w:type="spellEnd"/>
            <w:r w:rsidRPr="0042434D">
              <w:rPr>
                <w:color w:val="595959" w:themeColor="text1" w:themeTint="A6"/>
                <w:szCs w:val="18"/>
                <w:lang w:val="en-US"/>
              </w:rPr>
              <w:t xml:space="preserve"> van Europa (</w:t>
            </w:r>
            <w:proofErr w:type="spellStart"/>
            <w:r w:rsidRPr="0042434D">
              <w:rPr>
                <w:color w:val="595959" w:themeColor="text1" w:themeTint="A6"/>
                <w:szCs w:val="18"/>
                <w:lang w:val="en-US"/>
              </w:rPr>
              <w:t>RvE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onderhandelde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Tweede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aanvullend</w:t>
            </w:r>
            <w:proofErr w:type="spellEnd"/>
            <w:r w:rsidRPr="0042434D">
              <w:rPr>
                <w:color w:val="595959" w:themeColor="text1" w:themeTint="A6"/>
                <w:szCs w:val="18"/>
                <w:lang w:val="en-US"/>
              </w:rPr>
              <w:t xml:space="preserve"> protocol </w:t>
            </w:r>
            <w:proofErr w:type="spellStart"/>
            <w:r w:rsidRPr="0042434D">
              <w:rPr>
                <w:color w:val="595959" w:themeColor="text1" w:themeTint="A6"/>
                <w:szCs w:val="18"/>
                <w:lang w:val="en-US"/>
              </w:rPr>
              <w:t>bij</w:t>
            </w:r>
            <w:proofErr w:type="spellEnd"/>
            <w:r w:rsidRPr="0042434D">
              <w:rPr>
                <w:color w:val="595959" w:themeColor="text1" w:themeTint="A6"/>
                <w:szCs w:val="18"/>
                <w:lang w:val="en-US"/>
              </w:rPr>
              <w:t xml:space="preserve"> het </w:t>
            </w:r>
            <w:proofErr w:type="spellStart"/>
            <w:r w:rsidRPr="0042434D">
              <w:rPr>
                <w:color w:val="595959" w:themeColor="text1" w:themeTint="A6"/>
                <w:szCs w:val="18"/>
                <w:lang w:val="en-US"/>
              </w:rPr>
              <w:t>RvE-Verdrag</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inzake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Cybercriminaliteit</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Verdrag</w:t>
            </w:r>
            <w:proofErr w:type="spellEnd"/>
            <w:r w:rsidRPr="0042434D">
              <w:rPr>
                <w:color w:val="595959" w:themeColor="text1" w:themeTint="A6"/>
                <w:szCs w:val="18"/>
                <w:lang w:val="en-US"/>
              </w:rPr>
              <w:t xml:space="preserve"> van </w:t>
            </w:r>
            <w:proofErr w:type="spellStart"/>
            <w:r w:rsidRPr="0042434D">
              <w:rPr>
                <w:color w:val="595959" w:themeColor="text1" w:themeTint="A6"/>
                <w:szCs w:val="18"/>
                <w:lang w:val="en-US"/>
              </w:rPr>
              <w:t>Boedapest</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inzake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nauwere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samenwerking</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betreffende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elektronisch</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bewijsmateriaal</w:t>
            </w:r>
            <w:proofErr w:type="spellEnd"/>
            <w:r w:rsidRPr="0042434D">
              <w:rPr>
                <w:color w:val="595959" w:themeColor="text1" w:themeTint="A6"/>
                <w:szCs w:val="18"/>
                <w:lang w:val="en-US"/>
              </w:rPr>
              <w:t xml:space="preserve">. Het protocol </w:t>
            </w:r>
            <w:proofErr w:type="spellStart"/>
            <w:r w:rsidRPr="0042434D">
              <w:rPr>
                <w:color w:val="595959" w:themeColor="text1" w:themeTint="A6"/>
                <w:szCs w:val="18"/>
                <w:lang w:val="en-US"/>
              </w:rPr>
              <w:t>ziet</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onder</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meer</w:t>
            </w:r>
            <w:proofErr w:type="spellEnd"/>
            <w:r w:rsidRPr="0042434D">
              <w:rPr>
                <w:color w:val="595959" w:themeColor="text1" w:themeTint="A6"/>
                <w:szCs w:val="18"/>
                <w:lang w:val="en-US"/>
              </w:rPr>
              <w:t xml:space="preserve"> op </w:t>
            </w:r>
            <w:proofErr w:type="spellStart"/>
            <w:r w:rsidRPr="0042434D">
              <w:rPr>
                <w:color w:val="595959" w:themeColor="text1" w:themeTint="A6"/>
                <w:szCs w:val="18"/>
                <w:lang w:val="en-US"/>
              </w:rPr>
              <w:t>snellere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en</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effectievere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wederzijdse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rechtshulp</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tussen</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verdragspartijen</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en</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bevat</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bepalingen</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gericht</w:t>
            </w:r>
            <w:proofErr w:type="spellEnd"/>
            <w:r w:rsidRPr="0042434D">
              <w:rPr>
                <w:color w:val="595959" w:themeColor="text1" w:themeTint="A6"/>
                <w:szCs w:val="18"/>
                <w:lang w:val="en-US"/>
              </w:rPr>
              <w:t xml:space="preserve"> op de </w:t>
            </w:r>
            <w:proofErr w:type="spellStart"/>
            <w:r w:rsidRPr="0042434D">
              <w:rPr>
                <w:color w:val="595959" w:themeColor="text1" w:themeTint="A6"/>
                <w:szCs w:val="18"/>
                <w:lang w:val="en-US"/>
              </w:rPr>
              <w:t>bescherming</w:t>
            </w:r>
            <w:proofErr w:type="spellEnd"/>
            <w:r w:rsidRPr="0042434D">
              <w:rPr>
                <w:color w:val="595959" w:themeColor="text1" w:themeTint="A6"/>
                <w:szCs w:val="18"/>
                <w:lang w:val="en-US"/>
              </w:rPr>
              <w:t xml:space="preserve"> van </w:t>
            </w:r>
            <w:proofErr w:type="spellStart"/>
            <w:r w:rsidRPr="0042434D">
              <w:rPr>
                <w:color w:val="595959" w:themeColor="text1" w:themeTint="A6"/>
                <w:szCs w:val="18"/>
                <w:lang w:val="en-US"/>
              </w:rPr>
              <w:lastRenderedPageBreak/>
              <w:t>fundamentele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rechten</w:t>
            </w:r>
            <w:proofErr w:type="spellEnd"/>
            <w:r w:rsidRPr="0042434D">
              <w:rPr>
                <w:color w:val="595959" w:themeColor="text1" w:themeTint="A6"/>
                <w:szCs w:val="18"/>
                <w:lang w:val="en-US"/>
              </w:rPr>
              <w:t xml:space="preserve"> van </w:t>
            </w:r>
            <w:proofErr w:type="spellStart"/>
            <w:r w:rsidRPr="0042434D">
              <w:rPr>
                <w:color w:val="595959" w:themeColor="text1" w:themeTint="A6"/>
                <w:szCs w:val="18"/>
                <w:lang w:val="en-US"/>
              </w:rPr>
              <w:t>personen</w:t>
            </w:r>
            <w:proofErr w:type="spellEnd"/>
            <w:r w:rsidRPr="0042434D">
              <w:rPr>
                <w:color w:val="595959" w:themeColor="text1" w:themeTint="A6"/>
                <w:szCs w:val="18"/>
                <w:lang w:val="en-US"/>
              </w:rPr>
              <w:t xml:space="preserve">. In </w:t>
            </w:r>
            <w:proofErr w:type="spellStart"/>
            <w:r w:rsidRPr="0042434D">
              <w:rPr>
                <w:color w:val="595959" w:themeColor="text1" w:themeTint="A6"/>
                <w:szCs w:val="18"/>
                <w:lang w:val="en-US"/>
              </w:rPr>
              <w:t>Kamerstuk</w:t>
            </w:r>
            <w:proofErr w:type="spellEnd"/>
            <w:r w:rsidRPr="0042434D">
              <w:rPr>
                <w:color w:val="595959" w:themeColor="text1" w:themeTint="A6"/>
                <w:szCs w:val="18"/>
                <w:lang w:val="en-US"/>
              </w:rPr>
              <w:t xml:space="preserve"> 32317, </w:t>
            </w:r>
            <w:proofErr w:type="spellStart"/>
            <w:r w:rsidRPr="0042434D">
              <w:rPr>
                <w:color w:val="595959" w:themeColor="text1" w:themeTint="A6"/>
                <w:szCs w:val="18"/>
                <w:lang w:val="en-US"/>
              </w:rPr>
              <w:t>nr</w:t>
            </w:r>
            <w:proofErr w:type="spellEnd"/>
            <w:r w:rsidRPr="0042434D">
              <w:rPr>
                <w:color w:val="595959" w:themeColor="text1" w:themeTint="A6"/>
                <w:szCs w:val="18"/>
                <w:lang w:val="en-US"/>
              </w:rPr>
              <w:t xml:space="preserve">. 723 </w:t>
            </w:r>
            <w:proofErr w:type="spellStart"/>
            <w:r w:rsidRPr="0042434D">
              <w:rPr>
                <w:color w:val="595959" w:themeColor="text1" w:themeTint="A6"/>
                <w:szCs w:val="18"/>
                <w:lang w:val="en-US"/>
              </w:rPr>
              <w:t>geeft</w:t>
            </w:r>
            <w:proofErr w:type="spellEnd"/>
            <w:r w:rsidRPr="0042434D">
              <w:rPr>
                <w:color w:val="595959" w:themeColor="text1" w:themeTint="A6"/>
                <w:szCs w:val="18"/>
                <w:lang w:val="en-US"/>
              </w:rPr>
              <w:t xml:space="preserve"> de minister </w:t>
            </w:r>
            <w:proofErr w:type="spellStart"/>
            <w:r w:rsidRPr="0042434D">
              <w:rPr>
                <w:color w:val="595959" w:themeColor="text1" w:themeTint="A6"/>
                <w:szCs w:val="18"/>
                <w:lang w:val="en-US"/>
              </w:rPr>
              <w:t>aan</w:t>
            </w:r>
            <w:proofErr w:type="spellEnd"/>
            <w:r w:rsidRPr="0042434D">
              <w:rPr>
                <w:color w:val="595959" w:themeColor="text1" w:themeTint="A6"/>
                <w:szCs w:val="18"/>
                <w:lang w:val="en-US"/>
              </w:rPr>
              <w:t xml:space="preserve"> in de </w:t>
            </w:r>
            <w:proofErr w:type="spellStart"/>
            <w:r w:rsidRPr="0042434D">
              <w:rPr>
                <w:color w:val="595959" w:themeColor="text1" w:themeTint="A6"/>
                <w:szCs w:val="18"/>
                <w:lang w:val="en-US"/>
              </w:rPr>
              <w:t>aanbiedingsbrief</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bij</w:t>
            </w:r>
            <w:proofErr w:type="spellEnd"/>
            <w:r w:rsidRPr="0042434D">
              <w:rPr>
                <w:color w:val="595959" w:themeColor="text1" w:themeTint="A6"/>
                <w:szCs w:val="18"/>
                <w:lang w:val="en-US"/>
              </w:rPr>
              <w:t xml:space="preserve"> het </w:t>
            </w:r>
            <w:proofErr w:type="spellStart"/>
            <w:r w:rsidRPr="0042434D">
              <w:rPr>
                <w:color w:val="595959" w:themeColor="text1" w:themeTint="A6"/>
                <w:szCs w:val="18"/>
                <w:lang w:val="en-US"/>
              </w:rPr>
              <w:t>verslag</w:t>
            </w:r>
            <w:proofErr w:type="spellEnd"/>
            <w:r w:rsidRPr="0042434D">
              <w:rPr>
                <w:color w:val="595959" w:themeColor="text1" w:themeTint="A6"/>
                <w:szCs w:val="18"/>
                <w:lang w:val="en-US"/>
              </w:rPr>
              <w:t xml:space="preserve"> over de JBZ-</w:t>
            </w:r>
            <w:proofErr w:type="spellStart"/>
            <w:r w:rsidRPr="0042434D">
              <w:rPr>
                <w:color w:val="595959" w:themeColor="text1" w:themeTint="A6"/>
                <w:szCs w:val="18"/>
                <w:lang w:val="en-US"/>
              </w:rPr>
              <w:t>Raad</w:t>
            </w:r>
            <w:proofErr w:type="spellEnd"/>
            <w:r w:rsidRPr="0042434D">
              <w:rPr>
                <w:color w:val="595959" w:themeColor="text1" w:themeTint="A6"/>
                <w:szCs w:val="18"/>
                <w:lang w:val="en-US"/>
              </w:rPr>
              <w:t xml:space="preserve"> op 9-10 </w:t>
            </w:r>
            <w:proofErr w:type="spellStart"/>
            <w:r w:rsidRPr="0042434D">
              <w:rPr>
                <w:color w:val="595959" w:themeColor="text1" w:themeTint="A6"/>
                <w:szCs w:val="18"/>
                <w:lang w:val="en-US"/>
              </w:rPr>
              <w:t>december</w:t>
            </w:r>
            <w:proofErr w:type="spellEnd"/>
            <w:r w:rsidRPr="0042434D">
              <w:rPr>
                <w:color w:val="595959" w:themeColor="text1" w:themeTint="A6"/>
                <w:szCs w:val="18"/>
                <w:lang w:val="en-US"/>
              </w:rPr>
              <w:t xml:space="preserve"> 2021, de </w:t>
            </w:r>
            <w:proofErr w:type="spellStart"/>
            <w:r w:rsidRPr="0042434D">
              <w:rPr>
                <w:color w:val="595959" w:themeColor="text1" w:themeTint="A6"/>
                <w:szCs w:val="18"/>
                <w:lang w:val="en-US"/>
              </w:rPr>
              <w:t>Kamer</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nader</w:t>
            </w:r>
            <w:proofErr w:type="spellEnd"/>
            <w:r w:rsidRPr="0042434D">
              <w:rPr>
                <w:color w:val="595959" w:themeColor="text1" w:themeTint="A6"/>
                <w:szCs w:val="18"/>
                <w:lang w:val="en-US"/>
              </w:rPr>
              <w:t xml:space="preserve"> over de </w:t>
            </w:r>
            <w:proofErr w:type="spellStart"/>
            <w:r w:rsidRPr="0042434D">
              <w:rPr>
                <w:color w:val="595959" w:themeColor="text1" w:themeTint="A6"/>
                <w:szCs w:val="18"/>
                <w:lang w:val="en-US"/>
              </w:rPr>
              <w:t>voorstellen</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te</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zullen</w:t>
            </w:r>
            <w:proofErr w:type="spellEnd"/>
            <w:r w:rsidRPr="0042434D">
              <w:rPr>
                <w:color w:val="595959" w:themeColor="text1" w:themeTint="A6"/>
                <w:szCs w:val="18"/>
                <w:lang w:val="en-US"/>
              </w:rPr>
              <w:t xml:space="preserve"> </w:t>
            </w:r>
            <w:proofErr w:type="spellStart"/>
            <w:r w:rsidRPr="0042434D">
              <w:rPr>
                <w:color w:val="595959" w:themeColor="text1" w:themeTint="A6"/>
                <w:szCs w:val="18"/>
                <w:lang w:val="en-US"/>
              </w:rPr>
              <w:t>informeren</w:t>
            </w:r>
            <w:proofErr w:type="spellEnd"/>
            <w:r w:rsidRPr="0042434D">
              <w:rPr>
                <w:color w:val="595959" w:themeColor="text1" w:themeTint="A6"/>
                <w:szCs w:val="18"/>
                <w:lang w:val="en-US"/>
              </w:rPr>
              <w:t>.</w:t>
            </w:r>
          </w:p>
        </w:tc>
      </w:tr>
    </w:tbl>
    <w:p w:rsidR="00C371E6" w:rsidP="002A4BD8" w:rsidRDefault="00C371E6">
      <w:pPr>
        <w:rPr>
          <w:szCs w:val="18"/>
        </w:rPr>
      </w:pPr>
    </w:p>
    <w:p w:rsidR="00C371E6" w:rsidP="002A4BD8" w:rsidRDefault="00C371E6">
      <w:pPr>
        <w:rPr>
          <w:szCs w:val="18"/>
        </w:rPr>
      </w:pPr>
    </w:p>
    <w:tbl>
      <w:tblPr>
        <w:tblStyle w:val="Tabelraster"/>
        <w:tblW w:w="8599" w:type="dxa"/>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649"/>
        <w:gridCol w:w="6529"/>
      </w:tblGrid>
      <w:tr w:rsidRPr="00C371E6" w:rsidR="00D926C2" w:rsidTr="00D926C2">
        <w:tc>
          <w:tcPr>
            <w:tcW w:w="421" w:type="dxa"/>
            <w:vMerge w:val="restart"/>
            <w:shd w:val="clear" w:color="auto" w:fill="F2F2F2" w:themeFill="background1" w:themeFillShade="F2"/>
          </w:tcPr>
          <w:p w:rsidRPr="00D75535" w:rsidR="00D926C2" w:rsidP="006A170E" w:rsidRDefault="00306CA9">
            <w:pPr>
              <w:spacing w:after="240"/>
              <w:rPr>
                <w:color w:val="595959" w:themeColor="text1" w:themeTint="A6"/>
                <w:szCs w:val="18"/>
              </w:rPr>
            </w:pPr>
            <w:r>
              <w:rPr>
                <w:color w:val="595959" w:themeColor="text1" w:themeTint="A6"/>
                <w:szCs w:val="18"/>
              </w:rPr>
              <w:t>3</w:t>
            </w:r>
            <w:r w:rsidR="00D926C2">
              <w:rPr>
                <w:color w:val="595959" w:themeColor="text1" w:themeTint="A6"/>
                <w:szCs w:val="18"/>
              </w:rPr>
              <w:t>.</w:t>
            </w:r>
          </w:p>
        </w:tc>
        <w:tc>
          <w:tcPr>
            <w:tcW w:w="1649" w:type="dxa"/>
          </w:tcPr>
          <w:p w:rsidRPr="00D75535" w:rsidR="00D926C2" w:rsidP="006A170E" w:rsidRDefault="00D926C2">
            <w:pPr>
              <w:spacing w:after="240"/>
              <w:rPr>
                <w:color w:val="595959" w:themeColor="text1" w:themeTint="A6"/>
                <w:szCs w:val="18"/>
              </w:rPr>
            </w:pPr>
            <w:r w:rsidRPr="00D75535">
              <w:rPr>
                <w:color w:val="595959" w:themeColor="text1" w:themeTint="A6"/>
                <w:szCs w:val="18"/>
              </w:rPr>
              <w:t>Titel</w:t>
            </w:r>
          </w:p>
        </w:tc>
        <w:tc>
          <w:tcPr>
            <w:tcW w:w="6529" w:type="dxa"/>
          </w:tcPr>
          <w:p w:rsidRPr="00C371E6" w:rsidR="00D926C2" w:rsidP="006A170E" w:rsidRDefault="00D926C2">
            <w:pPr>
              <w:rPr>
                <w:color w:val="595959" w:themeColor="text1" w:themeTint="A6"/>
                <w:szCs w:val="18"/>
              </w:rPr>
            </w:pPr>
            <w:proofErr w:type="spellStart"/>
            <w:r w:rsidRPr="00C371E6">
              <w:rPr>
                <w:color w:val="595959" w:themeColor="text1" w:themeTint="A6"/>
                <w:szCs w:val="18"/>
              </w:rPr>
              <w:t>Proposal</w:t>
            </w:r>
            <w:proofErr w:type="spellEnd"/>
            <w:r w:rsidRPr="00C371E6">
              <w:rPr>
                <w:color w:val="595959" w:themeColor="text1" w:themeTint="A6"/>
                <w:szCs w:val="18"/>
              </w:rPr>
              <w:t xml:space="preserve"> </w:t>
            </w:r>
            <w:proofErr w:type="spellStart"/>
            <w:r w:rsidRPr="00C371E6">
              <w:rPr>
                <w:color w:val="595959" w:themeColor="text1" w:themeTint="A6"/>
                <w:szCs w:val="18"/>
              </w:rPr>
              <w:t>for</w:t>
            </w:r>
            <w:proofErr w:type="spellEnd"/>
            <w:r w:rsidRPr="00C371E6">
              <w:rPr>
                <w:color w:val="595959" w:themeColor="text1" w:themeTint="A6"/>
                <w:szCs w:val="18"/>
              </w:rPr>
              <w:t xml:space="preserve"> a COUNCIL DECISION on </w:t>
            </w:r>
            <w:proofErr w:type="spellStart"/>
            <w:r w:rsidRPr="00C371E6">
              <w:rPr>
                <w:color w:val="595959" w:themeColor="text1" w:themeTint="A6"/>
                <w:szCs w:val="18"/>
              </w:rPr>
              <w:t>the</w:t>
            </w:r>
            <w:proofErr w:type="spellEnd"/>
            <w:r w:rsidRPr="00C371E6">
              <w:rPr>
                <w:color w:val="595959" w:themeColor="text1" w:themeTint="A6"/>
                <w:szCs w:val="18"/>
              </w:rPr>
              <w:t xml:space="preserve"> </w:t>
            </w:r>
            <w:proofErr w:type="spellStart"/>
            <w:r w:rsidRPr="00C371E6">
              <w:rPr>
                <w:color w:val="595959" w:themeColor="text1" w:themeTint="A6"/>
                <w:szCs w:val="18"/>
              </w:rPr>
              <w:t>position</w:t>
            </w:r>
            <w:proofErr w:type="spellEnd"/>
            <w:r w:rsidRPr="00C371E6">
              <w:rPr>
                <w:color w:val="595959" w:themeColor="text1" w:themeTint="A6"/>
                <w:szCs w:val="18"/>
              </w:rPr>
              <w:t xml:space="preserve"> </w:t>
            </w:r>
            <w:proofErr w:type="spellStart"/>
            <w:r w:rsidRPr="00C371E6">
              <w:rPr>
                <w:color w:val="595959" w:themeColor="text1" w:themeTint="A6"/>
                <w:szCs w:val="18"/>
              </w:rPr>
              <w:t>to</w:t>
            </w:r>
            <w:proofErr w:type="spellEnd"/>
            <w:r w:rsidRPr="00C371E6">
              <w:rPr>
                <w:color w:val="595959" w:themeColor="text1" w:themeTint="A6"/>
                <w:szCs w:val="18"/>
              </w:rPr>
              <w:t xml:space="preserve"> </w:t>
            </w:r>
            <w:proofErr w:type="spellStart"/>
            <w:r w:rsidRPr="00C371E6">
              <w:rPr>
                <w:color w:val="595959" w:themeColor="text1" w:themeTint="A6"/>
                <w:szCs w:val="18"/>
              </w:rPr>
              <w:t>be</w:t>
            </w:r>
            <w:proofErr w:type="spellEnd"/>
            <w:r w:rsidRPr="00C371E6">
              <w:rPr>
                <w:color w:val="595959" w:themeColor="text1" w:themeTint="A6"/>
                <w:szCs w:val="18"/>
              </w:rPr>
              <w:t xml:space="preserve"> taken on </w:t>
            </w:r>
            <w:proofErr w:type="spellStart"/>
            <w:r w:rsidRPr="00C371E6">
              <w:rPr>
                <w:color w:val="595959" w:themeColor="text1" w:themeTint="A6"/>
                <w:szCs w:val="18"/>
              </w:rPr>
              <w:t>behalf</w:t>
            </w:r>
            <w:proofErr w:type="spellEnd"/>
            <w:r w:rsidRPr="00C371E6">
              <w:rPr>
                <w:color w:val="595959" w:themeColor="text1" w:themeTint="A6"/>
                <w:szCs w:val="18"/>
              </w:rPr>
              <w:t xml:space="preserve"> of </w:t>
            </w:r>
            <w:proofErr w:type="spellStart"/>
            <w:r w:rsidRPr="00C371E6">
              <w:rPr>
                <w:color w:val="595959" w:themeColor="text1" w:themeTint="A6"/>
                <w:szCs w:val="18"/>
              </w:rPr>
              <w:t>the</w:t>
            </w:r>
            <w:proofErr w:type="spellEnd"/>
            <w:r w:rsidRPr="00C371E6">
              <w:rPr>
                <w:color w:val="595959" w:themeColor="text1" w:themeTint="A6"/>
                <w:szCs w:val="18"/>
              </w:rPr>
              <w:t xml:space="preserve"> European Union in </w:t>
            </w:r>
            <w:proofErr w:type="spellStart"/>
            <w:r w:rsidRPr="00C371E6">
              <w:rPr>
                <w:color w:val="595959" w:themeColor="text1" w:themeTint="A6"/>
                <w:szCs w:val="18"/>
              </w:rPr>
              <w:t>the</w:t>
            </w:r>
            <w:proofErr w:type="spellEnd"/>
            <w:r w:rsidRPr="00C371E6">
              <w:rPr>
                <w:color w:val="595959" w:themeColor="text1" w:themeTint="A6"/>
                <w:szCs w:val="18"/>
              </w:rPr>
              <w:t xml:space="preserve"> Partnership Council </w:t>
            </w:r>
            <w:proofErr w:type="spellStart"/>
            <w:r w:rsidRPr="00C371E6">
              <w:rPr>
                <w:color w:val="595959" w:themeColor="text1" w:themeTint="A6"/>
                <w:szCs w:val="18"/>
              </w:rPr>
              <w:t>established</w:t>
            </w:r>
            <w:proofErr w:type="spellEnd"/>
            <w:r w:rsidRPr="00C371E6">
              <w:rPr>
                <w:color w:val="595959" w:themeColor="text1" w:themeTint="A6"/>
                <w:szCs w:val="18"/>
              </w:rPr>
              <w:t xml:space="preserve"> </w:t>
            </w:r>
            <w:proofErr w:type="spellStart"/>
            <w:r w:rsidRPr="00C371E6">
              <w:rPr>
                <w:color w:val="595959" w:themeColor="text1" w:themeTint="A6"/>
                <w:szCs w:val="18"/>
              </w:rPr>
              <w:t>by</w:t>
            </w:r>
            <w:proofErr w:type="spellEnd"/>
            <w:r w:rsidRPr="00C371E6">
              <w:rPr>
                <w:color w:val="595959" w:themeColor="text1" w:themeTint="A6"/>
                <w:szCs w:val="18"/>
              </w:rPr>
              <w:t xml:space="preserve"> </w:t>
            </w:r>
            <w:proofErr w:type="spellStart"/>
            <w:r w:rsidRPr="00C371E6">
              <w:rPr>
                <w:color w:val="595959" w:themeColor="text1" w:themeTint="A6"/>
                <w:szCs w:val="18"/>
              </w:rPr>
              <w:t>the</w:t>
            </w:r>
            <w:proofErr w:type="spellEnd"/>
            <w:r w:rsidRPr="00C371E6">
              <w:rPr>
                <w:color w:val="595959" w:themeColor="text1" w:themeTint="A6"/>
                <w:szCs w:val="18"/>
              </w:rPr>
              <w:t xml:space="preserve"> Trade </w:t>
            </w:r>
            <w:proofErr w:type="spellStart"/>
            <w:r w:rsidRPr="00C371E6">
              <w:rPr>
                <w:color w:val="595959" w:themeColor="text1" w:themeTint="A6"/>
                <w:szCs w:val="18"/>
              </w:rPr>
              <w:t>and</w:t>
            </w:r>
            <w:proofErr w:type="spellEnd"/>
            <w:r w:rsidRPr="00C371E6">
              <w:rPr>
                <w:color w:val="595959" w:themeColor="text1" w:themeTint="A6"/>
                <w:szCs w:val="18"/>
              </w:rPr>
              <w:t xml:space="preserve"> Cooperation Agreement </w:t>
            </w:r>
            <w:proofErr w:type="spellStart"/>
            <w:r w:rsidRPr="00C371E6">
              <w:rPr>
                <w:color w:val="595959" w:themeColor="text1" w:themeTint="A6"/>
                <w:szCs w:val="18"/>
              </w:rPr>
              <w:t>between</w:t>
            </w:r>
            <w:proofErr w:type="spellEnd"/>
            <w:r w:rsidRPr="00C371E6">
              <w:rPr>
                <w:color w:val="595959" w:themeColor="text1" w:themeTint="A6"/>
                <w:szCs w:val="18"/>
              </w:rPr>
              <w:t xml:space="preserve"> </w:t>
            </w:r>
            <w:proofErr w:type="spellStart"/>
            <w:r w:rsidRPr="00C371E6">
              <w:rPr>
                <w:color w:val="595959" w:themeColor="text1" w:themeTint="A6"/>
                <w:szCs w:val="18"/>
              </w:rPr>
              <w:t>the</w:t>
            </w:r>
            <w:proofErr w:type="spellEnd"/>
            <w:r w:rsidRPr="00C371E6">
              <w:rPr>
                <w:color w:val="595959" w:themeColor="text1" w:themeTint="A6"/>
                <w:szCs w:val="18"/>
              </w:rPr>
              <w:t xml:space="preserve"> European Union </w:t>
            </w:r>
            <w:proofErr w:type="spellStart"/>
            <w:r w:rsidRPr="00C371E6">
              <w:rPr>
                <w:color w:val="595959" w:themeColor="text1" w:themeTint="A6"/>
                <w:szCs w:val="18"/>
              </w:rPr>
              <w:t>and</w:t>
            </w:r>
            <w:proofErr w:type="spellEnd"/>
            <w:r w:rsidRPr="00C371E6">
              <w:rPr>
                <w:color w:val="595959" w:themeColor="text1" w:themeTint="A6"/>
                <w:szCs w:val="18"/>
              </w:rPr>
              <w:t xml:space="preserve"> </w:t>
            </w:r>
            <w:proofErr w:type="spellStart"/>
            <w:r w:rsidRPr="00C371E6">
              <w:rPr>
                <w:color w:val="595959" w:themeColor="text1" w:themeTint="A6"/>
                <w:szCs w:val="18"/>
              </w:rPr>
              <w:t>the</w:t>
            </w:r>
            <w:proofErr w:type="spellEnd"/>
            <w:r w:rsidRPr="00C371E6">
              <w:rPr>
                <w:color w:val="595959" w:themeColor="text1" w:themeTint="A6"/>
                <w:szCs w:val="18"/>
              </w:rPr>
              <w:t xml:space="preserve"> European Atomic Energy Community, of </w:t>
            </w:r>
            <w:proofErr w:type="spellStart"/>
            <w:r w:rsidRPr="00C371E6">
              <w:rPr>
                <w:color w:val="595959" w:themeColor="text1" w:themeTint="A6"/>
                <w:szCs w:val="18"/>
              </w:rPr>
              <w:t>the</w:t>
            </w:r>
            <w:proofErr w:type="spellEnd"/>
            <w:r w:rsidRPr="00C371E6">
              <w:rPr>
                <w:color w:val="595959" w:themeColor="text1" w:themeTint="A6"/>
                <w:szCs w:val="18"/>
              </w:rPr>
              <w:t xml:space="preserve"> </w:t>
            </w:r>
            <w:proofErr w:type="spellStart"/>
            <w:r w:rsidRPr="00C371E6">
              <w:rPr>
                <w:color w:val="595959" w:themeColor="text1" w:themeTint="A6"/>
                <w:szCs w:val="18"/>
              </w:rPr>
              <w:t>one</w:t>
            </w:r>
            <w:proofErr w:type="spellEnd"/>
            <w:r w:rsidRPr="00C371E6">
              <w:rPr>
                <w:color w:val="595959" w:themeColor="text1" w:themeTint="A6"/>
                <w:szCs w:val="18"/>
              </w:rPr>
              <w:t xml:space="preserve"> part, </w:t>
            </w:r>
            <w:proofErr w:type="spellStart"/>
            <w:r w:rsidRPr="00C371E6">
              <w:rPr>
                <w:color w:val="595959" w:themeColor="text1" w:themeTint="A6"/>
                <w:szCs w:val="18"/>
              </w:rPr>
              <w:t>and</w:t>
            </w:r>
            <w:proofErr w:type="spellEnd"/>
            <w:r w:rsidRPr="00C371E6">
              <w:rPr>
                <w:color w:val="595959" w:themeColor="text1" w:themeTint="A6"/>
                <w:szCs w:val="18"/>
              </w:rPr>
              <w:t xml:space="preserve"> </w:t>
            </w:r>
            <w:proofErr w:type="spellStart"/>
            <w:r w:rsidRPr="00C371E6">
              <w:rPr>
                <w:color w:val="595959" w:themeColor="text1" w:themeTint="A6"/>
                <w:szCs w:val="18"/>
              </w:rPr>
              <w:t>the</w:t>
            </w:r>
            <w:proofErr w:type="spellEnd"/>
            <w:r w:rsidRPr="00C371E6">
              <w:rPr>
                <w:color w:val="595959" w:themeColor="text1" w:themeTint="A6"/>
                <w:szCs w:val="18"/>
              </w:rPr>
              <w:t xml:space="preserve"> United </w:t>
            </w:r>
            <w:proofErr w:type="spellStart"/>
            <w:r w:rsidRPr="00C371E6">
              <w:rPr>
                <w:color w:val="595959" w:themeColor="text1" w:themeTint="A6"/>
                <w:szCs w:val="18"/>
              </w:rPr>
              <w:t>Kingdom</w:t>
            </w:r>
            <w:proofErr w:type="spellEnd"/>
            <w:r w:rsidRPr="00C371E6">
              <w:rPr>
                <w:color w:val="595959" w:themeColor="text1" w:themeTint="A6"/>
                <w:szCs w:val="18"/>
              </w:rPr>
              <w:t xml:space="preserve"> of Great Britain </w:t>
            </w:r>
            <w:proofErr w:type="spellStart"/>
            <w:r w:rsidRPr="00C371E6">
              <w:rPr>
                <w:color w:val="595959" w:themeColor="text1" w:themeTint="A6"/>
                <w:szCs w:val="18"/>
              </w:rPr>
              <w:t>and</w:t>
            </w:r>
            <w:proofErr w:type="spellEnd"/>
            <w:r w:rsidRPr="00C371E6">
              <w:rPr>
                <w:color w:val="595959" w:themeColor="text1" w:themeTint="A6"/>
                <w:szCs w:val="18"/>
              </w:rPr>
              <w:t xml:space="preserve"> </w:t>
            </w:r>
            <w:proofErr w:type="spellStart"/>
            <w:r w:rsidRPr="00C371E6">
              <w:rPr>
                <w:color w:val="595959" w:themeColor="text1" w:themeTint="A6"/>
                <w:szCs w:val="18"/>
              </w:rPr>
              <w:t>Northern</w:t>
            </w:r>
            <w:proofErr w:type="spellEnd"/>
            <w:r w:rsidRPr="00C371E6">
              <w:rPr>
                <w:color w:val="595959" w:themeColor="text1" w:themeTint="A6"/>
                <w:szCs w:val="18"/>
              </w:rPr>
              <w:t xml:space="preserve"> Ireland, of </w:t>
            </w:r>
            <w:proofErr w:type="spellStart"/>
            <w:r w:rsidRPr="00C371E6">
              <w:rPr>
                <w:color w:val="595959" w:themeColor="text1" w:themeTint="A6"/>
                <w:szCs w:val="18"/>
              </w:rPr>
              <w:t>the</w:t>
            </w:r>
            <w:proofErr w:type="spellEnd"/>
            <w:r w:rsidRPr="00C371E6">
              <w:rPr>
                <w:color w:val="595959" w:themeColor="text1" w:themeTint="A6"/>
                <w:szCs w:val="18"/>
              </w:rPr>
              <w:t xml:space="preserve"> </w:t>
            </w:r>
            <w:proofErr w:type="spellStart"/>
            <w:r w:rsidRPr="00C371E6">
              <w:rPr>
                <w:color w:val="595959" w:themeColor="text1" w:themeTint="A6"/>
                <w:szCs w:val="18"/>
              </w:rPr>
              <w:t>other</w:t>
            </w:r>
            <w:proofErr w:type="spellEnd"/>
            <w:r w:rsidRPr="00C371E6">
              <w:rPr>
                <w:color w:val="595959" w:themeColor="text1" w:themeTint="A6"/>
                <w:szCs w:val="18"/>
              </w:rPr>
              <w:t xml:space="preserve"> part, </w:t>
            </w:r>
            <w:proofErr w:type="spellStart"/>
            <w:r w:rsidRPr="00C371E6">
              <w:rPr>
                <w:color w:val="595959" w:themeColor="text1" w:themeTint="A6"/>
                <w:szCs w:val="18"/>
              </w:rPr>
              <w:t>regarding</w:t>
            </w:r>
            <w:proofErr w:type="spellEnd"/>
            <w:r w:rsidRPr="00C371E6">
              <w:rPr>
                <w:color w:val="595959" w:themeColor="text1" w:themeTint="A6"/>
                <w:szCs w:val="18"/>
              </w:rPr>
              <w:t xml:space="preserve"> </w:t>
            </w:r>
            <w:proofErr w:type="spellStart"/>
            <w:r w:rsidRPr="00C371E6">
              <w:rPr>
                <w:color w:val="595959" w:themeColor="text1" w:themeTint="A6"/>
                <w:szCs w:val="18"/>
              </w:rPr>
              <w:t>the</w:t>
            </w:r>
            <w:proofErr w:type="spellEnd"/>
            <w:r w:rsidRPr="00C371E6">
              <w:rPr>
                <w:color w:val="595959" w:themeColor="text1" w:themeTint="A6"/>
                <w:szCs w:val="18"/>
              </w:rPr>
              <w:t xml:space="preserve"> extension of </w:t>
            </w:r>
            <w:proofErr w:type="spellStart"/>
            <w:r w:rsidRPr="00C371E6">
              <w:rPr>
                <w:color w:val="595959" w:themeColor="text1" w:themeTint="A6"/>
                <w:szCs w:val="18"/>
              </w:rPr>
              <w:t>the</w:t>
            </w:r>
            <w:proofErr w:type="spellEnd"/>
            <w:r w:rsidRPr="00C371E6">
              <w:rPr>
                <w:color w:val="595959" w:themeColor="text1" w:themeTint="A6"/>
                <w:szCs w:val="18"/>
              </w:rPr>
              <w:t xml:space="preserve"> interim </w:t>
            </w:r>
            <w:proofErr w:type="spellStart"/>
            <w:r w:rsidRPr="00C371E6">
              <w:rPr>
                <w:color w:val="595959" w:themeColor="text1" w:themeTint="A6"/>
                <w:szCs w:val="18"/>
              </w:rPr>
              <w:t>period</w:t>
            </w:r>
            <w:proofErr w:type="spellEnd"/>
            <w:r w:rsidRPr="00C371E6">
              <w:rPr>
                <w:color w:val="595959" w:themeColor="text1" w:themeTint="A6"/>
                <w:szCs w:val="18"/>
              </w:rPr>
              <w:t xml:space="preserve"> </w:t>
            </w:r>
            <w:proofErr w:type="spellStart"/>
            <w:r w:rsidRPr="00C371E6">
              <w:rPr>
                <w:color w:val="595959" w:themeColor="text1" w:themeTint="A6"/>
                <w:szCs w:val="18"/>
              </w:rPr>
              <w:t>referred</w:t>
            </w:r>
            <w:proofErr w:type="spellEnd"/>
            <w:r w:rsidRPr="00C371E6">
              <w:rPr>
                <w:color w:val="595959" w:themeColor="text1" w:themeTint="A6"/>
                <w:szCs w:val="18"/>
              </w:rPr>
              <w:t xml:space="preserve"> </w:t>
            </w:r>
            <w:proofErr w:type="spellStart"/>
            <w:r w:rsidRPr="00C371E6">
              <w:rPr>
                <w:color w:val="595959" w:themeColor="text1" w:themeTint="A6"/>
                <w:szCs w:val="18"/>
              </w:rPr>
              <w:t>to</w:t>
            </w:r>
            <w:proofErr w:type="spellEnd"/>
            <w:r w:rsidRPr="00C371E6">
              <w:rPr>
                <w:color w:val="595959" w:themeColor="text1" w:themeTint="A6"/>
                <w:szCs w:val="18"/>
              </w:rPr>
              <w:t xml:space="preserve"> in </w:t>
            </w:r>
            <w:proofErr w:type="spellStart"/>
            <w:r w:rsidRPr="00C371E6">
              <w:rPr>
                <w:color w:val="595959" w:themeColor="text1" w:themeTint="A6"/>
                <w:szCs w:val="18"/>
              </w:rPr>
              <w:t>Article</w:t>
            </w:r>
            <w:proofErr w:type="spellEnd"/>
            <w:r w:rsidRPr="00C371E6">
              <w:rPr>
                <w:color w:val="595959" w:themeColor="text1" w:themeTint="A6"/>
                <w:szCs w:val="18"/>
              </w:rPr>
              <w:t xml:space="preserve"> 552(11) of </w:t>
            </w:r>
            <w:proofErr w:type="spellStart"/>
            <w:r w:rsidRPr="00C371E6">
              <w:rPr>
                <w:color w:val="595959" w:themeColor="text1" w:themeTint="A6"/>
                <w:szCs w:val="18"/>
              </w:rPr>
              <w:t>that</w:t>
            </w:r>
            <w:proofErr w:type="spellEnd"/>
            <w:r w:rsidRPr="00C371E6">
              <w:rPr>
                <w:color w:val="595959" w:themeColor="text1" w:themeTint="A6"/>
                <w:szCs w:val="18"/>
              </w:rPr>
              <w:t xml:space="preserve"> Agreement </w:t>
            </w:r>
            <w:proofErr w:type="spellStart"/>
            <w:r w:rsidRPr="00C371E6">
              <w:rPr>
                <w:color w:val="595959" w:themeColor="text1" w:themeTint="A6"/>
                <w:szCs w:val="18"/>
              </w:rPr>
              <w:t>during</w:t>
            </w:r>
            <w:proofErr w:type="spellEnd"/>
            <w:r w:rsidRPr="00C371E6">
              <w:rPr>
                <w:color w:val="595959" w:themeColor="text1" w:themeTint="A6"/>
                <w:szCs w:val="18"/>
              </w:rPr>
              <w:t xml:space="preserve"> </w:t>
            </w:r>
            <w:proofErr w:type="spellStart"/>
            <w:r w:rsidRPr="00C371E6">
              <w:rPr>
                <w:color w:val="595959" w:themeColor="text1" w:themeTint="A6"/>
                <w:szCs w:val="18"/>
              </w:rPr>
              <w:t>which</w:t>
            </w:r>
            <w:proofErr w:type="spellEnd"/>
            <w:r w:rsidRPr="00C371E6">
              <w:rPr>
                <w:color w:val="595959" w:themeColor="text1" w:themeTint="A6"/>
                <w:szCs w:val="18"/>
              </w:rPr>
              <w:t xml:space="preserve"> </w:t>
            </w:r>
            <w:proofErr w:type="spellStart"/>
            <w:r w:rsidRPr="00C371E6">
              <w:rPr>
                <w:color w:val="595959" w:themeColor="text1" w:themeTint="A6"/>
                <w:szCs w:val="18"/>
              </w:rPr>
              <w:t>the</w:t>
            </w:r>
            <w:proofErr w:type="spellEnd"/>
            <w:r w:rsidRPr="00C371E6">
              <w:rPr>
                <w:color w:val="595959" w:themeColor="text1" w:themeTint="A6"/>
                <w:szCs w:val="18"/>
              </w:rPr>
              <w:t xml:space="preserve"> United </w:t>
            </w:r>
            <w:proofErr w:type="spellStart"/>
            <w:r w:rsidRPr="00C371E6">
              <w:rPr>
                <w:color w:val="595959" w:themeColor="text1" w:themeTint="A6"/>
                <w:szCs w:val="18"/>
              </w:rPr>
              <w:t>Kingdom</w:t>
            </w:r>
            <w:proofErr w:type="spellEnd"/>
            <w:r w:rsidRPr="00C371E6">
              <w:rPr>
                <w:color w:val="595959" w:themeColor="text1" w:themeTint="A6"/>
                <w:szCs w:val="18"/>
              </w:rPr>
              <w:t xml:space="preserve"> </w:t>
            </w:r>
            <w:proofErr w:type="spellStart"/>
            <w:r w:rsidRPr="00C371E6">
              <w:rPr>
                <w:color w:val="595959" w:themeColor="text1" w:themeTint="A6"/>
                <w:szCs w:val="18"/>
              </w:rPr>
              <w:t>may</w:t>
            </w:r>
            <w:proofErr w:type="spellEnd"/>
            <w:r w:rsidRPr="00C371E6">
              <w:rPr>
                <w:color w:val="595959" w:themeColor="text1" w:themeTint="A6"/>
                <w:szCs w:val="18"/>
              </w:rPr>
              <w:t xml:space="preserve"> </w:t>
            </w:r>
            <w:proofErr w:type="spellStart"/>
            <w:r w:rsidRPr="00C371E6">
              <w:rPr>
                <w:color w:val="595959" w:themeColor="text1" w:themeTint="A6"/>
                <w:szCs w:val="18"/>
              </w:rPr>
              <w:t>derogate</w:t>
            </w:r>
            <w:proofErr w:type="spellEnd"/>
            <w:r w:rsidRPr="00C371E6">
              <w:rPr>
                <w:color w:val="595959" w:themeColor="text1" w:themeTint="A6"/>
                <w:szCs w:val="18"/>
              </w:rPr>
              <w:t xml:space="preserve"> </w:t>
            </w:r>
            <w:proofErr w:type="spellStart"/>
            <w:r w:rsidRPr="00C371E6">
              <w:rPr>
                <w:color w:val="595959" w:themeColor="text1" w:themeTint="A6"/>
                <w:szCs w:val="18"/>
              </w:rPr>
              <w:t>from</w:t>
            </w:r>
            <w:proofErr w:type="spellEnd"/>
            <w:r w:rsidRPr="00C371E6">
              <w:rPr>
                <w:color w:val="595959" w:themeColor="text1" w:themeTint="A6"/>
                <w:szCs w:val="18"/>
              </w:rPr>
              <w:t xml:space="preserve"> </w:t>
            </w:r>
            <w:proofErr w:type="spellStart"/>
            <w:r w:rsidRPr="00C371E6">
              <w:rPr>
                <w:color w:val="595959" w:themeColor="text1" w:themeTint="A6"/>
                <w:szCs w:val="18"/>
              </w:rPr>
              <w:t>the</w:t>
            </w:r>
            <w:proofErr w:type="spellEnd"/>
            <w:r w:rsidRPr="00C371E6">
              <w:rPr>
                <w:color w:val="595959" w:themeColor="text1" w:themeTint="A6"/>
                <w:szCs w:val="18"/>
              </w:rPr>
              <w:t xml:space="preserve"> </w:t>
            </w:r>
            <w:proofErr w:type="spellStart"/>
            <w:r w:rsidRPr="00C371E6">
              <w:rPr>
                <w:color w:val="595959" w:themeColor="text1" w:themeTint="A6"/>
                <w:szCs w:val="18"/>
              </w:rPr>
              <w:t>obligation</w:t>
            </w:r>
            <w:proofErr w:type="spellEnd"/>
            <w:r w:rsidRPr="00C371E6">
              <w:rPr>
                <w:color w:val="595959" w:themeColor="text1" w:themeTint="A6"/>
                <w:szCs w:val="18"/>
              </w:rPr>
              <w:t xml:space="preserve"> </w:t>
            </w:r>
            <w:proofErr w:type="spellStart"/>
            <w:r w:rsidRPr="00C371E6">
              <w:rPr>
                <w:color w:val="595959" w:themeColor="text1" w:themeTint="A6"/>
                <w:szCs w:val="18"/>
              </w:rPr>
              <w:t>to</w:t>
            </w:r>
            <w:proofErr w:type="spellEnd"/>
            <w:r w:rsidRPr="00C371E6">
              <w:rPr>
                <w:color w:val="595959" w:themeColor="text1" w:themeTint="A6"/>
                <w:szCs w:val="18"/>
              </w:rPr>
              <w:t xml:space="preserve"> delete Passenger Name Record data of </w:t>
            </w:r>
            <w:proofErr w:type="spellStart"/>
            <w:r w:rsidRPr="00C371E6">
              <w:rPr>
                <w:color w:val="595959" w:themeColor="text1" w:themeTint="A6"/>
                <w:szCs w:val="18"/>
              </w:rPr>
              <w:t>passengers</w:t>
            </w:r>
            <w:proofErr w:type="spellEnd"/>
            <w:r w:rsidRPr="00C371E6">
              <w:rPr>
                <w:color w:val="595959" w:themeColor="text1" w:themeTint="A6"/>
                <w:szCs w:val="18"/>
              </w:rPr>
              <w:t xml:space="preserve"> </w:t>
            </w:r>
            <w:proofErr w:type="spellStart"/>
            <w:r w:rsidRPr="00C371E6">
              <w:rPr>
                <w:color w:val="595959" w:themeColor="text1" w:themeTint="A6"/>
                <w:szCs w:val="18"/>
              </w:rPr>
              <w:t>after</w:t>
            </w:r>
            <w:proofErr w:type="spellEnd"/>
            <w:r w:rsidRPr="00C371E6">
              <w:rPr>
                <w:color w:val="595959" w:themeColor="text1" w:themeTint="A6"/>
                <w:szCs w:val="18"/>
              </w:rPr>
              <w:t xml:space="preserve"> </w:t>
            </w:r>
            <w:proofErr w:type="spellStart"/>
            <w:r w:rsidRPr="00C371E6">
              <w:rPr>
                <w:color w:val="595959" w:themeColor="text1" w:themeTint="A6"/>
                <w:szCs w:val="18"/>
              </w:rPr>
              <w:t>their</w:t>
            </w:r>
            <w:proofErr w:type="spellEnd"/>
            <w:r w:rsidRPr="00C371E6">
              <w:rPr>
                <w:color w:val="595959" w:themeColor="text1" w:themeTint="A6"/>
                <w:szCs w:val="18"/>
              </w:rPr>
              <w:t xml:space="preserve"> </w:t>
            </w:r>
            <w:proofErr w:type="spellStart"/>
            <w:r w:rsidRPr="00C371E6">
              <w:rPr>
                <w:color w:val="595959" w:themeColor="text1" w:themeTint="A6"/>
                <w:szCs w:val="18"/>
              </w:rPr>
              <w:t>departure</w:t>
            </w:r>
            <w:proofErr w:type="spellEnd"/>
            <w:r w:rsidRPr="00C371E6">
              <w:rPr>
                <w:color w:val="595959" w:themeColor="text1" w:themeTint="A6"/>
                <w:szCs w:val="18"/>
              </w:rPr>
              <w:t xml:space="preserve"> </w:t>
            </w:r>
            <w:proofErr w:type="spellStart"/>
            <w:r w:rsidRPr="00C371E6">
              <w:rPr>
                <w:color w:val="595959" w:themeColor="text1" w:themeTint="A6"/>
                <w:szCs w:val="18"/>
              </w:rPr>
              <w:t>from</w:t>
            </w:r>
            <w:proofErr w:type="spellEnd"/>
            <w:r w:rsidRPr="00C371E6">
              <w:rPr>
                <w:color w:val="595959" w:themeColor="text1" w:themeTint="A6"/>
                <w:szCs w:val="18"/>
              </w:rPr>
              <w:t xml:space="preserve"> </w:t>
            </w:r>
            <w:proofErr w:type="spellStart"/>
            <w:r w:rsidRPr="00C371E6">
              <w:rPr>
                <w:color w:val="595959" w:themeColor="text1" w:themeTint="A6"/>
                <w:szCs w:val="18"/>
              </w:rPr>
              <w:t>th</w:t>
            </w:r>
            <w:r>
              <w:rPr>
                <w:color w:val="595959" w:themeColor="text1" w:themeTint="A6"/>
                <w:szCs w:val="18"/>
              </w:rPr>
              <w:t>e</w:t>
            </w:r>
            <w:proofErr w:type="spellEnd"/>
            <w:r>
              <w:rPr>
                <w:color w:val="595959" w:themeColor="text1" w:themeTint="A6"/>
                <w:szCs w:val="18"/>
              </w:rPr>
              <w:t xml:space="preserve"> United </w:t>
            </w:r>
            <w:proofErr w:type="spellStart"/>
            <w:r>
              <w:rPr>
                <w:color w:val="595959" w:themeColor="text1" w:themeTint="A6"/>
                <w:szCs w:val="18"/>
              </w:rPr>
              <w:t>Kingdom</w:t>
            </w:r>
            <w:proofErr w:type="spellEnd"/>
            <w:r>
              <w:rPr>
                <w:color w:val="595959" w:themeColor="text1" w:themeTint="A6"/>
                <w:szCs w:val="18"/>
              </w:rPr>
              <w:t xml:space="preserve"> </w:t>
            </w:r>
            <w:hyperlink w:history="1" r:id="rId17">
              <w:r w:rsidRPr="00C371E6">
                <w:rPr>
                  <w:rStyle w:val="Hyperlink"/>
                  <w:szCs w:val="18"/>
                </w:rPr>
                <w:t>COM (2021) 745</w:t>
              </w:r>
            </w:hyperlink>
          </w:p>
        </w:tc>
      </w:tr>
      <w:tr w:rsidRPr="002A4BD8" w:rsidR="00D926C2" w:rsidTr="00D926C2">
        <w:tc>
          <w:tcPr>
            <w:tcW w:w="421" w:type="dxa"/>
            <w:vMerge/>
            <w:shd w:val="clear" w:color="auto" w:fill="F2F2F2" w:themeFill="background1" w:themeFillShade="F2"/>
          </w:tcPr>
          <w:p w:rsidRPr="002A4BD8" w:rsidR="00D926C2" w:rsidP="006A170E" w:rsidRDefault="00D926C2">
            <w:pPr>
              <w:spacing w:after="240"/>
              <w:rPr>
                <w:szCs w:val="18"/>
              </w:rPr>
            </w:pPr>
          </w:p>
        </w:tc>
        <w:tc>
          <w:tcPr>
            <w:tcW w:w="1649" w:type="dxa"/>
          </w:tcPr>
          <w:p w:rsidRPr="002A4BD8" w:rsidR="00D926C2" w:rsidP="006A170E" w:rsidRDefault="00D926C2">
            <w:pPr>
              <w:spacing w:after="240"/>
              <w:rPr>
                <w:szCs w:val="18"/>
              </w:rPr>
            </w:pPr>
            <w:r w:rsidRPr="002A4BD8">
              <w:rPr>
                <w:szCs w:val="18"/>
              </w:rPr>
              <w:t>Voorstel</w:t>
            </w:r>
          </w:p>
        </w:tc>
        <w:tc>
          <w:tcPr>
            <w:tcW w:w="6529" w:type="dxa"/>
          </w:tcPr>
          <w:p w:rsidRPr="002A4BD8" w:rsidR="00D926C2" w:rsidP="006A170E" w:rsidRDefault="00306CA9">
            <w:pPr>
              <w:spacing w:after="240"/>
              <w:rPr>
                <w:szCs w:val="18"/>
              </w:rPr>
            </w:pPr>
            <w:r>
              <w:rPr>
                <w:szCs w:val="18"/>
              </w:rPr>
              <w:t>Voor kennisgeving aannemen.</w:t>
            </w:r>
          </w:p>
        </w:tc>
      </w:tr>
      <w:tr w:rsidRPr="00D75535" w:rsidR="00306CA9" w:rsidTr="00D926C2">
        <w:tc>
          <w:tcPr>
            <w:tcW w:w="421" w:type="dxa"/>
            <w:vMerge/>
            <w:shd w:val="clear" w:color="auto" w:fill="F2F2F2" w:themeFill="background1" w:themeFillShade="F2"/>
          </w:tcPr>
          <w:p w:rsidRPr="00D75535" w:rsidR="00306CA9" w:rsidP="00306CA9" w:rsidRDefault="00306CA9">
            <w:pPr>
              <w:spacing w:after="240"/>
              <w:rPr>
                <w:color w:val="595959" w:themeColor="text1" w:themeTint="A6"/>
                <w:szCs w:val="18"/>
              </w:rPr>
            </w:pPr>
          </w:p>
        </w:tc>
        <w:tc>
          <w:tcPr>
            <w:tcW w:w="1649" w:type="dxa"/>
          </w:tcPr>
          <w:p w:rsidRPr="00D75535" w:rsidR="00306CA9" w:rsidP="00306CA9" w:rsidRDefault="00306CA9">
            <w:pPr>
              <w:spacing w:after="240"/>
              <w:rPr>
                <w:color w:val="595959" w:themeColor="text1" w:themeTint="A6"/>
                <w:szCs w:val="18"/>
              </w:rPr>
            </w:pPr>
            <w:r w:rsidRPr="00D75535">
              <w:rPr>
                <w:color w:val="595959" w:themeColor="text1" w:themeTint="A6"/>
                <w:szCs w:val="18"/>
              </w:rPr>
              <w:t>Noot</w:t>
            </w:r>
          </w:p>
        </w:tc>
        <w:tc>
          <w:tcPr>
            <w:tcW w:w="6529" w:type="dxa"/>
          </w:tcPr>
          <w:p w:rsidRPr="00D75535" w:rsidR="00306CA9" w:rsidP="00306CA9" w:rsidRDefault="00306CA9">
            <w:pPr>
              <w:spacing w:after="240"/>
              <w:rPr>
                <w:color w:val="595959" w:themeColor="text1" w:themeTint="A6"/>
                <w:szCs w:val="18"/>
              </w:rPr>
            </w:pPr>
            <w:r>
              <w:rPr>
                <w:color w:val="595959" w:themeColor="text1" w:themeTint="A6"/>
                <w:szCs w:val="18"/>
              </w:rPr>
              <w:t xml:space="preserve">Als onderdeel van het BREXIT akkoord heeft het </w:t>
            </w:r>
            <w:r w:rsidRPr="009718BC">
              <w:rPr>
                <w:color w:val="595959" w:themeColor="text1" w:themeTint="A6"/>
                <w:szCs w:val="18"/>
              </w:rPr>
              <w:t>Verenigd Koninkrijk t</w:t>
            </w:r>
            <w:r>
              <w:rPr>
                <w:color w:val="595959" w:themeColor="text1" w:themeTint="A6"/>
                <w:szCs w:val="18"/>
              </w:rPr>
              <w:t>/</w:t>
            </w:r>
            <w:r w:rsidRPr="009718BC">
              <w:rPr>
                <w:color w:val="595959" w:themeColor="text1" w:themeTint="A6"/>
                <w:szCs w:val="18"/>
              </w:rPr>
              <w:t>m 31 december 2021</w:t>
            </w:r>
            <w:r>
              <w:rPr>
                <w:color w:val="595959" w:themeColor="text1" w:themeTint="A6"/>
                <w:szCs w:val="18"/>
              </w:rPr>
              <w:t xml:space="preserve"> de tijd gekregen </w:t>
            </w:r>
            <w:r w:rsidRPr="009718BC">
              <w:rPr>
                <w:color w:val="595959" w:themeColor="text1" w:themeTint="A6"/>
                <w:szCs w:val="18"/>
              </w:rPr>
              <w:t xml:space="preserve">om de systemen voor de verwerking van PNR-gegevens die het heeft gebruikt </w:t>
            </w:r>
            <w:r>
              <w:rPr>
                <w:color w:val="595959" w:themeColor="text1" w:themeTint="A6"/>
                <w:szCs w:val="18"/>
              </w:rPr>
              <w:t xml:space="preserve">in de tijd dat het EU-lid was om te vormen en aan te passen aan de nieuwe status van het land. De overeenkomst hiertoe voorziet in de mogelijkheid om deze termijn eenmalig met één jaar te verlengen. Gegeven de complexiteit van omvorming van de bewuste systemen, ligt hiertoe nu een voorstel voor. </w:t>
            </w:r>
          </w:p>
        </w:tc>
      </w:tr>
    </w:tbl>
    <w:p w:rsidR="00C371E6" w:rsidP="002A4BD8" w:rsidRDefault="00C371E6">
      <w:pPr>
        <w:rPr>
          <w:szCs w:val="18"/>
        </w:rPr>
      </w:pPr>
    </w:p>
    <w:p w:rsidR="00306CA9" w:rsidP="00306CA9" w:rsidRDefault="00306CA9">
      <w:pPr>
        <w:rPr>
          <w:rFonts w:ascii="Calibri" w:hAnsi="Calibri" w:cs="Calibri"/>
          <w:color w:val="1F497D"/>
          <w:sz w:val="22"/>
        </w:rPr>
      </w:pPr>
    </w:p>
    <w:tbl>
      <w:tblPr>
        <w:tblW w:w="7980" w:type="dxa"/>
        <w:tblInd w:w="-5" w:type="dxa"/>
        <w:tblLayout w:type="fixed"/>
        <w:tblCellMar>
          <w:left w:w="0" w:type="dxa"/>
          <w:right w:w="0" w:type="dxa"/>
        </w:tblCellMar>
        <w:tblLook w:val="04A0" w:firstRow="1" w:lastRow="0" w:firstColumn="1" w:lastColumn="0" w:noHBand="0" w:noVBand="1"/>
      </w:tblPr>
      <w:tblGrid>
        <w:gridCol w:w="421"/>
        <w:gridCol w:w="1457"/>
        <w:gridCol w:w="6102"/>
      </w:tblGrid>
      <w:tr w:rsidR="00306CA9" w:rsidTr="00306CA9">
        <w:tc>
          <w:tcPr>
            <w:tcW w:w="421"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tcPr>
          <w:p w:rsidRPr="00306CA9" w:rsidR="00306CA9" w:rsidP="00306CA9" w:rsidRDefault="00306CA9">
            <w:pPr>
              <w:spacing w:after="240"/>
              <w:rPr>
                <w:szCs w:val="18"/>
              </w:rPr>
            </w:pPr>
            <w:r>
              <w:rPr>
                <w:szCs w:val="18"/>
              </w:rPr>
              <w:t>4.</w:t>
            </w:r>
          </w:p>
        </w:tc>
        <w:tc>
          <w:tcPr>
            <w:tcW w:w="1457" w:type="dxa"/>
            <w:tcBorders>
              <w:top w:val="single" w:color="D9D9D9" w:sz="8" w:space="0"/>
              <w:left w:val="nil"/>
              <w:bottom w:val="nil"/>
              <w:right w:val="nil"/>
            </w:tcBorders>
            <w:tcMar>
              <w:top w:w="0" w:type="dxa"/>
              <w:left w:w="108" w:type="dxa"/>
              <w:bottom w:w="0" w:type="dxa"/>
              <w:right w:w="108" w:type="dxa"/>
            </w:tcMar>
            <w:hideMark/>
          </w:tcPr>
          <w:p w:rsidRPr="00306CA9" w:rsidR="00306CA9" w:rsidRDefault="00306CA9">
            <w:pPr>
              <w:spacing w:after="240"/>
              <w:rPr>
                <w:rFonts w:cs="Calibri"/>
                <w:lang w:val="en-US"/>
              </w:rPr>
            </w:pPr>
            <w:proofErr w:type="spellStart"/>
            <w:r w:rsidRPr="00306CA9">
              <w:rPr>
                <w:rFonts w:cs="Calibri"/>
                <w:lang w:val="en-US"/>
              </w:rPr>
              <w:t>Titel</w:t>
            </w:r>
            <w:proofErr w:type="spellEnd"/>
          </w:p>
        </w:tc>
        <w:tc>
          <w:tcPr>
            <w:tcW w:w="6102" w:type="dxa"/>
            <w:tcBorders>
              <w:top w:val="single" w:color="D9D9D9" w:sz="8" w:space="0"/>
              <w:left w:val="nil"/>
              <w:bottom w:val="nil"/>
              <w:right w:val="single" w:color="D9D9D9" w:sz="8" w:space="0"/>
            </w:tcBorders>
            <w:tcMar>
              <w:top w:w="0" w:type="dxa"/>
              <w:left w:w="108" w:type="dxa"/>
              <w:bottom w:w="0" w:type="dxa"/>
              <w:right w:w="108" w:type="dxa"/>
            </w:tcMar>
            <w:hideMark/>
          </w:tcPr>
          <w:p w:rsidRPr="00306CA9" w:rsidR="00306CA9" w:rsidRDefault="00306CA9">
            <w:pPr>
              <w:spacing w:after="240"/>
              <w:rPr>
                <w:rFonts w:cs="Calibri"/>
                <w:lang w:val="en-US"/>
              </w:rPr>
            </w:pPr>
            <w:r w:rsidRPr="00306CA9">
              <w:rPr>
                <w:rFonts w:cs="Calibri"/>
                <w:lang w:val="en-US"/>
              </w:rPr>
              <w:t xml:space="preserve">Proposal for a COUNCIL DECISION on provisional emergency measures for the benefit of Latvia, Lithuania and Poland </w:t>
            </w:r>
            <w:hyperlink w:history="1" r:id="rId18">
              <w:r w:rsidRPr="00306CA9">
                <w:rPr>
                  <w:rStyle w:val="Hyperlink"/>
                  <w:rFonts w:cs="Calibri"/>
                  <w:lang w:val="en-US"/>
                </w:rPr>
                <w:t>COM (2021) 752</w:t>
              </w:r>
            </w:hyperlink>
          </w:p>
        </w:tc>
      </w:tr>
      <w:tr w:rsidR="00306CA9" w:rsidTr="00306CA9">
        <w:trPr>
          <w:trHeight w:val="185"/>
        </w:trPr>
        <w:tc>
          <w:tcPr>
            <w:tcW w:w="421" w:type="dxa"/>
            <w:vMerge/>
            <w:tcBorders>
              <w:top w:val="single" w:color="D9D9D9" w:sz="8" w:space="0"/>
              <w:left w:val="single" w:color="D9D9D9" w:sz="8" w:space="0"/>
              <w:bottom w:val="single" w:color="D9D9D9" w:sz="8" w:space="0"/>
              <w:right w:val="nil"/>
            </w:tcBorders>
            <w:vAlign w:val="center"/>
            <w:hideMark/>
          </w:tcPr>
          <w:p w:rsidR="00306CA9" w:rsidRDefault="00306CA9">
            <w:pPr>
              <w:rPr>
                <w:rFonts w:eastAsiaTheme="minorHAnsi"/>
                <w:szCs w:val="18"/>
              </w:rPr>
            </w:pPr>
          </w:p>
        </w:tc>
        <w:tc>
          <w:tcPr>
            <w:tcW w:w="1457" w:type="dxa"/>
            <w:tcMar>
              <w:top w:w="0" w:type="dxa"/>
              <w:left w:w="108" w:type="dxa"/>
              <w:bottom w:w="0" w:type="dxa"/>
              <w:right w:w="108" w:type="dxa"/>
            </w:tcMar>
            <w:hideMark/>
          </w:tcPr>
          <w:p w:rsidRPr="00306CA9" w:rsidR="00306CA9" w:rsidRDefault="00306CA9">
            <w:pPr>
              <w:spacing w:after="240"/>
              <w:rPr>
                <w:rFonts w:cs="Calibri"/>
              </w:rPr>
            </w:pPr>
            <w:r w:rsidRPr="00306CA9">
              <w:rPr>
                <w:rFonts w:cs="Calibri"/>
              </w:rPr>
              <w:t>Voorstel</w:t>
            </w:r>
          </w:p>
        </w:tc>
        <w:tc>
          <w:tcPr>
            <w:tcW w:w="6102" w:type="dxa"/>
            <w:tcBorders>
              <w:top w:val="nil"/>
              <w:left w:val="nil"/>
              <w:bottom w:val="nil"/>
              <w:right w:val="single" w:color="D9D9D9" w:sz="8" w:space="0"/>
            </w:tcBorders>
            <w:tcMar>
              <w:top w:w="0" w:type="dxa"/>
              <w:left w:w="108" w:type="dxa"/>
              <w:bottom w:w="0" w:type="dxa"/>
              <w:right w:w="108" w:type="dxa"/>
            </w:tcMar>
            <w:hideMark/>
          </w:tcPr>
          <w:p w:rsidRPr="00306CA9" w:rsidR="00306CA9" w:rsidRDefault="00306CA9">
            <w:pPr>
              <w:spacing w:after="240"/>
              <w:rPr>
                <w:rFonts w:cs="Calibri"/>
                <w:b/>
                <w:bCs/>
              </w:rPr>
            </w:pPr>
            <w:r w:rsidRPr="00306CA9">
              <w:rPr>
                <w:rFonts w:cs="Calibri"/>
                <w:b/>
                <w:bCs/>
              </w:rPr>
              <w:t>Schriftelijk overleg voeren na ommekomst van het kabinetsstandpunt (BNC-fiche).</w:t>
            </w:r>
          </w:p>
        </w:tc>
      </w:tr>
      <w:tr w:rsidR="00306CA9" w:rsidTr="00306CA9">
        <w:tc>
          <w:tcPr>
            <w:tcW w:w="421" w:type="dxa"/>
            <w:vMerge/>
            <w:tcBorders>
              <w:top w:val="single" w:color="D9D9D9" w:sz="8" w:space="0"/>
              <w:left w:val="single" w:color="D9D9D9" w:sz="8" w:space="0"/>
              <w:bottom w:val="single" w:color="D9D9D9" w:sz="8" w:space="0"/>
              <w:right w:val="nil"/>
            </w:tcBorders>
            <w:vAlign w:val="center"/>
            <w:hideMark/>
          </w:tcPr>
          <w:p w:rsidR="00306CA9" w:rsidRDefault="00306CA9">
            <w:pPr>
              <w:rPr>
                <w:rFonts w:eastAsiaTheme="minorHAnsi"/>
                <w:szCs w:val="18"/>
              </w:rPr>
            </w:pPr>
          </w:p>
        </w:tc>
        <w:tc>
          <w:tcPr>
            <w:tcW w:w="1457" w:type="dxa"/>
            <w:tcBorders>
              <w:top w:val="nil"/>
              <w:left w:val="nil"/>
              <w:bottom w:val="single" w:color="D9D9D9" w:sz="8" w:space="0"/>
              <w:right w:val="nil"/>
            </w:tcBorders>
            <w:tcMar>
              <w:top w:w="0" w:type="dxa"/>
              <w:left w:w="108" w:type="dxa"/>
              <w:bottom w:w="0" w:type="dxa"/>
              <w:right w:w="108" w:type="dxa"/>
            </w:tcMar>
            <w:hideMark/>
          </w:tcPr>
          <w:p w:rsidRPr="00306CA9" w:rsidR="00306CA9" w:rsidRDefault="00306CA9">
            <w:pPr>
              <w:spacing w:after="240"/>
              <w:rPr>
                <w:rFonts w:cs="Calibri"/>
              </w:rPr>
            </w:pPr>
            <w:r w:rsidRPr="00306CA9">
              <w:rPr>
                <w:rFonts w:cs="Calibri"/>
              </w:rPr>
              <w:br/>
              <w:t>Noot</w:t>
            </w:r>
          </w:p>
        </w:tc>
        <w:tc>
          <w:tcPr>
            <w:tcW w:w="6102" w:type="dxa"/>
            <w:tcBorders>
              <w:top w:val="nil"/>
              <w:left w:val="nil"/>
              <w:bottom w:val="single" w:color="D9D9D9" w:sz="8" w:space="0"/>
              <w:right w:val="single" w:color="D9D9D9" w:sz="8" w:space="0"/>
            </w:tcBorders>
            <w:tcMar>
              <w:top w:w="0" w:type="dxa"/>
              <w:left w:w="108" w:type="dxa"/>
              <w:bottom w:w="0" w:type="dxa"/>
              <w:right w:w="108" w:type="dxa"/>
            </w:tcMar>
            <w:hideMark/>
          </w:tcPr>
          <w:p w:rsidRPr="00306CA9" w:rsidR="00306CA9" w:rsidP="00D1290D" w:rsidRDefault="00306CA9">
            <w:pPr>
              <w:spacing w:before="240" w:after="210" w:line="276" w:lineRule="auto"/>
              <w:rPr>
                <w:rFonts w:cs="Calibri"/>
              </w:rPr>
            </w:pPr>
            <w:r w:rsidRPr="00306CA9">
              <w:rPr>
                <w:rFonts w:cs="Calibri"/>
              </w:rPr>
              <w:t>Over dit EU-voorstel is gesproken tijdens het commissiedebat JBZ-Raad (I&amp;A) van 8 december 2021. Diezelfde dag heeft de Kamer de motie-Koekkoek c.s. aangenomen, waarin het kabinet wordt verzocht dit EU-voorstel te toetsen op verenigbaarheid met diverse juridische kaders. Tijdens het tweeminutendebat heeft de staatssecretaris verder toegezegd het kabinetsstandpunt (BNC-fiche) ter zake aan de Kamer te zullen voorleggen, voordat de JBZ-Raad over het EU-</w:t>
            </w:r>
            <w:proofErr w:type="spellStart"/>
            <w:r w:rsidRPr="00306CA9">
              <w:rPr>
                <w:rFonts w:cs="Calibri"/>
              </w:rPr>
              <w:t>oorstel</w:t>
            </w:r>
            <w:proofErr w:type="spellEnd"/>
            <w:r w:rsidRPr="00306CA9">
              <w:rPr>
                <w:rFonts w:cs="Calibri"/>
              </w:rPr>
              <w:t xml:space="preserve"> besluit. De standaardbehandeling voor BNC-fiches is agenderen voor het commissiedebat over de eerstvolgende JBZ-Raad. Dat is in dit geval 2 februari 2022. Het is nog onbekend wat het verdere tijdspad is voor de verdere besluitvorming in Brussel over het onderhavig EU-voorstel. Gelet op de spoedeisende aard van de </w:t>
            </w:r>
            <w:r w:rsidRPr="00306CA9">
              <w:rPr>
                <w:rFonts w:cs="Calibri"/>
              </w:rPr>
              <w:lastRenderedPageBreak/>
              <w:t>voorgestelde maatregelen, het naderende reces en wat is gewisseld hierover met de staatssecretaris op 8 december jl., wordt u geadviseerd om nu alvast te besluiten na ommekomst van het BNC-fiche</w:t>
            </w:r>
            <w:r w:rsidR="00D1290D">
              <w:rPr>
                <w:rFonts w:cs="Calibri"/>
              </w:rPr>
              <w:t xml:space="preserve"> een e-mailprocedure te houden over de manier van behandelen. U kunt dan bijvoorbeeld besluiten een schriftelijk overleg over het fiche te voeren.</w:t>
            </w:r>
          </w:p>
        </w:tc>
      </w:tr>
    </w:tbl>
    <w:p w:rsidR="00306CA9" w:rsidP="002A4BD8" w:rsidRDefault="00306CA9">
      <w:pPr>
        <w:rPr>
          <w:szCs w:val="18"/>
        </w:rPr>
      </w:pPr>
    </w:p>
    <w:sectPr w:rsidR="00306CA9" w:rsidSect="00BF62AD">
      <w:headerReference w:type="default" r:id="rId19"/>
      <w:footerReference w:type="default" r:id="rId20"/>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C36" w:rsidRDefault="00DE1C36">
      <w:r>
        <w:separator/>
      </w:r>
    </w:p>
  </w:endnote>
  <w:endnote w:type="continuationSeparator" w:id="0">
    <w:p w:rsidR="00DE1C36" w:rsidRDefault="00DE1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11563F61" wp14:editId="34CA2CC1">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4960B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63F61"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4960B1">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4B23AAA6" wp14:editId="32568789">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B23AAA6"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3D75C90A" wp14:editId="6AAE4F56">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4960B1">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75C90A"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4960B1">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C2673C1" wp14:editId="2A3380F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C2673C1"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C36" w:rsidRDefault="00DE1C36">
      <w:r>
        <w:separator/>
      </w:r>
    </w:p>
  </w:footnote>
  <w:footnote w:type="continuationSeparator" w:id="0">
    <w:p w:rsidR="00DE1C36" w:rsidRDefault="00DE1C36">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50081069" wp14:editId="606A6F5A">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3EAD0E" wp14:editId="7581D85C">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3C9A5575" wp14:editId="07CD364F">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3C9A5575"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66A92F24" wp14:editId="03826BF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9DF66B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A120B6F"/>
    <w:multiLevelType w:val="hybridMultilevel"/>
    <w:tmpl w:val="C1ECED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2"/>
  </w:num>
  <w:num w:numId="6">
    <w:abstractNumId w:val="0"/>
  </w:num>
  <w:num w:numId="7">
    <w:abstractNumId w:val="9"/>
  </w:num>
  <w:num w:numId="8">
    <w:abstractNumId w:val="6"/>
  </w:num>
  <w:num w:numId="9">
    <w:abstractNumId w:val="7"/>
  </w:num>
  <w:num w:numId="10">
    <w:abstractNumId w:val="3"/>
  </w:num>
  <w:num w:numId="11">
    <w:abstractNumId w:va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502"/>
    <w:rsid w:val="000037E5"/>
    <w:rsid w:val="00004383"/>
    <w:rsid w:val="00006780"/>
    <w:rsid w:val="00010EF2"/>
    <w:rsid w:val="000123FA"/>
    <w:rsid w:val="00013B5B"/>
    <w:rsid w:val="00016110"/>
    <w:rsid w:val="00026246"/>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A3170"/>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410C"/>
    <w:rsid w:val="000F5363"/>
    <w:rsid w:val="000F5722"/>
    <w:rsid w:val="00102FE4"/>
    <w:rsid w:val="00105391"/>
    <w:rsid w:val="00120FD2"/>
    <w:rsid w:val="001300CE"/>
    <w:rsid w:val="0013509E"/>
    <w:rsid w:val="0013623C"/>
    <w:rsid w:val="001401C7"/>
    <w:rsid w:val="00141D39"/>
    <w:rsid w:val="001445D4"/>
    <w:rsid w:val="00147017"/>
    <w:rsid w:val="00151AC8"/>
    <w:rsid w:val="001545B9"/>
    <w:rsid w:val="00154EC0"/>
    <w:rsid w:val="001555A9"/>
    <w:rsid w:val="00156992"/>
    <w:rsid w:val="00160E6E"/>
    <w:rsid w:val="00161D1B"/>
    <w:rsid w:val="001706B1"/>
    <w:rsid w:val="00170AFB"/>
    <w:rsid w:val="001715CC"/>
    <w:rsid w:val="0017367F"/>
    <w:rsid w:val="00184CB6"/>
    <w:rsid w:val="00187402"/>
    <w:rsid w:val="0018775E"/>
    <w:rsid w:val="00192F0E"/>
    <w:rsid w:val="00193DF4"/>
    <w:rsid w:val="001952B8"/>
    <w:rsid w:val="001959F4"/>
    <w:rsid w:val="001A3995"/>
    <w:rsid w:val="001A4097"/>
    <w:rsid w:val="001B2F65"/>
    <w:rsid w:val="001B7CAE"/>
    <w:rsid w:val="001C14DB"/>
    <w:rsid w:val="001C3467"/>
    <w:rsid w:val="001D08B2"/>
    <w:rsid w:val="001D3CD3"/>
    <w:rsid w:val="001D7B39"/>
    <w:rsid w:val="001E143A"/>
    <w:rsid w:val="001E1C84"/>
    <w:rsid w:val="001E1F15"/>
    <w:rsid w:val="001E39BA"/>
    <w:rsid w:val="001F1517"/>
    <w:rsid w:val="001F3B0C"/>
    <w:rsid w:val="001F4221"/>
    <w:rsid w:val="001F7012"/>
    <w:rsid w:val="002048D9"/>
    <w:rsid w:val="00210705"/>
    <w:rsid w:val="00211391"/>
    <w:rsid w:val="00216C27"/>
    <w:rsid w:val="00221D6B"/>
    <w:rsid w:val="00222071"/>
    <w:rsid w:val="0022374D"/>
    <w:rsid w:val="00224294"/>
    <w:rsid w:val="00227D85"/>
    <w:rsid w:val="00235B3D"/>
    <w:rsid w:val="00241DE4"/>
    <w:rsid w:val="00245D08"/>
    <w:rsid w:val="0024689F"/>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232"/>
    <w:rsid w:val="002C488A"/>
    <w:rsid w:val="002E43EB"/>
    <w:rsid w:val="002E5CC6"/>
    <w:rsid w:val="002E6686"/>
    <w:rsid w:val="002E72EA"/>
    <w:rsid w:val="002F363A"/>
    <w:rsid w:val="002F45EE"/>
    <w:rsid w:val="003023F3"/>
    <w:rsid w:val="0030416C"/>
    <w:rsid w:val="003066D7"/>
    <w:rsid w:val="00306CA9"/>
    <w:rsid w:val="0031228D"/>
    <w:rsid w:val="00313734"/>
    <w:rsid w:val="003154A8"/>
    <w:rsid w:val="0031630D"/>
    <w:rsid w:val="003214FD"/>
    <w:rsid w:val="00322A38"/>
    <w:rsid w:val="00324A4E"/>
    <w:rsid w:val="003252C4"/>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5257"/>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11BC"/>
    <w:rsid w:val="003F628A"/>
    <w:rsid w:val="003F6CF0"/>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960B1"/>
    <w:rsid w:val="004A0757"/>
    <w:rsid w:val="004A2857"/>
    <w:rsid w:val="004A48F2"/>
    <w:rsid w:val="004A553E"/>
    <w:rsid w:val="004B109E"/>
    <w:rsid w:val="004B447F"/>
    <w:rsid w:val="004B572A"/>
    <w:rsid w:val="004B5B19"/>
    <w:rsid w:val="004C7B01"/>
    <w:rsid w:val="004D485A"/>
    <w:rsid w:val="004E3424"/>
    <w:rsid w:val="004E426E"/>
    <w:rsid w:val="004E5595"/>
    <w:rsid w:val="004F6ADD"/>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550DC"/>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6DD"/>
    <w:rsid w:val="005F1EDF"/>
    <w:rsid w:val="005F3027"/>
    <w:rsid w:val="005F7396"/>
    <w:rsid w:val="00605B5A"/>
    <w:rsid w:val="006060B3"/>
    <w:rsid w:val="0060611D"/>
    <w:rsid w:val="00613764"/>
    <w:rsid w:val="00617577"/>
    <w:rsid w:val="006200E7"/>
    <w:rsid w:val="00621260"/>
    <w:rsid w:val="00626F56"/>
    <w:rsid w:val="00626FD8"/>
    <w:rsid w:val="006273D7"/>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844E0"/>
    <w:rsid w:val="00690F44"/>
    <w:rsid w:val="006919C8"/>
    <w:rsid w:val="00692FA3"/>
    <w:rsid w:val="0069362C"/>
    <w:rsid w:val="00693D3B"/>
    <w:rsid w:val="00694B16"/>
    <w:rsid w:val="00697687"/>
    <w:rsid w:val="006A15AD"/>
    <w:rsid w:val="006A45D8"/>
    <w:rsid w:val="006A4888"/>
    <w:rsid w:val="006A5210"/>
    <w:rsid w:val="006B0B28"/>
    <w:rsid w:val="006B488A"/>
    <w:rsid w:val="006C4176"/>
    <w:rsid w:val="006C76FE"/>
    <w:rsid w:val="006D2B66"/>
    <w:rsid w:val="006D379C"/>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4EE2"/>
    <w:rsid w:val="00755534"/>
    <w:rsid w:val="00757AA5"/>
    <w:rsid w:val="007642F9"/>
    <w:rsid w:val="00770A61"/>
    <w:rsid w:val="00773074"/>
    <w:rsid w:val="00773C33"/>
    <w:rsid w:val="00781A50"/>
    <w:rsid w:val="0078416F"/>
    <w:rsid w:val="007876BC"/>
    <w:rsid w:val="00787C51"/>
    <w:rsid w:val="00790D60"/>
    <w:rsid w:val="0079316B"/>
    <w:rsid w:val="00794A22"/>
    <w:rsid w:val="00796433"/>
    <w:rsid w:val="00796B75"/>
    <w:rsid w:val="007A03BA"/>
    <w:rsid w:val="007A4A53"/>
    <w:rsid w:val="007A6CDA"/>
    <w:rsid w:val="007B02DE"/>
    <w:rsid w:val="007D49C7"/>
    <w:rsid w:val="007E249D"/>
    <w:rsid w:val="007E4BFD"/>
    <w:rsid w:val="007F04F9"/>
    <w:rsid w:val="007F18E4"/>
    <w:rsid w:val="007F714A"/>
    <w:rsid w:val="007F7537"/>
    <w:rsid w:val="00802D86"/>
    <w:rsid w:val="00802F06"/>
    <w:rsid w:val="008047D9"/>
    <w:rsid w:val="00804A4D"/>
    <w:rsid w:val="0081023D"/>
    <w:rsid w:val="0081050B"/>
    <w:rsid w:val="00812348"/>
    <w:rsid w:val="00820149"/>
    <w:rsid w:val="00820651"/>
    <w:rsid w:val="008266D0"/>
    <w:rsid w:val="00826C29"/>
    <w:rsid w:val="00834690"/>
    <w:rsid w:val="0083576C"/>
    <w:rsid w:val="00840FA0"/>
    <w:rsid w:val="00843FBB"/>
    <w:rsid w:val="008454D2"/>
    <w:rsid w:val="00845DEC"/>
    <w:rsid w:val="00847B9F"/>
    <w:rsid w:val="0085294F"/>
    <w:rsid w:val="00866593"/>
    <w:rsid w:val="00870719"/>
    <w:rsid w:val="00892314"/>
    <w:rsid w:val="0089371C"/>
    <w:rsid w:val="008A4075"/>
    <w:rsid w:val="008A5C07"/>
    <w:rsid w:val="008A5F82"/>
    <w:rsid w:val="008B33EB"/>
    <w:rsid w:val="008B3ABC"/>
    <w:rsid w:val="008B4B43"/>
    <w:rsid w:val="008B5E4B"/>
    <w:rsid w:val="008B63EE"/>
    <w:rsid w:val="008B7783"/>
    <w:rsid w:val="008C43A5"/>
    <w:rsid w:val="008C4443"/>
    <w:rsid w:val="008C5C41"/>
    <w:rsid w:val="008E1635"/>
    <w:rsid w:val="008E1DAE"/>
    <w:rsid w:val="008E363B"/>
    <w:rsid w:val="008E7DAC"/>
    <w:rsid w:val="008F0904"/>
    <w:rsid w:val="00901055"/>
    <w:rsid w:val="0090730F"/>
    <w:rsid w:val="0091479F"/>
    <w:rsid w:val="00914C45"/>
    <w:rsid w:val="009156D9"/>
    <w:rsid w:val="00916678"/>
    <w:rsid w:val="0091744E"/>
    <w:rsid w:val="00922C5B"/>
    <w:rsid w:val="009238EE"/>
    <w:rsid w:val="00927826"/>
    <w:rsid w:val="00930D89"/>
    <w:rsid w:val="00935201"/>
    <w:rsid w:val="00935FD0"/>
    <w:rsid w:val="0093711F"/>
    <w:rsid w:val="009373A1"/>
    <w:rsid w:val="009411C2"/>
    <w:rsid w:val="00942CDE"/>
    <w:rsid w:val="00946E0E"/>
    <w:rsid w:val="009531A4"/>
    <w:rsid w:val="00955D0D"/>
    <w:rsid w:val="00956342"/>
    <w:rsid w:val="009575DB"/>
    <w:rsid w:val="00962A95"/>
    <w:rsid w:val="009647CC"/>
    <w:rsid w:val="00970CA0"/>
    <w:rsid w:val="0097614E"/>
    <w:rsid w:val="00981B9B"/>
    <w:rsid w:val="00986DA2"/>
    <w:rsid w:val="009870EA"/>
    <w:rsid w:val="009874C6"/>
    <w:rsid w:val="00990B28"/>
    <w:rsid w:val="0099168E"/>
    <w:rsid w:val="0099243E"/>
    <w:rsid w:val="009956D1"/>
    <w:rsid w:val="00995B14"/>
    <w:rsid w:val="009A5399"/>
    <w:rsid w:val="009A7616"/>
    <w:rsid w:val="009B0054"/>
    <w:rsid w:val="009B1792"/>
    <w:rsid w:val="009B2C99"/>
    <w:rsid w:val="009B3CF3"/>
    <w:rsid w:val="009B3D65"/>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4007"/>
    <w:rsid w:val="00A464BD"/>
    <w:rsid w:val="00A47531"/>
    <w:rsid w:val="00A501AD"/>
    <w:rsid w:val="00A57E41"/>
    <w:rsid w:val="00A657BB"/>
    <w:rsid w:val="00A77085"/>
    <w:rsid w:val="00A80CBB"/>
    <w:rsid w:val="00A828E3"/>
    <w:rsid w:val="00A831F2"/>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069CF"/>
    <w:rsid w:val="00B257AD"/>
    <w:rsid w:val="00B26BD6"/>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1AB1"/>
    <w:rsid w:val="00BC2307"/>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371E6"/>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241D"/>
    <w:rsid w:val="00CB6655"/>
    <w:rsid w:val="00CB6D12"/>
    <w:rsid w:val="00CC06B3"/>
    <w:rsid w:val="00CC0D76"/>
    <w:rsid w:val="00CC14BA"/>
    <w:rsid w:val="00CC1F4A"/>
    <w:rsid w:val="00CC4922"/>
    <w:rsid w:val="00CD180F"/>
    <w:rsid w:val="00CD57F3"/>
    <w:rsid w:val="00CD6193"/>
    <w:rsid w:val="00CD730D"/>
    <w:rsid w:val="00CE6987"/>
    <w:rsid w:val="00CF0772"/>
    <w:rsid w:val="00CF5FFF"/>
    <w:rsid w:val="00CF7ECD"/>
    <w:rsid w:val="00D03DA0"/>
    <w:rsid w:val="00D04E0E"/>
    <w:rsid w:val="00D05232"/>
    <w:rsid w:val="00D06AD2"/>
    <w:rsid w:val="00D06BD8"/>
    <w:rsid w:val="00D11FD5"/>
    <w:rsid w:val="00D1290D"/>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3F2D"/>
    <w:rsid w:val="00D64CF8"/>
    <w:rsid w:val="00D64F93"/>
    <w:rsid w:val="00D6591C"/>
    <w:rsid w:val="00D67F7F"/>
    <w:rsid w:val="00D7255C"/>
    <w:rsid w:val="00D72CC9"/>
    <w:rsid w:val="00D75535"/>
    <w:rsid w:val="00D926C2"/>
    <w:rsid w:val="00D97DF1"/>
    <w:rsid w:val="00DA5144"/>
    <w:rsid w:val="00DB2B90"/>
    <w:rsid w:val="00DB3F6B"/>
    <w:rsid w:val="00DB464F"/>
    <w:rsid w:val="00DB4C71"/>
    <w:rsid w:val="00DB6B9D"/>
    <w:rsid w:val="00DC0EBD"/>
    <w:rsid w:val="00DC1442"/>
    <w:rsid w:val="00DC165E"/>
    <w:rsid w:val="00DD5412"/>
    <w:rsid w:val="00DD564F"/>
    <w:rsid w:val="00DD6D95"/>
    <w:rsid w:val="00DE1C36"/>
    <w:rsid w:val="00DE2897"/>
    <w:rsid w:val="00DE32DE"/>
    <w:rsid w:val="00DE5B8E"/>
    <w:rsid w:val="00DE6323"/>
    <w:rsid w:val="00DE6F9D"/>
    <w:rsid w:val="00DE7800"/>
    <w:rsid w:val="00DF142E"/>
    <w:rsid w:val="00DF1626"/>
    <w:rsid w:val="00DF5349"/>
    <w:rsid w:val="00DF5A2E"/>
    <w:rsid w:val="00DF717F"/>
    <w:rsid w:val="00E006B7"/>
    <w:rsid w:val="00E01491"/>
    <w:rsid w:val="00E02D08"/>
    <w:rsid w:val="00E057F3"/>
    <w:rsid w:val="00E10297"/>
    <w:rsid w:val="00E1180B"/>
    <w:rsid w:val="00E11A26"/>
    <w:rsid w:val="00E11B7B"/>
    <w:rsid w:val="00E12EF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5E4"/>
    <w:rsid w:val="00E86E93"/>
    <w:rsid w:val="00EA3A9D"/>
    <w:rsid w:val="00EA4B76"/>
    <w:rsid w:val="00EA546B"/>
    <w:rsid w:val="00EA6FF9"/>
    <w:rsid w:val="00EB409D"/>
    <w:rsid w:val="00EC4140"/>
    <w:rsid w:val="00EC7E69"/>
    <w:rsid w:val="00ED6644"/>
    <w:rsid w:val="00EE1C0C"/>
    <w:rsid w:val="00EE306C"/>
    <w:rsid w:val="00EE6B1E"/>
    <w:rsid w:val="00EF16F2"/>
    <w:rsid w:val="00EF265E"/>
    <w:rsid w:val="00EF4583"/>
    <w:rsid w:val="00EF69C7"/>
    <w:rsid w:val="00F00C07"/>
    <w:rsid w:val="00F05C8C"/>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58B"/>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C74A6"/>
    <w:rsid w:val="00FD2B08"/>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69760691">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42573761">
      <w:bodyDiv w:val="1"/>
      <w:marLeft w:val="0"/>
      <w:marRight w:val="0"/>
      <w:marTop w:val="0"/>
      <w:marBottom w:val="0"/>
      <w:divBdr>
        <w:top w:val="none" w:sz="0" w:space="0" w:color="auto"/>
        <w:left w:val="none" w:sz="0" w:space="0" w:color="auto"/>
        <w:bottom w:val="none" w:sz="0" w:space="0" w:color="auto"/>
        <w:right w:val="none" w:sz="0" w:space="0" w:color="auto"/>
      </w:divBdr>
    </w:div>
    <w:div w:id="304824286">
      <w:bodyDiv w:val="1"/>
      <w:marLeft w:val="0"/>
      <w:marRight w:val="0"/>
      <w:marTop w:val="0"/>
      <w:marBottom w:val="0"/>
      <w:divBdr>
        <w:top w:val="none" w:sz="0" w:space="0" w:color="auto"/>
        <w:left w:val="none" w:sz="0" w:space="0" w:color="auto"/>
        <w:bottom w:val="none" w:sz="0" w:space="0" w:color="auto"/>
        <w:right w:val="none" w:sz="0" w:space="0" w:color="auto"/>
      </w:divBdr>
    </w:div>
    <w:div w:id="314188643">
      <w:bodyDiv w:val="1"/>
      <w:marLeft w:val="0"/>
      <w:marRight w:val="0"/>
      <w:marTop w:val="0"/>
      <w:marBottom w:val="0"/>
      <w:divBdr>
        <w:top w:val="none" w:sz="0" w:space="0" w:color="auto"/>
        <w:left w:val="none" w:sz="0" w:space="0" w:color="auto"/>
        <w:bottom w:val="none" w:sz="0" w:space="0" w:color="auto"/>
        <w:right w:val="none" w:sz="0" w:space="0" w:color="auto"/>
      </w:divBdr>
    </w:div>
    <w:div w:id="3237006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48733049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3633771">
      <w:bodyDiv w:val="1"/>
      <w:marLeft w:val="0"/>
      <w:marRight w:val="0"/>
      <w:marTop w:val="0"/>
      <w:marBottom w:val="0"/>
      <w:divBdr>
        <w:top w:val="none" w:sz="0" w:space="0" w:color="auto"/>
        <w:left w:val="none" w:sz="0" w:space="0" w:color="auto"/>
        <w:bottom w:val="none" w:sz="0" w:space="0" w:color="auto"/>
        <w:right w:val="none" w:sz="0" w:space="0" w:color="auto"/>
      </w:divBdr>
    </w:div>
    <w:div w:id="636761555">
      <w:bodyDiv w:val="1"/>
      <w:marLeft w:val="0"/>
      <w:marRight w:val="0"/>
      <w:marTop w:val="0"/>
      <w:marBottom w:val="0"/>
      <w:divBdr>
        <w:top w:val="none" w:sz="0" w:space="0" w:color="auto"/>
        <w:left w:val="none" w:sz="0" w:space="0" w:color="auto"/>
        <w:bottom w:val="none" w:sz="0" w:space="0" w:color="auto"/>
        <w:right w:val="none" w:sz="0" w:space="0" w:color="auto"/>
      </w:divBdr>
    </w:div>
    <w:div w:id="650330905">
      <w:bodyDiv w:val="1"/>
      <w:marLeft w:val="0"/>
      <w:marRight w:val="0"/>
      <w:marTop w:val="0"/>
      <w:marBottom w:val="0"/>
      <w:divBdr>
        <w:top w:val="none" w:sz="0" w:space="0" w:color="auto"/>
        <w:left w:val="none" w:sz="0" w:space="0" w:color="auto"/>
        <w:bottom w:val="none" w:sz="0" w:space="0" w:color="auto"/>
        <w:right w:val="none" w:sz="0" w:space="0" w:color="auto"/>
      </w:divBdr>
    </w:div>
    <w:div w:id="663318928">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62181">
      <w:bodyDiv w:val="1"/>
      <w:marLeft w:val="0"/>
      <w:marRight w:val="0"/>
      <w:marTop w:val="0"/>
      <w:marBottom w:val="0"/>
      <w:divBdr>
        <w:top w:val="none" w:sz="0" w:space="0" w:color="auto"/>
        <w:left w:val="none" w:sz="0" w:space="0" w:color="auto"/>
        <w:bottom w:val="none" w:sz="0" w:space="0" w:color="auto"/>
        <w:right w:val="none" w:sz="0" w:space="0" w:color="auto"/>
      </w:divBdr>
    </w:div>
    <w:div w:id="783233166">
      <w:bodyDiv w:val="1"/>
      <w:marLeft w:val="0"/>
      <w:marRight w:val="0"/>
      <w:marTop w:val="0"/>
      <w:marBottom w:val="0"/>
      <w:divBdr>
        <w:top w:val="none" w:sz="0" w:space="0" w:color="auto"/>
        <w:left w:val="none" w:sz="0" w:space="0" w:color="auto"/>
        <w:bottom w:val="none" w:sz="0" w:space="0" w:color="auto"/>
        <w:right w:val="none" w:sz="0" w:space="0" w:color="auto"/>
      </w:divBdr>
    </w:div>
    <w:div w:id="791095180">
      <w:bodyDiv w:val="1"/>
      <w:marLeft w:val="0"/>
      <w:marRight w:val="0"/>
      <w:marTop w:val="0"/>
      <w:marBottom w:val="0"/>
      <w:divBdr>
        <w:top w:val="none" w:sz="0" w:space="0" w:color="auto"/>
        <w:left w:val="none" w:sz="0" w:space="0" w:color="auto"/>
        <w:bottom w:val="none" w:sz="0" w:space="0" w:color="auto"/>
        <w:right w:val="none" w:sz="0" w:space="0" w:color="auto"/>
      </w:divBdr>
    </w:div>
    <w:div w:id="866873848">
      <w:bodyDiv w:val="1"/>
      <w:marLeft w:val="0"/>
      <w:marRight w:val="0"/>
      <w:marTop w:val="0"/>
      <w:marBottom w:val="0"/>
      <w:divBdr>
        <w:top w:val="none" w:sz="0" w:space="0" w:color="auto"/>
        <w:left w:val="none" w:sz="0" w:space="0" w:color="auto"/>
        <w:bottom w:val="none" w:sz="0" w:space="0" w:color="auto"/>
        <w:right w:val="none" w:sz="0" w:space="0" w:color="auto"/>
      </w:divBdr>
    </w:div>
    <w:div w:id="912547677">
      <w:bodyDiv w:val="1"/>
      <w:marLeft w:val="0"/>
      <w:marRight w:val="0"/>
      <w:marTop w:val="0"/>
      <w:marBottom w:val="0"/>
      <w:divBdr>
        <w:top w:val="none" w:sz="0" w:space="0" w:color="auto"/>
        <w:left w:val="none" w:sz="0" w:space="0" w:color="auto"/>
        <w:bottom w:val="none" w:sz="0" w:space="0" w:color="auto"/>
        <w:right w:val="none" w:sz="0" w:space="0" w:color="auto"/>
      </w:divBdr>
    </w:div>
    <w:div w:id="966281996">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32612097">
      <w:bodyDiv w:val="1"/>
      <w:marLeft w:val="0"/>
      <w:marRight w:val="0"/>
      <w:marTop w:val="0"/>
      <w:marBottom w:val="0"/>
      <w:divBdr>
        <w:top w:val="none" w:sz="0" w:space="0" w:color="auto"/>
        <w:left w:val="none" w:sz="0" w:space="0" w:color="auto"/>
        <w:bottom w:val="none" w:sz="0" w:space="0" w:color="auto"/>
        <w:right w:val="none" w:sz="0" w:space="0" w:color="auto"/>
      </w:divBdr>
    </w:div>
    <w:div w:id="104348281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71336231">
      <w:bodyDiv w:val="1"/>
      <w:marLeft w:val="0"/>
      <w:marRight w:val="0"/>
      <w:marTop w:val="0"/>
      <w:marBottom w:val="0"/>
      <w:divBdr>
        <w:top w:val="none" w:sz="0" w:space="0" w:color="auto"/>
        <w:left w:val="none" w:sz="0" w:space="0" w:color="auto"/>
        <w:bottom w:val="none" w:sz="0" w:space="0" w:color="auto"/>
        <w:right w:val="none" w:sz="0" w:space="0" w:color="auto"/>
      </w:divBdr>
    </w:div>
    <w:div w:id="1179930589">
      <w:bodyDiv w:val="1"/>
      <w:marLeft w:val="0"/>
      <w:marRight w:val="0"/>
      <w:marTop w:val="0"/>
      <w:marBottom w:val="0"/>
      <w:divBdr>
        <w:top w:val="none" w:sz="0" w:space="0" w:color="auto"/>
        <w:left w:val="none" w:sz="0" w:space="0" w:color="auto"/>
        <w:bottom w:val="none" w:sz="0" w:space="0" w:color="auto"/>
        <w:right w:val="none" w:sz="0" w:space="0" w:color="auto"/>
      </w:divBdr>
    </w:div>
    <w:div w:id="1271164180">
      <w:bodyDiv w:val="1"/>
      <w:marLeft w:val="0"/>
      <w:marRight w:val="0"/>
      <w:marTop w:val="0"/>
      <w:marBottom w:val="0"/>
      <w:divBdr>
        <w:top w:val="none" w:sz="0" w:space="0" w:color="auto"/>
        <w:left w:val="none" w:sz="0" w:space="0" w:color="auto"/>
        <w:bottom w:val="none" w:sz="0" w:space="0" w:color="auto"/>
        <w:right w:val="none" w:sz="0" w:space="0" w:color="auto"/>
      </w:divBdr>
    </w:div>
    <w:div w:id="1279485189">
      <w:bodyDiv w:val="1"/>
      <w:marLeft w:val="0"/>
      <w:marRight w:val="0"/>
      <w:marTop w:val="0"/>
      <w:marBottom w:val="0"/>
      <w:divBdr>
        <w:top w:val="none" w:sz="0" w:space="0" w:color="auto"/>
        <w:left w:val="none" w:sz="0" w:space="0" w:color="auto"/>
        <w:bottom w:val="none" w:sz="0" w:space="0" w:color="auto"/>
        <w:right w:val="none" w:sz="0" w:space="0" w:color="auto"/>
      </w:divBdr>
    </w:div>
    <w:div w:id="1283464968">
      <w:bodyDiv w:val="1"/>
      <w:marLeft w:val="0"/>
      <w:marRight w:val="0"/>
      <w:marTop w:val="0"/>
      <w:marBottom w:val="0"/>
      <w:divBdr>
        <w:top w:val="none" w:sz="0" w:space="0" w:color="auto"/>
        <w:left w:val="none" w:sz="0" w:space="0" w:color="auto"/>
        <w:bottom w:val="none" w:sz="0" w:space="0" w:color="auto"/>
        <w:right w:val="none" w:sz="0" w:space="0" w:color="auto"/>
      </w:divBdr>
    </w:div>
    <w:div w:id="1308435544">
      <w:bodyDiv w:val="1"/>
      <w:marLeft w:val="0"/>
      <w:marRight w:val="0"/>
      <w:marTop w:val="0"/>
      <w:marBottom w:val="0"/>
      <w:divBdr>
        <w:top w:val="none" w:sz="0" w:space="0" w:color="auto"/>
        <w:left w:val="none" w:sz="0" w:space="0" w:color="auto"/>
        <w:bottom w:val="none" w:sz="0" w:space="0" w:color="auto"/>
        <w:right w:val="none" w:sz="0" w:space="0" w:color="auto"/>
      </w:divBdr>
    </w:div>
    <w:div w:id="1338077025">
      <w:bodyDiv w:val="1"/>
      <w:marLeft w:val="0"/>
      <w:marRight w:val="0"/>
      <w:marTop w:val="0"/>
      <w:marBottom w:val="0"/>
      <w:divBdr>
        <w:top w:val="none" w:sz="0" w:space="0" w:color="auto"/>
        <w:left w:val="none" w:sz="0" w:space="0" w:color="auto"/>
        <w:bottom w:val="none" w:sz="0" w:space="0" w:color="auto"/>
        <w:right w:val="none" w:sz="0" w:space="0" w:color="auto"/>
      </w:divBdr>
    </w:div>
    <w:div w:id="1351880672">
      <w:bodyDiv w:val="1"/>
      <w:marLeft w:val="0"/>
      <w:marRight w:val="0"/>
      <w:marTop w:val="0"/>
      <w:marBottom w:val="0"/>
      <w:divBdr>
        <w:top w:val="none" w:sz="0" w:space="0" w:color="auto"/>
        <w:left w:val="none" w:sz="0" w:space="0" w:color="auto"/>
        <w:bottom w:val="none" w:sz="0" w:space="0" w:color="auto"/>
        <w:right w:val="none" w:sz="0" w:space="0" w:color="auto"/>
      </w:divBdr>
    </w:div>
    <w:div w:id="1376545050">
      <w:bodyDiv w:val="1"/>
      <w:marLeft w:val="0"/>
      <w:marRight w:val="0"/>
      <w:marTop w:val="0"/>
      <w:marBottom w:val="0"/>
      <w:divBdr>
        <w:top w:val="none" w:sz="0" w:space="0" w:color="auto"/>
        <w:left w:val="none" w:sz="0" w:space="0" w:color="auto"/>
        <w:bottom w:val="none" w:sz="0" w:space="0" w:color="auto"/>
        <w:right w:val="none" w:sz="0" w:space="0" w:color="auto"/>
      </w:divBdr>
    </w:div>
    <w:div w:id="1479415410">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4805041">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52038682">
      <w:bodyDiv w:val="1"/>
      <w:marLeft w:val="0"/>
      <w:marRight w:val="0"/>
      <w:marTop w:val="0"/>
      <w:marBottom w:val="0"/>
      <w:divBdr>
        <w:top w:val="none" w:sz="0" w:space="0" w:color="auto"/>
        <w:left w:val="none" w:sz="0" w:space="0" w:color="auto"/>
        <w:bottom w:val="none" w:sz="0" w:space="0" w:color="auto"/>
        <w:right w:val="none" w:sz="0" w:space="0" w:color="auto"/>
      </w:divBdr>
    </w:div>
    <w:div w:id="1590500781">
      <w:bodyDiv w:val="1"/>
      <w:marLeft w:val="0"/>
      <w:marRight w:val="0"/>
      <w:marTop w:val="0"/>
      <w:marBottom w:val="0"/>
      <w:divBdr>
        <w:top w:val="none" w:sz="0" w:space="0" w:color="auto"/>
        <w:left w:val="none" w:sz="0" w:space="0" w:color="auto"/>
        <w:bottom w:val="none" w:sz="0" w:space="0" w:color="auto"/>
        <w:right w:val="none" w:sz="0" w:space="0" w:color="auto"/>
      </w:divBdr>
    </w:div>
    <w:div w:id="1606419233">
      <w:bodyDiv w:val="1"/>
      <w:marLeft w:val="0"/>
      <w:marRight w:val="0"/>
      <w:marTop w:val="0"/>
      <w:marBottom w:val="0"/>
      <w:divBdr>
        <w:top w:val="none" w:sz="0" w:space="0" w:color="auto"/>
        <w:left w:val="none" w:sz="0" w:space="0" w:color="auto"/>
        <w:bottom w:val="none" w:sz="0" w:space="0" w:color="auto"/>
        <w:right w:val="none" w:sz="0" w:space="0" w:color="auto"/>
      </w:divBdr>
    </w:div>
    <w:div w:id="1612545543">
      <w:bodyDiv w:val="1"/>
      <w:marLeft w:val="0"/>
      <w:marRight w:val="0"/>
      <w:marTop w:val="0"/>
      <w:marBottom w:val="0"/>
      <w:divBdr>
        <w:top w:val="none" w:sz="0" w:space="0" w:color="auto"/>
        <w:left w:val="none" w:sz="0" w:space="0" w:color="auto"/>
        <w:bottom w:val="none" w:sz="0" w:space="0" w:color="auto"/>
        <w:right w:val="none" w:sz="0" w:space="0" w:color="auto"/>
      </w:divBdr>
    </w:div>
    <w:div w:id="1617710184">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38341776">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03549720">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36874290">
      <w:bodyDiv w:val="1"/>
      <w:marLeft w:val="0"/>
      <w:marRight w:val="0"/>
      <w:marTop w:val="0"/>
      <w:marBottom w:val="0"/>
      <w:divBdr>
        <w:top w:val="none" w:sz="0" w:space="0" w:color="auto"/>
        <w:left w:val="none" w:sz="0" w:space="0" w:color="auto"/>
        <w:bottom w:val="none" w:sz="0" w:space="0" w:color="auto"/>
        <w:right w:val="none" w:sz="0" w:space="0" w:color="auto"/>
      </w:divBdr>
    </w:div>
    <w:div w:id="1845439017">
      <w:bodyDiv w:val="1"/>
      <w:marLeft w:val="0"/>
      <w:marRight w:val="0"/>
      <w:marTop w:val="0"/>
      <w:marBottom w:val="0"/>
      <w:divBdr>
        <w:top w:val="none" w:sz="0" w:space="0" w:color="auto"/>
        <w:left w:val="none" w:sz="0" w:space="0" w:color="auto"/>
        <w:bottom w:val="none" w:sz="0" w:space="0" w:color="auto"/>
        <w:right w:val="none" w:sz="0" w:space="0" w:color="auto"/>
      </w:divBdr>
    </w:div>
    <w:div w:id="1845512114">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90215876">
      <w:bodyDiv w:val="1"/>
      <w:marLeft w:val="0"/>
      <w:marRight w:val="0"/>
      <w:marTop w:val="0"/>
      <w:marBottom w:val="0"/>
      <w:divBdr>
        <w:top w:val="none" w:sz="0" w:space="0" w:color="auto"/>
        <w:left w:val="none" w:sz="0" w:space="0" w:color="auto"/>
        <w:bottom w:val="none" w:sz="0" w:space="0" w:color="auto"/>
        <w:right w:val="none" w:sz="0" w:space="0" w:color="auto"/>
      </w:divBdr>
    </w:div>
    <w:div w:id="2009163812">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 w:id="214677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eur-lex.europa.eu/legal-content/NL/TXT/?uri=CELEX%3A52021PC0752&amp;qid=1638869454921" TargetMode="External" Id="rId18"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yperlink" Target="https://eur-lex.europa.eu/legal-content/NL/TXT/?uri=CELEX%3A52021PC0745&amp;qid=1638190333292" TargetMode="External" Id="rId17" /><Relationship Type="http://schemas.openxmlformats.org/officeDocument/2006/relationships/hyperlink" Target="https://eur-lex.europa.eu/legal-content/NL/TXT/?uri=CELEX%3A52021PC0719&amp;qid=1638187771984" TargetMode="External" Id="rId16" /><Relationship Type="http://schemas.openxmlformats.org/officeDocument/2006/relationships/footer" Target="footer2.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eur-lex.europa.eu/legal-content/NL/TXT/?uri=CELEX%3A52021PC0718&amp;qid=1638187698502" TargetMode="Externa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hyperlink" Target="https://eur-lex.europa.eu/legal-content/NL/TXT/?uri=CELEX%3A52021PC0753&amp;qid=1638177467752"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740</ap:Words>
  <ap:Characters>4826</ap:Characters>
  <ap:DocSecurity>4</ap:DocSecurity>
  <ap:Lines>40</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5555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2021-12-09T11:50:00.0000000Z</dcterms:created>
  <dcterms:modified xsi:type="dcterms:W3CDTF">2021-12-09T11:50:00.0000000Z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0x010100E533458AA6E2D14A8FF60713B00E1A29</vt:lpwstr>
  </property>
</Properties>
</file>